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sz w:val="24"/>
          <w:bdr w:val="single" w:color="auto" w:sz="4" w:space="0"/>
        </w:rPr>
      </w:pPr>
    </w:p>
    <w:p>
      <w:pPr>
        <w:rPr>
          <w:rFonts w:hint="eastAsia" w:ascii="宋体" w:hAnsi="宋体"/>
          <w:color w:val="auto"/>
          <w:sz w:val="52"/>
          <w:szCs w:val="52"/>
        </w:rPr>
      </w:pPr>
      <w:bookmarkStart w:id="0" w:name="_Toc221949492"/>
    </w:p>
    <w:bookmarkEnd w:id="0"/>
    <w:p>
      <w:pPr>
        <w:ind w:firstLine="437"/>
        <w:jc w:val="center"/>
        <w:rPr>
          <w:rFonts w:hint="eastAsia" w:ascii="黑体" w:eastAsia="黑体"/>
          <w:color w:val="auto"/>
          <w:sz w:val="52"/>
          <w:szCs w:val="52"/>
        </w:rPr>
      </w:pPr>
      <w:bookmarkStart w:id="1" w:name="_Toc168475642"/>
      <w:bookmarkStart w:id="2" w:name="_Toc144974495"/>
      <w:bookmarkStart w:id="3" w:name="_Toc168476045"/>
      <w:bookmarkStart w:id="4" w:name="_Toc222032650"/>
      <w:bookmarkStart w:id="5" w:name="_Toc229305341"/>
      <w:bookmarkStart w:id="6" w:name="_Toc222030983"/>
      <w:bookmarkStart w:id="7" w:name="_Toc222033832"/>
      <w:bookmarkStart w:id="8" w:name="_Toc221950007"/>
      <w:bookmarkStart w:id="9" w:name="_Toc222029481"/>
      <w:r>
        <w:rPr>
          <w:rFonts w:hint="eastAsia" w:ascii="黑体" w:eastAsia="黑体"/>
          <w:color w:val="auto"/>
          <w:sz w:val="52"/>
          <w:szCs w:val="52"/>
        </w:rPr>
        <w:t>襄阳市水利水电工程</w:t>
      </w:r>
      <w:bookmarkStart w:id="10" w:name="_Toc221949493"/>
    </w:p>
    <w:p>
      <w:pPr>
        <w:ind w:firstLine="437"/>
        <w:jc w:val="center"/>
        <w:rPr>
          <w:rFonts w:hint="eastAsia" w:ascii="黑体" w:eastAsia="黑体"/>
          <w:color w:val="auto"/>
          <w:sz w:val="72"/>
          <w:szCs w:val="72"/>
        </w:rPr>
      </w:pPr>
      <w:r>
        <w:rPr>
          <w:rFonts w:hint="eastAsia" w:ascii="黑体" w:eastAsia="黑体"/>
          <w:color w:val="auto"/>
          <w:sz w:val="72"/>
          <w:szCs w:val="72"/>
        </w:rPr>
        <w:t>施工招标文件</w:t>
      </w:r>
      <w:bookmarkEnd w:id="10"/>
      <w:r>
        <w:rPr>
          <w:rFonts w:hint="eastAsia" w:ascii="黑体" w:eastAsia="黑体"/>
          <w:color w:val="auto"/>
          <w:sz w:val="72"/>
          <w:szCs w:val="72"/>
        </w:rPr>
        <w:t>示范文本</w:t>
      </w:r>
    </w:p>
    <w:p>
      <w:pPr>
        <w:spacing w:line="500" w:lineRule="exact"/>
        <w:jc w:val="center"/>
        <w:rPr>
          <w:rFonts w:hint="eastAsia" w:ascii="楷体_GB2312" w:hAnsi="宋体" w:eastAsia="楷体_GB2312"/>
          <w:color w:val="auto"/>
          <w:sz w:val="36"/>
          <w:szCs w:val="36"/>
        </w:rPr>
      </w:pPr>
    </w:p>
    <w:p>
      <w:pPr>
        <w:spacing w:line="500" w:lineRule="exact"/>
        <w:jc w:val="center"/>
        <w:rPr>
          <w:rFonts w:hint="eastAsia"/>
          <w:color w:val="auto"/>
          <w:sz w:val="44"/>
          <w:szCs w:val="44"/>
        </w:rPr>
      </w:pPr>
    </w:p>
    <w:p>
      <w:pPr>
        <w:spacing w:line="500" w:lineRule="exact"/>
        <w:jc w:val="center"/>
        <w:rPr>
          <w:rFonts w:ascii="楷体" w:hAnsi="楷体" w:eastAsia="楷体"/>
          <w:color w:val="auto"/>
          <w:sz w:val="44"/>
          <w:szCs w:val="44"/>
        </w:rPr>
      </w:pPr>
      <w:r>
        <w:rPr>
          <w:rFonts w:hint="eastAsia" w:ascii="楷体" w:hAnsi="楷体" w:eastAsia="楷体"/>
          <w:color w:val="auto"/>
          <w:sz w:val="44"/>
          <w:szCs w:val="44"/>
        </w:rPr>
        <w:t>（202</w:t>
      </w:r>
      <w:r>
        <w:rPr>
          <w:rFonts w:hint="eastAsia" w:ascii="楷体" w:hAnsi="楷体" w:eastAsia="楷体"/>
          <w:color w:val="auto"/>
          <w:sz w:val="44"/>
          <w:szCs w:val="44"/>
          <w:lang w:val="en-US" w:eastAsia="zh-CN"/>
        </w:rPr>
        <w:t>2</w:t>
      </w:r>
      <w:bookmarkStart w:id="2829" w:name="_GoBack"/>
      <w:bookmarkEnd w:id="2829"/>
      <w:r>
        <w:rPr>
          <w:rFonts w:hint="eastAsia" w:ascii="楷体" w:hAnsi="楷体" w:eastAsia="楷体"/>
          <w:color w:val="auto"/>
          <w:sz w:val="44"/>
          <w:szCs w:val="44"/>
        </w:rPr>
        <w:t>年电子化第一版）</w:t>
      </w:r>
    </w:p>
    <w:p>
      <w:pPr>
        <w:jc w:val="center"/>
        <w:rPr>
          <w:rFonts w:hint="eastAsia" w:ascii="宋体" w:hAnsi="宋体"/>
          <w:color w:val="auto"/>
        </w:rPr>
      </w:pPr>
    </w:p>
    <w:p>
      <w:pPr>
        <w:spacing w:line="400" w:lineRule="exact"/>
        <w:jc w:val="center"/>
        <w:rPr>
          <w:color w:val="auto"/>
        </w:rPr>
      </w:pPr>
    </w:p>
    <w:p>
      <w:pPr>
        <w:spacing w:line="400" w:lineRule="exact"/>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color w:val="auto"/>
        </w:rPr>
      </w:pPr>
    </w:p>
    <w:p>
      <w:pPr>
        <w:jc w:val="center"/>
        <w:rPr>
          <w:rFonts w:hint="eastAsia"/>
          <w:color w:val="auto"/>
        </w:rPr>
      </w:pPr>
    </w:p>
    <w:p>
      <w:pPr>
        <w:jc w:val="center"/>
        <w:rPr>
          <w:color w:val="auto"/>
        </w:rPr>
      </w:pPr>
    </w:p>
    <w:p>
      <w:pPr>
        <w:rPr>
          <w:rFonts w:hint="eastAsia"/>
          <w:color w:val="auto"/>
        </w:rPr>
      </w:pPr>
    </w:p>
    <w:p>
      <w:pPr>
        <w:jc w:val="center"/>
        <w:rPr>
          <w:rFonts w:hint="eastAsia"/>
          <w:color w:val="auto"/>
        </w:rPr>
      </w:pPr>
    </w:p>
    <w:tbl>
      <w:tblPr>
        <w:tblStyle w:val="38"/>
        <w:tblW w:w="0" w:type="auto"/>
        <w:tblInd w:w="1951" w:type="dxa"/>
        <w:tblLayout w:type="autofit"/>
        <w:tblCellMar>
          <w:top w:w="0" w:type="dxa"/>
          <w:left w:w="108" w:type="dxa"/>
          <w:bottom w:w="0" w:type="dxa"/>
          <w:right w:w="108" w:type="dxa"/>
        </w:tblCellMar>
      </w:tblPr>
      <w:tblGrid>
        <w:gridCol w:w="6379"/>
      </w:tblGrid>
      <w:tr>
        <w:tblPrEx>
          <w:tblCellMar>
            <w:top w:w="0" w:type="dxa"/>
            <w:left w:w="108" w:type="dxa"/>
            <w:bottom w:w="0" w:type="dxa"/>
            <w:right w:w="108" w:type="dxa"/>
          </w:tblCellMar>
        </w:tblPrEx>
        <w:tc>
          <w:tcPr>
            <w:tcW w:w="6379" w:type="dxa"/>
            <w:noWrap w:val="0"/>
            <w:vAlign w:val="top"/>
          </w:tcPr>
          <w:p>
            <w:pPr>
              <w:jc w:val="distribute"/>
              <w:rPr>
                <w:rFonts w:hint="eastAsia"/>
                <w:b/>
                <w:color w:val="auto"/>
                <w:spacing w:val="-8"/>
                <w:sz w:val="44"/>
                <w:szCs w:val="44"/>
              </w:rPr>
            </w:pPr>
            <w:r>
              <w:rPr>
                <w:rFonts w:hint="eastAsia"/>
                <w:b/>
                <w:color w:val="auto"/>
                <w:spacing w:val="-8"/>
                <w:sz w:val="44"/>
                <w:szCs w:val="44"/>
              </w:rPr>
              <w:t>襄阳市公共资源交易监督管理局</w:t>
            </w:r>
          </w:p>
        </w:tc>
      </w:tr>
      <w:tr>
        <w:tblPrEx>
          <w:tblCellMar>
            <w:top w:w="0" w:type="dxa"/>
            <w:left w:w="108" w:type="dxa"/>
            <w:bottom w:w="0" w:type="dxa"/>
            <w:right w:w="108" w:type="dxa"/>
          </w:tblCellMar>
        </w:tblPrEx>
        <w:tc>
          <w:tcPr>
            <w:tcW w:w="6379" w:type="dxa"/>
            <w:noWrap w:val="0"/>
            <w:vAlign w:val="top"/>
          </w:tcPr>
          <w:p>
            <w:pPr>
              <w:jc w:val="distribute"/>
              <w:rPr>
                <w:rFonts w:hint="eastAsia"/>
                <w:b/>
                <w:color w:val="auto"/>
                <w:sz w:val="44"/>
                <w:szCs w:val="44"/>
              </w:rPr>
            </w:pPr>
            <w:r>
              <w:rPr>
                <w:rFonts w:hint="eastAsia"/>
                <w:b/>
                <w:color w:val="auto"/>
                <w:sz w:val="44"/>
                <w:szCs w:val="44"/>
              </w:rPr>
              <w:t>襄阳市水利</w:t>
            </w:r>
            <w:r>
              <w:rPr>
                <w:b/>
                <w:color w:val="auto"/>
                <w:sz w:val="44"/>
                <w:szCs w:val="44"/>
              </w:rPr>
              <w:t>和湖泊局</w:t>
            </w:r>
            <w:r>
              <w:rPr>
                <w:rFonts w:hint="eastAsia"/>
                <w:b/>
                <w:color w:val="auto"/>
                <w:sz w:val="44"/>
                <w:szCs w:val="44"/>
              </w:rPr>
              <w:t xml:space="preserve">  </w:t>
            </w:r>
          </w:p>
        </w:tc>
      </w:tr>
    </w:tbl>
    <w:p>
      <w:pPr>
        <w:autoSpaceDE w:val="0"/>
        <w:autoSpaceDN w:val="0"/>
        <w:adjustRightInd w:val="0"/>
        <w:spacing w:line="800" w:lineRule="exact"/>
        <w:jc w:val="center"/>
        <w:rPr>
          <w:rFonts w:ascii="宋体" w:hAnsi="宋体" w:cs="宋体"/>
          <w:b/>
          <w:color w:val="auto"/>
          <w:w w:val="91"/>
          <w:kern w:val="0"/>
          <w:sz w:val="36"/>
          <w:szCs w:val="36"/>
        </w:rPr>
      </w:pPr>
      <w:r>
        <w:rPr>
          <w:rFonts w:hint="eastAsia" w:ascii="宋体" w:hAnsi="宋体" w:cs="宋体"/>
          <w:b/>
          <w:color w:val="auto"/>
          <w:w w:val="91"/>
          <w:kern w:val="0"/>
          <w:sz w:val="36"/>
          <w:szCs w:val="36"/>
        </w:rPr>
        <w:t>二〇二〇年九月</w:t>
      </w:r>
    </w:p>
    <w:p>
      <w:pPr>
        <w:jc w:val="center"/>
        <w:rPr>
          <w:rFonts w:hint="eastAsia"/>
          <w:color w:val="auto"/>
          <w:sz w:val="36"/>
          <w:szCs w:val="36"/>
        </w:rPr>
        <w:sectPr>
          <w:headerReference r:id="rId3" w:type="default"/>
          <w:footerReference r:id="rId4" w:type="even"/>
          <w:pgSz w:w="11906" w:h="16838"/>
          <w:pgMar w:top="1440" w:right="1286" w:bottom="1440" w:left="1080" w:header="851" w:footer="992" w:gutter="0"/>
          <w:cols w:space="720" w:num="1"/>
          <w:docGrid w:type="lines" w:linePitch="312" w:charSpace="0"/>
        </w:sectPr>
      </w:pPr>
    </w:p>
    <w:p>
      <w:pPr>
        <w:spacing w:line="400" w:lineRule="exact"/>
        <w:jc w:val="center"/>
        <w:rPr>
          <w:rFonts w:ascii="宋体" w:hAnsi="宋体"/>
          <w:b/>
          <w:color w:val="auto"/>
          <w:sz w:val="32"/>
          <w:szCs w:val="32"/>
        </w:rPr>
      </w:pPr>
      <w:bookmarkStart w:id="11" w:name="_Toc221949919"/>
      <w:bookmarkStart w:id="12" w:name="_Toc387753530"/>
      <w:bookmarkStart w:id="13" w:name="_Toc491089623"/>
    </w:p>
    <w:p>
      <w:pPr>
        <w:spacing w:line="400" w:lineRule="exact"/>
        <w:jc w:val="center"/>
        <w:rPr>
          <w:rFonts w:hint="eastAsia" w:ascii="宋体" w:hAnsi="宋体"/>
          <w:b/>
          <w:color w:val="auto"/>
          <w:sz w:val="32"/>
          <w:szCs w:val="32"/>
        </w:rPr>
      </w:pPr>
      <w:r>
        <w:rPr>
          <w:rFonts w:hint="eastAsia" w:ascii="宋体" w:hAnsi="宋体"/>
          <w:b/>
          <w:color w:val="auto"/>
          <w:sz w:val="32"/>
          <w:szCs w:val="32"/>
        </w:rPr>
        <w:t>使用说明</w:t>
      </w:r>
    </w:p>
    <w:p>
      <w:pPr>
        <w:spacing w:line="500" w:lineRule="exact"/>
        <w:jc w:val="center"/>
        <w:rPr>
          <w:rFonts w:hint="eastAsia" w:ascii="宋体" w:hAnsi="宋体"/>
          <w:color w:val="auto"/>
          <w:sz w:val="32"/>
          <w:szCs w:val="32"/>
        </w:rPr>
      </w:pPr>
    </w:p>
    <w:p>
      <w:pPr>
        <w:spacing w:line="360" w:lineRule="auto"/>
        <w:ind w:firstLine="480" w:firstLineChars="200"/>
        <w:rPr>
          <w:rFonts w:hint="eastAsia" w:ascii="宋体" w:hAnsi="宋体"/>
          <w:color w:val="auto"/>
          <w:sz w:val="24"/>
        </w:rPr>
      </w:pPr>
      <w:r>
        <w:rPr>
          <w:rFonts w:hint="eastAsia" w:ascii="宋体" w:hAnsi="宋体"/>
          <w:color w:val="auto"/>
          <w:sz w:val="24"/>
        </w:rPr>
        <w:t>一、《襄阳市水利水电工程施工招标文件示范文本》（以下简称《市水利施工招标文件示范文本》）是在《湖北省水利水电工程施工招标文件示范文本》(2018年电子化第五版)基础上，结合《电子招标投标办法》、《襄阳市公共资源交易管理委员会办公室关于进一步推进全市招标投标信用综合评价工作的通知》（襄阳公共资源交易管委会办〔2018〕1号）和襄阳市公共资源交易有关规定编制而成，适用于采用资格后审方式招标选择水利水电工程施工承担单位的水利工程建设项目。</w:t>
      </w:r>
    </w:p>
    <w:p>
      <w:pPr>
        <w:spacing w:line="360" w:lineRule="auto"/>
        <w:ind w:firstLine="480" w:firstLineChars="200"/>
        <w:rPr>
          <w:rFonts w:hint="eastAsia" w:ascii="宋体" w:hAnsi="宋体"/>
          <w:color w:val="auto"/>
          <w:sz w:val="24"/>
        </w:rPr>
      </w:pPr>
      <w:r>
        <w:rPr>
          <w:rFonts w:hint="eastAsia" w:ascii="宋体" w:hAnsi="宋体"/>
          <w:color w:val="auto"/>
          <w:sz w:val="24"/>
        </w:rPr>
        <w:t>二、《市水利施工招标文件示范文本》用相同序号标示的章、节、条、款、项、目，供招标人和投标人选择使用；以空格标示的由招标人填写的内容，招标人应根据招标项目具体特点和实际需要具体化，确实没有需要填写的，在空格中用“/”标示。</w:t>
      </w:r>
    </w:p>
    <w:p>
      <w:pPr>
        <w:spacing w:line="360" w:lineRule="auto"/>
        <w:ind w:firstLine="480" w:firstLineChars="200"/>
        <w:rPr>
          <w:rFonts w:hint="eastAsia" w:ascii="宋体" w:hAnsi="宋体"/>
          <w:color w:val="auto"/>
          <w:sz w:val="24"/>
        </w:rPr>
      </w:pPr>
      <w:r>
        <w:rPr>
          <w:rFonts w:hint="eastAsia" w:ascii="宋体" w:hAnsi="宋体"/>
          <w:color w:val="auto"/>
          <w:sz w:val="24"/>
        </w:rPr>
        <w:t>三、招标人按照《市水利施工招标文件示范文本》第一章的格式发布招标公告或发出投标邀请书后，将实际发布的招标公告或实际发出投标邀请书编入招标文件中，作为投标邀请。其中，招标公告应同时注明发布所在的所有媒介名称。</w:t>
      </w:r>
    </w:p>
    <w:p>
      <w:pPr>
        <w:spacing w:line="360" w:lineRule="auto"/>
        <w:ind w:firstLine="480" w:firstLineChars="200"/>
        <w:rPr>
          <w:rFonts w:hint="eastAsia" w:ascii="宋体" w:hAnsi="宋体"/>
          <w:color w:val="auto"/>
          <w:sz w:val="24"/>
        </w:rPr>
      </w:pPr>
      <w:r>
        <w:rPr>
          <w:rFonts w:hint="eastAsia" w:ascii="宋体" w:hAnsi="宋体"/>
          <w:color w:val="auto"/>
          <w:sz w:val="24"/>
        </w:rPr>
        <w:t>四、第二章投标人须知正文应全文引用。“投标人须知前附表”用于进一步明确“投标人须知正文”中未尽事宜，招标人应结合招标项目具体特点和实际需要编制和填写，如果填写内容与正文对应内容有不一致的地方，以“投标人须知前附表”的内容为准。</w:t>
      </w:r>
    </w:p>
    <w:p>
      <w:pPr>
        <w:spacing w:line="360" w:lineRule="auto"/>
        <w:ind w:firstLine="480" w:firstLineChars="200"/>
        <w:rPr>
          <w:rFonts w:hint="eastAsia" w:ascii="宋体" w:hAnsi="宋体"/>
          <w:color w:val="auto"/>
          <w:sz w:val="24"/>
        </w:rPr>
      </w:pPr>
      <w:r>
        <w:rPr>
          <w:rFonts w:hint="eastAsia" w:ascii="宋体" w:hAnsi="宋体"/>
          <w:color w:val="auto"/>
          <w:sz w:val="24"/>
        </w:rPr>
        <w:t>五、第三章“评标办法”规定为综合评估法。“评标办法正文”应全文引用。“评标办法前附表”中各评审因素和评审标准，除初步评审的评审因素和评审标准外，均按照第三章“评标办法”规定进行确定，招标人在使用时不应擅自改变。</w:t>
      </w:r>
    </w:p>
    <w:p>
      <w:pPr>
        <w:spacing w:line="360" w:lineRule="auto"/>
        <w:ind w:firstLine="480" w:firstLineChars="200"/>
        <w:rPr>
          <w:rFonts w:hint="eastAsia" w:ascii="宋体" w:hAnsi="宋体"/>
          <w:color w:val="auto"/>
          <w:sz w:val="24"/>
        </w:rPr>
      </w:pPr>
      <w:r>
        <w:rPr>
          <w:rFonts w:hint="eastAsia" w:ascii="宋体" w:hAnsi="宋体"/>
          <w:color w:val="auto"/>
          <w:sz w:val="24"/>
        </w:rPr>
        <w:t>第三章“评标办法”前附表应列明全部评审因素和评审标准，并在本章（前附表及正文）标明投标人不满足其要求即导致投标被否决的全部条款，没有明列的因素和标准不得作为评标的依据。</w:t>
      </w:r>
    </w:p>
    <w:p>
      <w:pPr>
        <w:spacing w:line="360" w:lineRule="auto"/>
        <w:ind w:firstLine="480" w:firstLineChars="200"/>
        <w:rPr>
          <w:rFonts w:hint="eastAsia" w:ascii="宋体" w:hAnsi="宋体"/>
          <w:color w:val="auto"/>
          <w:sz w:val="24"/>
        </w:rPr>
      </w:pPr>
      <w:r>
        <w:rPr>
          <w:rFonts w:hint="eastAsia" w:ascii="宋体" w:hAnsi="宋体"/>
          <w:color w:val="auto"/>
          <w:sz w:val="24"/>
        </w:rPr>
        <w:t>六、第四章“合同条款及格式”中通用合同条款应全文引用。专用合同条款系可通用合同条款进行补充、细化，除通用合同条款明确专用合同条款可作出不同约定外，补充细化的内容不得与通用合同条款规定相抵触，</w:t>
      </w:r>
      <w:r>
        <w:rPr>
          <w:rFonts w:ascii="宋体" w:hAnsi="宋体"/>
          <w:color w:val="auto"/>
          <w:sz w:val="24"/>
        </w:rPr>
        <w:t>不得违反法律、法规</w:t>
      </w:r>
      <w:r>
        <w:rPr>
          <w:rFonts w:hint="eastAsia" w:ascii="宋体" w:hAnsi="宋体"/>
          <w:color w:val="auto"/>
          <w:sz w:val="24"/>
        </w:rPr>
        <w:t>和行业规章</w:t>
      </w:r>
      <w:r>
        <w:rPr>
          <w:rFonts w:ascii="宋体" w:hAnsi="宋体"/>
          <w:color w:val="auto"/>
          <w:sz w:val="24"/>
        </w:rPr>
        <w:t>的</w:t>
      </w:r>
      <w:r>
        <w:rPr>
          <w:rFonts w:hint="eastAsia" w:ascii="宋体" w:hAnsi="宋体"/>
          <w:color w:val="auto"/>
          <w:sz w:val="24"/>
        </w:rPr>
        <w:t>有关</w:t>
      </w:r>
      <w:r>
        <w:rPr>
          <w:rFonts w:ascii="宋体" w:hAnsi="宋体"/>
          <w:color w:val="auto"/>
          <w:sz w:val="24"/>
        </w:rPr>
        <w:t>规定和平等、自愿、公平和诚实信用原则</w:t>
      </w:r>
      <w:r>
        <w:rPr>
          <w:rFonts w:hint="eastAsia" w:ascii="宋体" w:hAnsi="宋体"/>
          <w:color w:val="auto"/>
          <w:sz w:val="24"/>
        </w:rPr>
        <w:t>。</w:t>
      </w:r>
    </w:p>
    <w:p>
      <w:pPr>
        <w:spacing w:line="360" w:lineRule="auto"/>
        <w:ind w:firstLine="480" w:firstLineChars="200"/>
        <w:rPr>
          <w:rFonts w:hint="eastAsia" w:ascii="宋体" w:hAnsi="宋体"/>
          <w:color w:val="auto"/>
          <w:sz w:val="24"/>
        </w:rPr>
      </w:pPr>
      <w:r>
        <w:rPr>
          <w:rFonts w:hint="eastAsia" w:ascii="宋体" w:hAnsi="宋体"/>
          <w:color w:val="auto"/>
          <w:sz w:val="24"/>
        </w:rPr>
        <w:t>七、第五章“工程量清单</w:t>
      </w:r>
      <w:r>
        <w:rPr>
          <w:rFonts w:ascii="宋体" w:hAnsi="宋体"/>
          <w:color w:val="auto"/>
          <w:sz w:val="24"/>
        </w:rPr>
        <w:t>”</w:t>
      </w:r>
      <w:r>
        <w:rPr>
          <w:rFonts w:hint="eastAsia" w:ascii="宋体" w:hAnsi="宋体"/>
          <w:color w:val="auto"/>
          <w:sz w:val="24"/>
        </w:rPr>
        <w:t>分别编印了两种格式,招标人可选择使用，但应与“投标人须知”、“通用合同条款”、“专用合同条款”、“技术标准和要求（合同技术条款）”、“图纸（招标图纸）”相衔接。</w:t>
      </w:r>
    </w:p>
    <w:p>
      <w:pPr>
        <w:spacing w:line="360" w:lineRule="auto"/>
        <w:ind w:firstLine="480" w:firstLineChars="200"/>
        <w:rPr>
          <w:rFonts w:hint="eastAsia" w:ascii="宋体" w:hAnsi="宋体"/>
          <w:color w:val="auto"/>
          <w:sz w:val="24"/>
        </w:rPr>
      </w:pPr>
      <w:r>
        <w:rPr>
          <w:rFonts w:hint="eastAsia" w:ascii="宋体" w:hAnsi="宋体"/>
          <w:color w:val="auto"/>
          <w:sz w:val="24"/>
        </w:rPr>
        <w:t>八、第六章 “图纸（招标图纸）</w:t>
      </w:r>
      <w:r>
        <w:rPr>
          <w:rFonts w:ascii="宋体" w:hAnsi="宋体"/>
          <w:color w:val="auto"/>
          <w:sz w:val="24"/>
        </w:rPr>
        <w:t>”</w:t>
      </w:r>
      <w:r>
        <w:rPr>
          <w:rFonts w:hint="eastAsia" w:ascii="宋体" w:hAnsi="宋体"/>
          <w:color w:val="auto"/>
          <w:sz w:val="24"/>
        </w:rPr>
        <w:t>提出了图纸有关要求，招标人应根据项目具体特点和实际需要，参考本章要求编绘，但应与“投标人须知”、“通用合同条款”、“专用合同条款”、“技术标准和要求（合同技术条款）”相衔接。</w:t>
      </w:r>
    </w:p>
    <w:p>
      <w:pPr>
        <w:spacing w:line="360" w:lineRule="auto"/>
        <w:ind w:firstLine="480" w:firstLineChars="200"/>
        <w:rPr>
          <w:rFonts w:hint="eastAsia" w:ascii="宋体" w:hAnsi="宋体"/>
          <w:color w:val="auto"/>
          <w:sz w:val="24"/>
        </w:rPr>
      </w:pPr>
      <w:r>
        <w:rPr>
          <w:rFonts w:hint="eastAsia" w:ascii="宋体" w:hAnsi="宋体"/>
          <w:color w:val="auto"/>
          <w:sz w:val="24"/>
        </w:rPr>
        <w:t>九、第七章“技术标准和要求（合同技术条款）</w:t>
      </w:r>
      <w:r>
        <w:rPr>
          <w:rFonts w:ascii="宋体" w:hAnsi="宋体"/>
          <w:color w:val="auto"/>
          <w:sz w:val="24"/>
        </w:rPr>
        <w:t>”</w:t>
      </w:r>
      <w:r>
        <w:rPr>
          <w:rFonts w:hint="eastAsia" w:ascii="宋体" w:hAnsi="宋体"/>
          <w:color w:val="auto"/>
          <w:sz w:val="24"/>
        </w:rPr>
        <w:t>供参考，招标人可应根据招标项目具体特点和实际需要进行修改和补充，但应注意与“通用合同条款”、“专用合同条款”、“工程量清单”相衔接。“技术标准和要求（合同技术条款）”应符合国家强制性标准，不得要求或标明某一特定的专利、商标、名称、设计、原产地或生产供应者，不得含有倾向或者排斥投标人的其它内容。如果必须采用“参照或相当于×××技术标准”字样。“技术标准和要求（合同技术条款）”有关竣工验收（验收）以及质量评定与第四章“合同条款及格式”相关条款不一致时，以第四章“合同条款及格式”中采用的有关条款为准。</w:t>
      </w:r>
    </w:p>
    <w:p>
      <w:pPr>
        <w:spacing w:line="360" w:lineRule="auto"/>
        <w:ind w:firstLine="480" w:firstLineChars="200"/>
        <w:rPr>
          <w:rFonts w:hint="eastAsia" w:ascii="宋体" w:hAnsi="宋体"/>
          <w:color w:val="auto"/>
          <w:sz w:val="24"/>
        </w:rPr>
      </w:pPr>
      <w:r>
        <w:rPr>
          <w:rFonts w:hint="eastAsia" w:ascii="宋体" w:hAnsi="宋体"/>
          <w:color w:val="auto"/>
          <w:sz w:val="24"/>
        </w:rPr>
        <w:t>十、第八章“投标文件格式</w:t>
      </w:r>
      <w:r>
        <w:rPr>
          <w:rFonts w:ascii="宋体" w:hAnsi="宋体"/>
          <w:color w:val="auto"/>
          <w:sz w:val="24"/>
        </w:rPr>
        <w:t>”</w:t>
      </w:r>
      <w:r>
        <w:rPr>
          <w:rFonts w:hint="eastAsia" w:ascii="宋体" w:hAnsi="宋体"/>
          <w:color w:val="auto"/>
          <w:sz w:val="24"/>
        </w:rPr>
        <w:t>供招标人参考使用。</w:t>
      </w:r>
    </w:p>
    <w:p>
      <w:pPr>
        <w:spacing w:line="360" w:lineRule="auto"/>
        <w:ind w:firstLine="480" w:firstLineChars="200"/>
        <w:rPr>
          <w:rFonts w:hint="eastAsia" w:ascii="宋体" w:hAnsi="宋体"/>
          <w:color w:val="auto"/>
          <w:sz w:val="24"/>
        </w:rPr>
      </w:pPr>
      <w:r>
        <w:rPr>
          <w:rFonts w:hint="eastAsia" w:ascii="宋体" w:hAnsi="宋体"/>
          <w:color w:val="auto"/>
          <w:sz w:val="24"/>
        </w:rPr>
        <w:t>十一、《市水利施工招标文件示范文本》主要适用于市级电子交易平台，各县（市、</w:t>
      </w:r>
      <w:r>
        <w:rPr>
          <w:rFonts w:ascii="宋体" w:hAnsi="宋体"/>
          <w:color w:val="auto"/>
          <w:sz w:val="24"/>
        </w:rPr>
        <w:t>区</w:t>
      </w:r>
      <w:r>
        <w:rPr>
          <w:rFonts w:hint="eastAsia" w:ascii="宋体" w:hAnsi="宋体"/>
          <w:color w:val="auto"/>
          <w:sz w:val="24"/>
        </w:rPr>
        <w:t>）电子交易平台可参照使用。</w:t>
      </w:r>
    </w:p>
    <w:p>
      <w:pPr>
        <w:spacing w:line="360" w:lineRule="auto"/>
        <w:ind w:firstLine="480" w:firstLineChars="200"/>
        <w:rPr>
          <w:rFonts w:hint="eastAsia" w:ascii="宋体" w:hAnsi="宋体"/>
          <w:color w:val="auto"/>
          <w:sz w:val="24"/>
        </w:rPr>
      </w:pPr>
      <w:r>
        <w:rPr>
          <w:rFonts w:hint="eastAsia" w:ascii="宋体" w:hAnsi="宋体"/>
          <w:color w:val="auto"/>
          <w:sz w:val="24"/>
        </w:rPr>
        <w:t>十二、《市水利施工招标文件示范文本》为2020年版，将根据实际执行过程中出现的问题及时进行修改。各使用单位或个人对《市水利施工招标文件示范文本》的修改意见和建议，可向市公共资源交易监督管理局或市水利和</w:t>
      </w:r>
      <w:r>
        <w:rPr>
          <w:rFonts w:ascii="宋体" w:hAnsi="宋体"/>
          <w:color w:val="auto"/>
          <w:sz w:val="24"/>
        </w:rPr>
        <w:t>湖泊</w:t>
      </w:r>
      <w:r>
        <w:rPr>
          <w:rFonts w:hint="eastAsia" w:ascii="宋体" w:hAnsi="宋体"/>
          <w:color w:val="auto"/>
          <w:sz w:val="24"/>
        </w:rPr>
        <w:t>局反映。</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r>
        <w:rPr>
          <w:rFonts w:hint="eastAsia" w:ascii="宋体" w:hAnsi="宋体"/>
          <w:color w:val="auto"/>
          <w:sz w:val="24"/>
        </w:rPr>
        <w:t xml:space="preserve">襄阳市公共资源交易监督管理局 </w:t>
      </w:r>
    </w:p>
    <w:p>
      <w:pPr>
        <w:spacing w:line="360" w:lineRule="auto"/>
        <w:ind w:firstLine="480" w:firstLineChars="200"/>
        <w:rPr>
          <w:rFonts w:hint="eastAsia" w:ascii="宋体" w:hAnsi="宋体"/>
          <w:color w:val="auto"/>
          <w:sz w:val="24"/>
        </w:rPr>
      </w:pPr>
      <w:r>
        <w:rPr>
          <w:rFonts w:hint="eastAsia" w:ascii="宋体" w:hAnsi="宋体"/>
          <w:color w:val="auto"/>
          <w:sz w:val="24"/>
        </w:rPr>
        <w:t>联系电话：0710-3221596</w:t>
      </w:r>
    </w:p>
    <w:p>
      <w:pPr>
        <w:spacing w:line="360" w:lineRule="auto"/>
        <w:ind w:firstLine="480" w:firstLineChars="200"/>
        <w:rPr>
          <w:rFonts w:hint="eastAsia" w:ascii="宋体" w:hAnsi="宋体"/>
          <w:color w:val="auto"/>
          <w:sz w:val="24"/>
        </w:rPr>
      </w:pPr>
      <w:r>
        <w:rPr>
          <w:rFonts w:hint="eastAsia" w:ascii="宋体" w:hAnsi="宋体"/>
          <w:color w:val="auto"/>
          <w:sz w:val="24"/>
        </w:rPr>
        <w:t>襄阳市水利和湖泊局</w:t>
      </w:r>
    </w:p>
    <w:p>
      <w:pPr>
        <w:spacing w:line="360" w:lineRule="auto"/>
        <w:ind w:firstLine="480" w:firstLineChars="200"/>
        <w:rPr>
          <w:rFonts w:hint="eastAsia" w:ascii="宋体" w:hAnsi="宋体"/>
          <w:color w:val="auto"/>
          <w:sz w:val="24"/>
        </w:rPr>
      </w:pPr>
      <w:r>
        <w:rPr>
          <w:rFonts w:hint="eastAsia" w:ascii="宋体" w:hAnsi="宋体"/>
          <w:color w:val="auto"/>
          <w:sz w:val="24"/>
        </w:rPr>
        <w:t>联系电话：0</w:t>
      </w:r>
      <w:r>
        <w:rPr>
          <w:rFonts w:ascii="宋体" w:hAnsi="宋体"/>
          <w:color w:val="auto"/>
          <w:sz w:val="24"/>
        </w:rPr>
        <w:t>710</w:t>
      </w:r>
      <w:r>
        <w:rPr>
          <w:rFonts w:hint="eastAsia" w:ascii="宋体" w:hAnsi="宋体"/>
          <w:color w:val="auto"/>
          <w:sz w:val="24"/>
        </w:rPr>
        <w:t>-</w:t>
      </w:r>
      <w:r>
        <w:rPr>
          <w:rFonts w:ascii="宋体" w:hAnsi="宋体"/>
          <w:color w:val="auto"/>
          <w:sz w:val="24"/>
        </w:rPr>
        <w:t>3692071</w:t>
      </w:r>
      <w:r>
        <w:rPr>
          <w:rFonts w:hint="eastAsia" w:ascii="宋体" w:hAnsi="宋体"/>
          <w:color w:val="auto"/>
          <w:sz w:val="24"/>
        </w:rPr>
        <w:t xml:space="preserve"> </w:t>
      </w:r>
    </w:p>
    <w:p>
      <w:pPr>
        <w:jc w:val="center"/>
        <w:rPr>
          <w:rFonts w:hint="eastAsia" w:ascii="黑体" w:eastAsia="黑体"/>
          <w:color w:val="auto"/>
          <w:sz w:val="28"/>
          <w:szCs w:val="28"/>
          <w:u w:val="single"/>
        </w:rPr>
      </w:pPr>
    </w:p>
    <w:p>
      <w:pPr>
        <w:rPr>
          <w:rFonts w:hint="eastAsia" w:ascii="黑体" w:eastAsia="黑体"/>
          <w:color w:val="auto"/>
          <w:sz w:val="28"/>
          <w:szCs w:val="28"/>
          <w:u w:val="single"/>
        </w:rPr>
      </w:pPr>
    </w:p>
    <w:p>
      <w:pPr>
        <w:rPr>
          <w:rFonts w:ascii="黑体" w:eastAsia="黑体"/>
          <w:color w:val="auto"/>
          <w:sz w:val="28"/>
          <w:szCs w:val="28"/>
          <w:u w:val="single"/>
        </w:rPr>
        <w:sectPr>
          <w:footerReference r:id="rId6" w:type="first"/>
          <w:footerReference r:id="rId5" w:type="default"/>
          <w:pgSz w:w="11906" w:h="16838"/>
          <w:pgMar w:top="1418" w:right="1418" w:bottom="1418" w:left="1418" w:header="851" w:footer="992" w:gutter="0"/>
          <w:pgNumType w:start="0"/>
          <w:cols w:space="720" w:num="1"/>
          <w:titlePg/>
          <w:docGrid w:type="linesAndChars" w:linePitch="312" w:charSpace="0"/>
        </w:sectPr>
      </w:pPr>
    </w:p>
    <w:p>
      <w:pPr>
        <w:jc w:val="center"/>
        <w:rPr>
          <w:rFonts w:hint="eastAsia" w:ascii="黑体" w:eastAsia="黑体"/>
          <w:color w:val="auto"/>
          <w:sz w:val="28"/>
          <w:szCs w:val="28"/>
          <w:u w:val="single"/>
        </w:rPr>
      </w:pPr>
    </w:p>
    <w:p>
      <w:pPr>
        <w:jc w:val="center"/>
        <w:rPr>
          <w:rFonts w:hint="eastAsia" w:ascii="黑体" w:eastAsia="黑体"/>
          <w:color w:val="auto"/>
          <w:sz w:val="28"/>
          <w:szCs w:val="28"/>
          <w:u w:val="single"/>
        </w:rPr>
      </w:pPr>
    </w:p>
    <w:p>
      <w:pPr>
        <w:jc w:val="center"/>
        <w:rPr>
          <w:rFonts w:hint="eastAsia" w:ascii="黑体" w:eastAsia="黑体"/>
          <w:color w:val="auto"/>
          <w:sz w:val="28"/>
          <w:szCs w:val="28"/>
          <w:u w:val="single"/>
        </w:rPr>
      </w:pPr>
    </w:p>
    <w:p>
      <w:pPr>
        <w:jc w:val="center"/>
        <w:rPr>
          <w:rFonts w:hint="eastAsia" w:ascii="黑体" w:eastAsia="黑体"/>
          <w:b/>
          <w:color w:val="auto"/>
          <w:sz w:val="30"/>
          <w:szCs w:val="30"/>
          <w:u w:val="single"/>
        </w:rPr>
      </w:pPr>
      <w:r>
        <w:rPr>
          <w:rFonts w:hint="eastAsia" w:ascii="黑体" w:eastAsia="黑体"/>
          <w:b/>
          <w:color w:val="auto"/>
          <w:sz w:val="30"/>
          <w:szCs w:val="30"/>
          <w:u w:val="single"/>
        </w:rPr>
        <w:t xml:space="preserve">        </w:t>
      </w:r>
      <w:bookmarkStart w:id="14" w:name="_Toc221949912"/>
      <w:r>
        <w:rPr>
          <w:rFonts w:hint="eastAsia" w:ascii="黑体" w:eastAsia="黑体"/>
          <w:b/>
          <w:color w:val="auto"/>
          <w:sz w:val="30"/>
          <w:szCs w:val="30"/>
        </w:rPr>
        <w:t>（</w:t>
      </w:r>
      <w:r>
        <w:rPr>
          <w:rFonts w:hint="eastAsia" w:ascii="仿宋_GB2312" w:eastAsia="仿宋_GB2312"/>
          <w:b/>
          <w:color w:val="auto"/>
          <w:sz w:val="30"/>
          <w:szCs w:val="30"/>
        </w:rPr>
        <w:t>项目名称</w:t>
      </w:r>
      <w:r>
        <w:rPr>
          <w:rFonts w:hint="eastAsia" w:ascii="黑体" w:eastAsia="黑体"/>
          <w:b/>
          <w:color w:val="auto"/>
          <w:sz w:val="30"/>
          <w:szCs w:val="30"/>
        </w:rPr>
        <w:t>）</w:t>
      </w:r>
      <w:r>
        <w:rPr>
          <w:rFonts w:hint="eastAsia" w:ascii="黑体" w:eastAsia="黑体"/>
          <w:b/>
          <w:color w:val="auto"/>
          <w:sz w:val="30"/>
          <w:szCs w:val="30"/>
          <w:u w:val="single"/>
        </w:rPr>
        <w:t xml:space="preserve">         </w:t>
      </w:r>
      <w:r>
        <w:rPr>
          <w:rFonts w:hint="eastAsia" w:ascii="黑体" w:eastAsia="黑体"/>
          <w:b/>
          <w:color w:val="auto"/>
          <w:sz w:val="30"/>
          <w:szCs w:val="30"/>
        </w:rPr>
        <w:t>（</w:t>
      </w:r>
      <w:r>
        <w:rPr>
          <w:rFonts w:hint="eastAsia" w:ascii="仿宋_GB2312" w:eastAsia="仿宋_GB2312"/>
          <w:b/>
          <w:color w:val="auto"/>
          <w:sz w:val="30"/>
          <w:szCs w:val="30"/>
        </w:rPr>
        <w:t>标段名称</w:t>
      </w:r>
      <w:r>
        <w:rPr>
          <w:rFonts w:hint="eastAsia" w:ascii="黑体" w:eastAsia="黑体"/>
          <w:b/>
          <w:color w:val="auto"/>
          <w:sz w:val="30"/>
          <w:szCs w:val="30"/>
        </w:rPr>
        <w:t>）</w:t>
      </w:r>
      <w:bookmarkEnd w:id="14"/>
    </w:p>
    <w:p>
      <w:pPr>
        <w:jc w:val="center"/>
        <w:rPr>
          <w:rFonts w:hint="eastAsia"/>
          <w:color w:val="auto"/>
          <w:sz w:val="28"/>
          <w:szCs w:val="28"/>
        </w:rPr>
      </w:pPr>
    </w:p>
    <w:p>
      <w:pPr>
        <w:jc w:val="center"/>
        <w:rPr>
          <w:color w:val="auto"/>
          <w:sz w:val="28"/>
          <w:szCs w:val="28"/>
        </w:rPr>
      </w:pPr>
    </w:p>
    <w:p>
      <w:pPr>
        <w:jc w:val="center"/>
        <w:rPr>
          <w:rFonts w:ascii="黑体" w:eastAsia="黑体"/>
          <w:color w:val="auto"/>
          <w:sz w:val="72"/>
          <w:szCs w:val="72"/>
        </w:rPr>
      </w:pPr>
      <w:bookmarkStart w:id="15" w:name="_Toc221949913"/>
      <w:r>
        <w:rPr>
          <w:rFonts w:hint="eastAsia" w:ascii="黑体" w:eastAsia="黑体"/>
          <w:color w:val="auto"/>
          <w:sz w:val="72"/>
          <w:szCs w:val="72"/>
        </w:rPr>
        <w:t>招   标  文  件</w:t>
      </w:r>
      <w:bookmarkEnd w:id="15"/>
    </w:p>
    <w:p>
      <w:pPr>
        <w:spacing w:line="400" w:lineRule="exact"/>
        <w:jc w:val="center"/>
        <w:rPr>
          <w:rFonts w:hint="eastAsia"/>
          <w:color w:val="auto"/>
        </w:rPr>
      </w:pPr>
    </w:p>
    <w:p>
      <w:pPr>
        <w:spacing w:line="400" w:lineRule="exact"/>
        <w:ind w:firstLine="3780" w:firstLineChars="1350"/>
        <w:rPr>
          <w:rFonts w:hint="eastAsia"/>
          <w:color w:val="auto"/>
          <w:sz w:val="28"/>
          <w:szCs w:val="28"/>
        </w:rPr>
      </w:pPr>
      <w:bookmarkStart w:id="16" w:name="_Toc221949914"/>
      <w:r>
        <w:rPr>
          <w:rFonts w:hint="eastAsia"/>
          <w:color w:val="auto"/>
          <w:sz w:val="28"/>
          <w:szCs w:val="28"/>
        </w:rPr>
        <w:t>招标编号</w:t>
      </w:r>
      <w:r>
        <w:rPr>
          <w:color w:val="auto"/>
          <w:sz w:val="28"/>
          <w:szCs w:val="28"/>
        </w:rPr>
        <w:t xml:space="preserve">: </w:t>
      </w:r>
      <w:bookmarkEnd w:id="16"/>
      <w:r>
        <w:rPr>
          <w:rFonts w:hint="eastAsia"/>
          <w:color w:val="auto"/>
          <w:sz w:val="28"/>
          <w:szCs w:val="28"/>
          <w:u w:val="single"/>
        </w:rPr>
        <w:t xml:space="preserve">         </w:t>
      </w: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rFonts w:hint="eastAsia"/>
          <w:color w:val="auto"/>
        </w:rPr>
      </w:pPr>
    </w:p>
    <w:p>
      <w:pPr>
        <w:spacing w:line="400" w:lineRule="exact"/>
        <w:jc w:val="center"/>
        <w:rPr>
          <w:rFonts w:hint="eastAsia"/>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spacing w:line="400" w:lineRule="exact"/>
        <w:jc w:val="center"/>
        <w:rPr>
          <w:color w:val="auto"/>
        </w:rPr>
      </w:pPr>
    </w:p>
    <w:p>
      <w:pPr>
        <w:ind w:firstLine="1120" w:firstLineChars="400"/>
        <w:rPr>
          <w:rFonts w:hint="eastAsia" w:ascii="黑体" w:eastAsia="黑体"/>
          <w:b/>
          <w:color w:val="auto"/>
          <w:sz w:val="28"/>
          <w:szCs w:val="28"/>
        </w:rPr>
      </w:pPr>
      <w:r>
        <w:rPr>
          <w:rFonts w:hint="eastAsia" w:ascii="黑体" w:eastAsia="黑体"/>
          <w:b/>
          <w:color w:val="auto"/>
          <w:sz w:val="28"/>
          <w:szCs w:val="28"/>
        </w:rPr>
        <w:t>招      标     人：</w:t>
      </w:r>
      <w:r>
        <w:rPr>
          <w:rFonts w:hint="eastAsia" w:ascii="黑体" w:eastAsia="黑体"/>
          <w:b/>
          <w:color w:val="auto"/>
          <w:sz w:val="28"/>
          <w:szCs w:val="28"/>
          <w:u w:val="single"/>
        </w:rPr>
        <w:t xml:space="preserve">                          </w:t>
      </w:r>
    </w:p>
    <w:p>
      <w:pPr>
        <w:ind w:firstLine="1120" w:firstLineChars="400"/>
        <w:rPr>
          <w:rFonts w:hint="eastAsia" w:ascii="黑体" w:eastAsia="黑体"/>
          <w:b/>
          <w:color w:val="auto"/>
          <w:sz w:val="28"/>
          <w:szCs w:val="28"/>
        </w:rPr>
      </w:pPr>
      <w:r>
        <w:rPr>
          <w:rFonts w:hint="eastAsia" w:ascii="黑体" w:eastAsia="黑体"/>
          <w:b/>
          <w:color w:val="auto"/>
          <w:sz w:val="28"/>
          <w:szCs w:val="28"/>
        </w:rPr>
        <w:t>招 标 代 理 机 构：</w:t>
      </w:r>
      <w:r>
        <w:rPr>
          <w:rFonts w:hint="eastAsia" w:ascii="黑体" w:eastAsia="黑体"/>
          <w:b/>
          <w:color w:val="auto"/>
          <w:sz w:val="28"/>
          <w:szCs w:val="28"/>
          <w:u w:val="single"/>
        </w:rPr>
        <w:t xml:space="preserve">                    </w:t>
      </w:r>
      <w:r>
        <w:rPr>
          <w:rFonts w:hint="eastAsia" w:ascii="黑体" w:eastAsia="黑体"/>
          <w:b/>
          <w:color w:val="auto"/>
          <w:sz w:val="28"/>
          <w:szCs w:val="28"/>
        </w:rPr>
        <w:t>(盖章)</w:t>
      </w:r>
    </w:p>
    <w:p>
      <w:pPr>
        <w:ind w:firstLine="1120" w:firstLineChars="400"/>
        <w:rPr>
          <w:rFonts w:hint="eastAsia" w:ascii="黑体" w:eastAsia="黑体"/>
          <w:b/>
          <w:color w:val="auto"/>
          <w:sz w:val="28"/>
          <w:szCs w:val="28"/>
        </w:rPr>
      </w:pPr>
      <w:r>
        <w:rPr>
          <w:rFonts w:hint="eastAsia" w:ascii="黑体" w:eastAsia="黑体"/>
          <w:b/>
          <w:color w:val="auto"/>
          <w:sz w:val="28"/>
          <w:szCs w:val="28"/>
        </w:rPr>
        <w:t>项 目 招 标 负 责 人：</w:t>
      </w:r>
      <w:r>
        <w:rPr>
          <w:rFonts w:hint="eastAsia" w:ascii="黑体" w:eastAsia="黑体"/>
          <w:b/>
          <w:color w:val="auto"/>
          <w:sz w:val="28"/>
          <w:szCs w:val="28"/>
          <w:u w:val="single"/>
        </w:rPr>
        <w:t xml:space="preserve">                        </w:t>
      </w:r>
    </w:p>
    <w:p>
      <w:pPr>
        <w:ind w:firstLine="1120" w:firstLineChars="400"/>
        <w:rPr>
          <w:rFonts w:hint="eastAsia" w:ascii="黑体" w:eastAsia="黑体"/>
          <w:color w:val="auto"/>
          <w:sz w:val="28"/>
          <w:szCs w:val="28"/>
          <w:u w:val="single"/>
        </w:rPr>
      </w:pPr>
      <w:r>
        <w:rPr>
          <w:rFonts w:hint="eastAsia" w:ascii="黑体" w:eastAsia="黑体"/>
          <w:b/>
          <w:color w:val="auto"/>
          <w:sz w:val="28"/>
          <w:szCs w:val="28"/>
        </w:rPr>
        <w:t>日               期：</w:t>
      </w:r>
      <w:r>
        <w:rPr>
          <w:rFonts w:hint="eastAsia" w:ascii="黑体" w:eastAsia="黑体"/>
          <w:b/>
          <w:color w:val="auto"/>
          <w:sz w:val="28"/>
          <w:szCs w:val="28"/>
          <w:u w:val="single"/>
        </w:rPr>
        <w:t xml:space="preserve">         </w:t>
      </w:r>
      <w:r>
        <w:rPr>
          <w:rFonts w:hint="eastAsia" w:ascii="黑体" w:eastAsia="黑体"/>
          <w:b/>
          <w:color w:val="auto"/>
          <w:sz w:val="28"/>
          <w:szCs w:val="28"/>
        </w:rPr>
        <w:t>年</w:t>
      </w:r>
      <w:r>
        <w:rPr>
          <w:rFonts w:hint="eastAsia" w:ascii="黑体" w:eastAsia="黑体"/>
          <w:b/>
          <w:color w:val="auto"/>
          <w:sz w:val="28"/>
          <w:szCs w:val="28"/>
          <w:u w:val="single"/>
        </w:rPr>
        <w:t xml:space="preserve">     </w:t>
      </w:r>
      <w:r>
        <w:rPr>
          <w:rFonts w:hint="eastAsia" w:ascii="黑体" w:eastAsia="黑体"/>
          <w:b/>
          <w:color w:val="auto"/>
          <w:sz w:val="28"/>
          <w:szCs w:val="28"/>
        </w:rPr>
        <w:t>月</w:t>
      </w:r>
      <w:r>
        <w:rPr>
          <w:rFonts w:hint="eastAsia" w:ascii="黑体" w:eastAsia="黑体"/>
          <w:b/>
          <w:color w:val="auto"/>
          <w:sz w:val="28"/>
          <w:szCs w:val="28"/>
          <w:u w:val="single"/>
        </w:rPr>
        <w:t xml:space="preserve">     </w:t>
      </w:r>
      <w:r>
        <w:rPr>
          <w:rFonts w:hint="eastAsia" w:ascii="黑体" w:eastAsia="黑体"/>
          <w:b/>
          <w:color w:val="auto"/>
          <w:sz w:val="28"/>
          <w:szCs w:val="28"/>
        </w:rPr>
        <w:t>日</w:t>
      </w:r>
      <w:r>
        <w:rPr>
          <w:rFonts w:hint="eastAsia" w:ascii="黑体" w:eastAsia="黑体"/>
          <w:color w:val="auto"/>
          <w:sz w:val="28"/>
          <w:szCs w:val="28"/>
        </w:rPr>
        <w:t xml:space="preserve">           </w:t>
      </w:r>
    </w:p>
    <w:p>
      <w:pPr>
        <w:ind w:firstLine="2940" w:firstLineChars="1050"/>
        <w:rPr>
          <w:rFonts w:ascii="黑体" w:eastAsia="黑体"/>
          <w:color w:val="auto"/>
          <w:sz w:val="28"/>
          <w:szCs w:val="28"/>
        </w:rPr>
        <w:sectPr>
          <w:pgSz w:w="11906" w:h="16838"/>
          <w:pgMar w:top="1418" w:right="1418" w:bottom="1418" w:left="1418" w:header="851" w:footer="992" w:gutter="0"/>
          <w:pgNumType w:fmt="upperRoman" w:start="1"/>
          <w:cols w:space="720" w:num="1"/>
          <w:titlePg/>
          <w:docGrid w:type="linesAndChars" w:linePitch="312" w:charSpace="0"/>
        </w:sectPr>
      </w:pPr>
    </w:p>
    <w:p>
      <w:pPr>
        <w:pStyle w:val="14"/>
        <w:spacing w:line="293" w:lineRule="auto"/>
        <w:jc w:val="center"/>
        <w:rPr>
          <w:rFonts w:hint="eastAsia" w:hAnsi="宋体"/>
          <w:b/>
          <w:snapToGrid w:val="0"/>
          <w:color w:val="auto"/>
          <w:kern w:val="0"/>
          <w:sz w:val="32"/>
          <w:szCs w:val="32"/>
        </w:rPr>
      </w:pPr>
      <w:r>
        <w:rPr>
          <w:rFonts w:hint="eastAsia" w:hAnsi="宋体"/>
          <w:b/>
          <w:snapToGrid w:val="0"/>
          <w:color w:val="auto"/>
          <w:kern w:val="0"/>
          <w:sz w:val="32"/>
          <w:szCs w:val="32"/>
        </w:rPr>
        <w:t>目  录</w:t>
      </w:r>
    </w:p>
    <w:p>
      <w:pPr>
        <w:pStyle w:val="26"/>
        <w:tabs>
          <w:tab w:val="right" w:leader="dot" w:pos="9070"/>
        </w:tabs>
      </w:pPr>
      <w:r>
        <w:rPr>
          <w:rFonts w:hAnsi="宋体"/>
          <w:b w:val="0"/>
          <w:bCs w:val="0"/>
          <w:caps w:val="0"/>
          <w:color w:val="auto"/>
          <w:sz w:val="21"/>
          <w:szCs w:val="21"/>
        </w:rPr>
        <w:fldChar w:fldCharType="begin"/>
      </w:r>
      <w:r>
        <w:rPr>
          <w:rFonts w:hAnsi="宋体"/>
          <w:b w:val="0"/>
          <w:bCs w:val="0"/>
          <w:caps w:val="0"/>
          <w:color w:val="auto"/>
          <w:sz w:val="21"/>
          <w:szCs w:val="21"/>
        </w:rPr>
        <w:instrText xml:space="preserve"> TOC \o "1-4" \h \z \u </w:instrText>
      </w:r>
      <w:r>
        <w:rPr>
          <w:rFonts w:hAnsi="宋体"/>
          <w:b w:val="0"/>
          <w:bCs w:val="0"/>
          <w:caps w:val="0"/>
          <w:color w:val="auto"/>
          <w:sz w:val="21"/>
          <w:szCs w:val="21"/>
        </w:rPr>
        <w:fldChar w:fldCharType="separate"/>
      </w:r>
      <w:r>
        <w:rPr>
          <w:rFonts w:hAnsi="宋体"/>
          <w:bCs w:val="0"/>
          <w:caps w:val="0"/>
          <w:color w:val="auto"/>
          <w:szCs w:val="21"/>
        </w:rPr>
        <w:fldChar w:fldCharType="begin"/>
      </w:r>
      <w:r>
        <w:rPr>
          <w:rFonts w:hAnsi="宋体"/>
          <w:bCs w:val="0"/>
          <w:caps w:val="0"/>
          <w:szCs w:val="21"/>
        </w:rPr>
        <w:instrText xml:space="preserve"> HYPERLINK \l _Toc10150 </w:instrText>
      </w:r>
      <w:r>
        <w:rPr>
          <w:rFonts w:hAnsi="宋体"/>
          <w:bCs w:val="0"/>
          <w:caps w:val="0"/>
          <w:szCs w:val="21"/>
        </w:rPr>
        <w:fldChar w:fldCharType="separate"/>
      </w:r>
      <w:r>
        <w:rPr>
          <w:rFonts w:hint="eastAsia" w:ascii="黑体" w:hAnsi="黑体" w:eastAsia="黑体"/>
          <w:bCs/>
          <w:szCs w:val="36"/>
        </w:rPr>
        <w:t>第  一  卷</w:t>
      </w:r>
      <w:r>
        <w:tab/>
      </w:r>
      <w:r>
        <w:fldChar w:fldCharType="begin"/>
      </w:r>
      <w:r>
        <w:instrText xml:space="preserve"> PAGEREF _Toc10150 </w:instrText>
      </w:r>
      <w:r>
        <w:fldChar w:fldCharType="separate"/>
      </w:r>
      <w:r>
        <w:t>1</w:t>
      </w:r>
      <w:r>
        <w:fldChar w:fldCharType="end"/>
      </w:r>
      <w:r>
        <w:rPr>
          <w:rFonts w:hAnsi="宋体"/>
          <w:bCs w:val="0"/>
          <w:caps w:val="0"/>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_Toc11188 </w:instrText>
      </w:r>
      <w:r>
        <w:rPr>
          <w:rFonts w:ascii="宋体" w:hAnsi="宋体"/>
          <w:bCs w:val="0"/>
          <w:caps w:val="0"/>
          <w:szCs w:val="21"/>
        </w:rPr>
        <w:fldChar w:fldCharType="separate"/>
      </w:r>
      <w:r>
        <w:rPr>
          <w:rFonts w:hint="eastAsia" w:ascii="黑体" w:hAnsi="黑体" w:eastAsia="黑体"/>
          <w:bCs/>
        </w:rPr>
        <w:t>第一章  招标公告（适用于未进行资格预审）</w:t>
      </w:r>
      <w:r>
        <w:tab/>
      </w:r>
      <w:r>
        <w:fldChar w:fldCharType="begin"/>
      </w:r>
      <w:r>
        <w:instrText xml:space="preserve"> PAGEREF _Toc11188 </w:instrText>
      </w:r>
      <w:r>
        <w:fldChar w:fldCharType="separate"/>
      </w:r>
      <w:r>
        <w:t>2</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_Toc28016 </w:instrText>
      </w:r>
      <w:r>
        <w:rPr>
          <w:rFonts w:ascii="宋体" w:hAnsi="宋体"/>
          <w:bCs/>
          <w:caps/>
          <w:szCs w:val="21"/>
        </w:rPr>
        <w:fldChar w:fldCharType="separate"/>
      </w:r>
      <w:r>
        <w:t xml:space="preserve">1. </w:t>
      </w:r>
      <w:r>
        <w:rPr>
          <w:rFonts w:hint="eastAsia"/>
        </w:rPr>
        <w:t>招标条件</w:t>
      </w:r>
      <w:r>
        <w:tab/>
      </w:r>
      <w:r>
        <w:fldChar w:fldCharType="begin"/>
      </w:r>
      <w:r>
        <w:instrText xml:space="preserve"> PAGEREF _Toc28016 </w:instrText>
      </w:r>
      <w:r>
        <w:fldChar w:fldCharType="separate"/>
      </w:r>
      <w:r>
        <w:t>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_Toc761 </w:instrText>
      </w:r>
      <w:r>
        <w:rPr>
          <w:rFonts w:ascii="宋体" w:hAnsi="宋体"/>
          <w:bCs/>
          <w:caps/>
          <w:szCs w:val="21"/>
        </w:rPr>
        <w:fldChar w:fldCharType="separate"/>
      </w:r>
      <w:r>
        <w:t xml:space="preserve">2. </w:t>
      </w:r>
      <w:r>
        <w:rPr>
          <w:rFonts w:hint="eastAsia"/>
        </w:rPr>
        <w:t>项目概况与招标范围</w:t>
      </w:r>
      <w:r>
        <w:tab/>
      </w:r>
      <w:r>
        <w:fldChar w:fldCharType="begin"/>
      </w:r>
      <w:r>
        <w:instrText xml:space="preserve"> PAGEREF _Toc761 </w:instrText>
      </w:r>
      <w:r>
        <w:fldChar w:fldCharType="separate"/>
      </w:r>
      <w:r>
        <w:t>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_Toc9430 </w:instrText>
      </w:r>
      <w:r>
        <w:rPr>
          <w:rFonts w:ascii="宋体" w:hAnsi="宋体"/>
          <w:bCs/>
          <w:caps/>
          <w:szCs w:val="21"/>
        </w:rPr>
        <w:fldChar w:fldCharType="separate"/>
      </w:r>
      <w:r>
        <w:t xml:space="preserve">3. </w:t>
      </w:r>
      <w:r>
        <w:rPr>
          <w:rFonts w:hint="eastAsia"/>
        </w:rPr>
        <w:t>投标人资格要求</w:t>
      </w:r>
      <w:r>
        <w:tab/>
      </w:r>
      <w:r>
        <w:fldChar w:fldCharType="begin"/>
      </w:r>
      <w:r>
        <w:instrText xml:space="preserve"> PAGEREF _Toc9430 </w:instrText>
      </w:r>
      <w:r>
        <w:fldChar w:fldCharType="separate"/>
      </w:r>
      <w:r>
        <w:t>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_Toc32708 </w:instrText>
      </w:r>
      <w:r>
        <w:rPr>
          <w:rFonts w:ascii="宋体" w:hAnsi="宋体"/>
          <w:bCs/>
          <w:caps/>
          <w:szCs w:val="21"/>
        </w:rPr>
        <w:fldChar w:fldCharType="separate"/>
      </w:r>
      <w:r>
        <w:t xml:space="preserve">4. </w:t>
      </w:r>
      <w:r>
        <w:rPr>
          <w:rFonts w:hint="eastAsia"/>
        </w:rPr>
        <w:t>招标文件的获取</w:t>
      </w:r>
      <w:r>
        <w:tab/>
      </w:r>
      <w:r>
        <w:fldChar w:fldCharType="begin"/>
      </w:r>
      <w:r>
        <w:instrText xml:space="preserve"> PAGEREF _Toc32708 </w:instrText>
      </w:r>
      <w:r>
        <w:fldChar w:fldCharType="separate"/>
      </w:r>
      <w:r>
        <w:t>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_Toc13726 </w:instrText>
      </w:r>
      <w:r>
        <w:rPr>
          <w:rFonts w:ascii="宋体" w:hAnsi="宋体"/>
          <w:bCs/>
          <w:caps/>
          <w:szCs w:val="21"/>
        </w:rPr>
        <w:fldChar w:fldCharType="separate"/>
      </w:r>
      <w:r>
        <w:rPr>
          <w:rFonts w:hint="eastAsia"/>
        </w:rPr>
        <w:t>6.投标相关事宜</w:t>
      </w:r>
      <w:r>
        <w:tab/>
      </w:r>
      <w:r>
        <w:fldChar w:fldCharType="begin"/>
      </w:r>
      <w:r>
        <w:instrText xml:space="preserve"> PAGEREF _Toc13726 </w:instrText>
      </w:r>
      <w:r>
        <w:fldChar w:fldCharType="separate"/>
      </w:r>
      <w:r>
        <w:t>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_Toc26518 </w:instrText>
      </w:r>
      <w:r>
        <w:rPr>
          <w:rFonts w:ascii="宋体" w:hAnsi="宋体"/>
          <w:bCs/>
          <w:caps/>
          <w:szCs w:val="21"/>
        </w:rPr>
        <w:fldChar w:fldCharType="separate"/>
      </w:r>
      <w:r>
        <w:rPr>
          <w:rFonts w:hint="eastAsia"/>
        </w:rPr>
        <w:t>7.评标办法</w:t>
      </w:r>
      <w:r>
        <w:tab/>
      </w:r>
      <w:r>
        <w:fldChar w:fldCharType="begin"/>
      </w:r>
      <w:r>
        <w:instrText xml:space="preserve"> PAGEREF _Toc26518 </w:instrText>
      </w:r>
      <w:r>
        <w:fldChar w:fldCharType="separate"/>
      </w:r>
      <w:r>
        <w:t>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_Toc8392 </w:instrText>
      </w:r>
      <w:r>
        <w:rPr>
          <w:rFonts w:ascii="宋体" w:hAnsi="宋体"/>
          <w:bCs/>
          <w:caps/>
          <w:szCs w:val="21"/>
        </w:rPr>
        <w:fldChar w:fldCharType="separate"/>
      </w:r>
      <w:r>
        <w:rPr>
          <w:rFonts w:hint="eastAsia"/>
        </w:rPr>
        <w:t>8</w:t>
      </w:r>
      <w:r>
        <w:t xml:space="preserve">. </w:t>
      </w:r>
      <w:r>
        <w:rPr>
          <w:rFonts w:hint="eastAsia"/>
        </w:rPr>
        <w:t>发布公告的媒介</w:t>
      </w:r>
      <w:r>
        <w:tab/>
      </w:r>
      <w:r>
        <w:fldChar w:fldCharType="begin"/>
      </w:r>
      <w:r>
        <w:instrText xml:space="preserve"> PAGEREF _Toc8392 </w:instrText>
      </w:r>
      <w:r>
        <w:fldChar w:fldCharType="separate"/>
      </w:r>
      <w:r>
        <w:t>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_Toc27343 </w:instrText>
      </w:r>
      <w:r>
        <w:rPr>
          <w:rFonts w:ascii="宋体" w:hAnsi="宋体"/>
          <w:bCs/>
          <w:caps/>
          <w:szCs w:val="21"/>
        </w:rPr>
        <w:fldChar w:fldCharType="separate"/>
      </w:r>
      <w:r>
        <w:rPr>
          <w:rFonts w:hint="eastAsia"/>
        </w:rPr>
        <w:t>9</w:t>
      </w:r>
      <w:r>
        <w:t xml:space="preserve">. </w:t>
      </w:r>
      <w:r>
        <w:rPr>
          <w:rFonts w:hint="eastAsia"/>
        </w:rPr>
        <w:t>联系方式</w:t>
      </w:r>
      <w:r>
        <w:tab/>
      </w:r>
      <w:r>
        <w:fldChar w:fldCharType="begin"/>
      </w:r>
      <w:r>
        <w:instrText xml:space="preserve"> PAGEREF _Toc27343 </w:instrText>
      </w:r>
      <w:r>
        <w:fldChar w:fldCharType="separate"/>
      </w:r>
      <w:r>
        <w:t>4</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_Toc17174 </w:instrText>
      </w:r>
      <w:r>
        <w:rPr>
          <w:rFonts w:ascii="宋体" w:hAnsi="宋体"/>
          <w:bCs w:val="0"/>
          <w:caps w:val="0"/>
          <w:szCs w:val="21"/>
        </w:rPr>
        <w:fldChar w:fldCharType="separate"/>
      </w:r>
      <w:r>
        <w:rPr>
          <w:rFonts w:hint="eastAsia" w:ascii="黑体" w:hAnsi="黑体" w:eastAsia="黑体"/>
          <w:bCs/>
        </w:rPr>
        <w:t>第一章  投标邀请书（适用于邀请招标）</w:t>
      </w:r>
      <w:r>
        <w:tab/>
      </w:r>
      <w:r>
        <w:fldChar w:fldCharType="begin"/>
      </w:r>
      <w:r>
        <w:instrText xml:space="preserve"> PAGEREF _Toc17174 </w:instrText>
      </w:r>
      <w:r>
        <w:fldChar w:fldCharType="separate"/>
      </w:r>
      <w:r>
        <w:t>5</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_Toc4508 </w:instrText>
      </w:r>
      <w:r>
        <w:rPr>
          <w:rFonts w:ascii="宋体" w:hAnsi="宋体"/>
          <w:bCs/>
          <w:caps/>
          <w:szCs w:val="21"/>
        </w:rPr>
        <w:fldChar w:fldCharType="separate"/>
      </w:r>
      <w:r>
        <w:t xml:space="preserve">1. </w:t>
      </w:r>
      <w:r>
        <w:rPr>
          <w:rFonts w:hint="eastAsia"/>
        </w:rPr>
        <w:t>招标条件</w:t>
      </w:r>
      <w:r>
        <w:tab/>
      </w:r>
      <w:r>
        <w:fldChar w:fldCharType="begin"/>
      </w:r>
      <w:r>
        <w:instrText xml:space="preserve"> PAGEREF _Toc4508 </w:instrText>
      </w:r>
      <w:r>
        <w:fldChar w:fldCharType="separate"/>
      </w:r>
      <w:r>
        <w:t>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_Toc28837 </w:instrText>
      </w:r>
      <w:r>
        <w:rPr>
          <w:rFonts w:ascii="宋体" w:hAnsi="宋体"/>
          <w:bCs/>
          <w:caps/>
          <w:szCs w:val="21"/>
        </w:rPr>
        <w:fldChar w:fldCharType="separate"/>
      </w:r>
      <w:r>
        <w:t xml:space="preserve">2. </w:t>
      </w:r>
      <w:r>
        <w:rPr>
          <w:rFonts w:hint="eastAsia"/>
        </w:rPr>
        <w:t>项目概况与招标范围</w:t>
      </w:r>
      <w:r>
        <w:tab/>
      </w:r>
      <w:r>
        <w:fldChar w:fldCharType="begin"/>
      </w:r>
      <w:r>
        <w:instrText xml:space="preserve"> PAGEREF _Toc28837 </w:instrText>
      </w:r>
      <w:r>
        <w:fldChar w:fldCharType="separate"/>
      </w:r>
      <w:r>
        <w:t>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_Toc16811 </w:instrText>
      </w:r>
      <w:r>
        <w:rPr>
          <w:rFonts w:ascii="宋体" w:hAnsi="宋体"/>
          <w:bCs/>
          <w:caps/>
          <w:szCs w:val="21"/>
        </w:rPr>
        <w:fldChar w:fldCharType="separate"/>
      </w:r>
      <w:r>
        <w:t xml:space="preserve">3. </w:t>
      </w:r>
      <w:r>
        <w:rPr>
          <w:rFonts w:hint="eastAsia"/>
        </w:rPr>
        <w:t>投标人资格要求</w:t>
      </w:r>
      <w:r>
        <w:tab/>
      </w:r>
      <w:r>
        <w:fldChar w:fldCharType="begin"/>
      </w:r>
      <w:r>
        <w:instrText xml:space="preserve"> PAGEREF _Toc16811 </w:instrText>
      </w:r>
      <w:r>
        <w:fldChar w:fldCharType="separate"/>
      </w:r>
      <w:r>
        <w:t>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_Toc23145 </w:instrText>
      </w:r>
      <w:r>
        <w:rPr>
          <w:rFonts w:ascii="宋体" w:hAnsi="宋体"/>
          <w:bCs/>
          <w:caps/>
          <w:szCs w:val="21"/>
        </w:rPr>
        <w:fldChar w:fldCharType="separate"/>
      </w:r>
      <w:r>
        <w:t xml:space="preserve">4. </w:t>
      </w:r>
      <w:r>
        <w:rPr>
          <w:rFonts w:hint="eastAsia"/>
        </w:rPr>
        <w:t>招标文件的获取</w:t>
      </w:r>
      <w:r>
        <w:tab/>
      </w:r>
      <w:r>
        <w:fldChar w:fldCharType="begin"/>
      </w:r>
      <w:r>
        <w:instrText xml:space="preserve"> PAGEREF _Toc23145 </w:instrText>
      </w:r>
      <w:r>
        <w:fldChar w:fldCharType="separate"/>
      </w:r>
      <w:r>
        <w:t>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_Toc10797 </w:instrText>
      </w:r>
      <w:r>
        <w:rPr>
          <w:rFonts w:ascii="宋体" w:hAnsi="宋体"/>
          <w:bCs/>
          <w:caps/>
          <w:szCs w:val="21"/>
        </w:rPr>
        <w:fldChar w:fldCharType="separate"/>
      </w:r>
      <w:r>
        <w:t xml:space="preserve">5. </w:t>
      </w:r>
      <w:r>
        <w:rPr>
          <w:rFonts w:hint="eastAsia"/>
        </w:rPr>
        <w:t>投标文件的递交</w:t>
      </w:r>
      <w:r>
        <w:tab/>
      </w:r>
      <w:r>
        <w:fldChar w:fldCharType="begin"/>
      </w:r>
      <w:r>
        <w:instrText xml:space="preserve"> PAGEREF _Toc10797 </w:instrText>
      </w:r>
      <w:r>
        <w:fldChar w:fldCharType="separate"/>
      </w:r>
      <w:r>
        <w:t>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_Toc29848 </w:instrText>
      </w:r>
      <w:r>
        <w:rPr>
          <w:rFonts w:ascii="宋体" w:hAnsi="宋体"/>
          <w:bCs/>
          <w:caps/>
          <w:szCs w:val="21"/>
        </w:rPr>
        <w:fldChar w:fldCharType="separate"/>
      </w:r>
      <w:r>
        <w:rPr>
          <w:rFonts w:hint="eastAsia"/>
        </w:rPr>
        <w:t>6.投标相关事宜</w:t>
      </w:r>
      <w:r>
        <w:tab/>
      </w:r>
      <w:r>
        <w:fldChar w:fldCharType="begin"/>
      </w:r>
      <w:r>
        <w:instrText xml:space="preserve"> PAGEREF _Toc29848 </w:instrText>
      </w:r>
      <w:r>
        <w:fldChar w:fldCharType="separate"/>
      </w:r>
      <w:r>
        <w:t>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_Toc4391 </w:instrText>
      </w:r>
      <w:r>
        <w:rPr>
          <w:rFonts w:ascii="宋体" w:hAnsi="宋体"/>
          <w:bCs/>
          <w:caps/>
          <w:szCs w:val="21"/>
        </w:rPr>
        <w:fldChar w:fldCharType="separate"/>
      </w:r>
      <w:r>
        <w:rPr>
          <w:rFonts w:hint="eastAsia"/>
        </w:rPr>
        <w:t>7.评标办法</w:t>
      </w:r>
      <w:r>
        <w:tab/>
      </w:r>
      <w:r>
        <w:fldChar w:fldCharType="begin"/>
      </w:r>
      <w:r>
        <w:instrText xml:space="preserve"> PAGEREF _Toc4391 </w:instrText>
      </w:r>
      <w:r>
        <w:fldChar w:fldCharType="separate"/>
      </w:r>
      <w:r>
        <w:t>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_Toc3386 </w:instrText>
      </w:r>
      <w:r>
        <w:rPr>
          <w:rFonts w:ascii="宋体" w:hAnsi="宋体"/>
          <w:bCs/>
          <w:caps/>
          <w:szCs w:val="21"/>
        </w:rPr>
        <w:fldChar w:fldCharType="separate"/>
      </w:r>
      <w:r>
        <w:rPr>
          <w:rFonts w:hint="eastAsia"/>
        </w:rPr>
        <w:t>8</w:t>
      </w:r>
      <w:r>
        <w:t xml:space="preserve">. </w:t>
      </w:r>
      <w:r>
        <w:rPr>
          <w:rFonts w:hint="eastAsia"/>
        </w:rPr>
        <w:t>联系方式</w:t>
      </w:r>
      <w:r>
        <w:tab/>
      </w:r>
      <w:r>
        <w:fldChar w:fldCharType="begin"/>
      </w:r>
      <w:r>
        <w:instrText xml:space="preserve"> PAGEREF _Toc3386 </w:instrText>
      </w:r>
      <w:r>
        <w:fldChar w:fldCharType="separate"/>
      </w:r>
      <w:r>
        <w:t>6</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_Toc5165 </w:instrText>
      </w:r>
      <w:r>
        <w:rPr>
          <w:rFonts w:ascii="宋体" w:hAnsi="宋体"/>
          <w:bCs w:val="0"/>
          <w:caps w:val="0"/>
          <w:szCs w:val="21"/>
        </w:rPr>
        <w:fldChar w:fldCharType="separate"/>
      </w:r>
      <w:r>
        <w:rPr>
          <w:rFonts w:hint="eastAsia" w:ascii="黑体" w:hAnsi="黑体" w:eastAsia="黑体"/>
          <w:bCs/>
        </w:rPr>
        <w:t>第二章  投标人须知</w:t>
      </w:r>
      <w:r>
        <w:tab/>
      </w:r>
      <w:r>
        <w:fldChar w:fldCharType="begin"/>
      </w:r>
      <w:r>
        <w:instrText xml:space="preserve"> PAGEREF _Toc5165 </w:instrText>
      </w:r>
      <w:r>
        <w:fldChar w:fldCharType="separate"/>
      </w:r>
      <w:r>
        <w:t>8</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_Toc31873 </w:instrText>
      </w:r>
      <w:r>
        <w:rPr>
          <w:rFonts w:ascii="宋体" w:hAnsi="宋体"/>
          <w:bCs/>
          <w:caps/>
          <w:szCs w:val="21"/>
        </w:rPr>
        <w:fldChar w:fldCharType="separate"/>
      </w:r>
      <w:r>
        <w:rPr>
          <w:rFonts w:hint="eastAsia" w:ascii="黑体" w:hAnsi="黑体" w:eastAsia="黑体"/>
        </w:rPr>
        <w:t>投标人须知前附表</w:t>
      </w:r>
      <w:r>
        <w:tab/>
      </w:r>
      <w:r>
        <w:fldChar w:fldCharType="begin"/>
      </w:r>
      <w:r>
        <w:instrText xml:space="preserve"> PAGEREF _Toc31873 </w:instrText>
      </w:r>
      <w:r>
        <w:fldChar w:fldCharType="separate"/>
      </w:r>
      <w:r>
        <w:t>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_Toc16367 </w:instrText>
      </w:r>
      <w:r>
        <w:rPr>
          <w:rFonts w:ascii="宋体" w:hAnsi="宋体"/>
          <w:bCs/>
          <w:caps/>
          <w:szCs w:val="21"/>
        </w:rPr>
        <w:fldChar w:fldCharType="separate"/>
      </w:r>
      <w:r>
        <w:rPr>
          <w:rFonts w:hint="eastAsia"/>
        </w:rPr>
        <w:t>1. 总则</w:t>
      </w:r>
      <w:r>
        <w:tab/>
      </w:r>
      <w:r>
        <w:fldChar w:fldCharType="begin"/>
      </w:r>
      <w:r>
        <w:instrText xml:space="preserve"> PAGEREF _Toc16367 </w:instrText>
      </w:r>
      <w:r>
        <w:fldChar w:fldCharType="separate"/>
      </w:r>
      <w:r>
        <w:t>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_Toc25749 </w:instrText>
      </w:r>
      <w:r>
        <w:rPr>
          <w:rFonts w:ascii="宋体" w:hAnsi="宋体"/>
          <w:bCs/>
          <w:caps/>
          <w:szCs w:val="21"/>
        </w:rPr>
        <w:fldChar w:fldCharType="separate"/>
      </w:r>
      <w:r>
        <w:rPr>
          <w:rFonts w:hint="eastAsia" w:ascii="Times New Roman"/>
        </w:rPr>
        <w:t>1.1 项目概况</w:t>
      </w:r>
      <w:r>
        <w:tab/>
      </w:r>
      <w:r>
        <w:fldChar w:fldCharType="begin"/>
      </w:r>
      <w:r>
        <w:instrText xml:space="preserve"> PAGEREF _Toc25749 </w:instrText>
      </w:r>
      <w:r>
        <w:fldChar w:fldCharType="separate"/>
      </w:r>
      <w:r>
        <w:t>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_Toc15688 </w:instrText>
      </w:r>
      <w:r>
        <w:rPr>
          <w:rFonts w:ascii="宋体" w:hAnsi="宋体"/>
          <w:bCs/>
          <w:caps/>
          <w:szCs w:val="21"/>
        </w:rPr>
        <w:fldChar w:fldCharType="separate"/>
      </w:r>
      <w:r>
        <w:rPr>
          <w:rFonts w:hint="eastAsia" w:ascii="Times New Roman"/>
        </w:rPr>
        <w:t>1.2 资金来源和落实情况</w:t>
      </w:r>
      <w:r>
        <w:tab/>
      </w:r>
      <w:r>
        <w:fldChar w:fldCharType="begin"/>
      </w:r>
      <w:r>
        <w:instrText xml:space="preserve"> PAGEREF _Toc15688 </w:instrText>
      </w:r>
      <w:r>
        <w:fldChar w:fldCharType="separate"/>
      </w:r>
      <w:r>
        <w:t>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_Toc25838 </w:instrText>
      </w:r>
      <w:r>
        <w:rPr>
          <w:rFonts w:ascii="宋体" w:hAnsi="宋体"/>
          <w:bCs/>
          <w:caps/>
          <w:szCs w:val="21"/>
        </w:rPr>
        <w:fldChar w:fldCharType="separate"/>
      </w:r>
      <w:r>
        <w:rPr>
          <w:rFonts w:hint="eastAsia" w:ascii="Times New Roman"/>
        </w:rPr>
        <w:t>1.3 招标范围、计划工期和质量要求</w:t>
      </w:r>
      <w:r>
        <w:tab/>
      </w:r>
      <w:r>
        <w:fldChar w:fldCharType="begin"/>
      </w:r>
      <w:r>
        <w:instrText xml:space="preserve"> PAGEREF _Toc25838 </w:instrText>
      </w:r>
      <w:r>
        <w:fldChar w:fldCharType="separate"/>
      </w:r>
      <w:r>
        <w:t>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_Toc1967 </w:instrText>
      </w:r>
      <w:r>
        <w:rPr>
          <w:rFonts w:ascii="宋体" w:hAnsi="宋体"/>
          <w:bCs/>
          <w:caps/>
          <w:szCs w:val="21"/>
        </w:rPr>
        <w:fldChar w:fldCharType="separate"/>
      </w:r>
      <w:r>
        <w:rPr>
          <w:rFonts w:hint="eastAsia" w:ascii="Times New Roman"/>
        </w:rPr>
        <w:t>1.4 投标人资格要求</w:t>
      </w:r>
      <w:r>
        <w:tab/>
      </w:r>
      <w:r>
        <w:fldChar w:fldCharType="begin"/>
      </w:r>
      <w:r>
        <w:instrText xml:space="preserve"> PAGEREF _Toc1967 </w:instrText>
      </w:r>
      <w:r>
        <w:fldChar w:fldCharType="separate"/>
      </w:r>
      <w:r>
        <w:t>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_Toc1410 </w:instrText>
      </w:r>
      <w:r>
        <w:rPr>
          <w:rFonts w:ascii="宋体" w:hAnsi="宋体"/>
          <w:bCs/>
          <w:caps/>
          <w:szCs w:val="21"/>
        </w:rPr>
        <w:fldChar w:fldCharType="separate"/>
      </w:r>
      <w:r>
        <w:rPr>
          <w:rFonts w:hint="eastAsia" w:ascii="Times New Roman"/>
        </w:rPr>
        <w:t>1.5 费用承担</w:t>
      </w:r>
      <w:r>
        <w:tab/>
      </w:r>
      <w:r>
        <w:fldChar w:fldCharType="begin"/>
      </w:r>
      <w:r>
        <w:instrText xml:space="preserve"> PAGEREF _Toc1410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_Toc54 </w:instrText>
      </w:r>
      <w:r>
        <w:rPr>
          <w:rFonts w:ascii="宋体" w:hAnsi="宋体"/>
          <w:bCs/>
          <w:caps/>
          <w:szCs w:val="21"/>
        </w:rPr>
        <w:fldChar w:fldCharType="separate"/>
      </w:r>
      <w:r>
        <w:rPr>
          <w:rFonts w:hint="eastAsia" w:ascii="Times New Roman"/>
        </w:rPr>
        <w:t>1.6 保密</w:t>
      </w:r>
      <w:r>
        <w:tab/>
      </w:r>
      <w:r>
        <w:fldChar w:fldCharType="begin"/>
      </w:r>
      <w:r>
        <w:instrText xml:space="preserve"> PAGEREF _Toc54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_Toc71 </w:instrText>
      </w:r>
      <w:r>
        <w:rPr>
          <w:rFonts w:ascii="宋体" w:hAnsi="宋体"/>
          <w:bCs/>
          <w:caps/>
          <w:szCs w:val="21"/>
        </w:rPr>
        <w:fldChar w:fldCharType="separate"/>
      </w:r>
      <w:r>
        <w:rPr>
          <w:rFonts w:hint="eastAsia" w:ascii="Times New Roman"/>
        </w:rPr>
        <w:t>1.7 语言文字</w:t>
      </w:r>
      <w:r>
        <w:tab/>
      </w:r>
      <w:r>
        <w:fldChar w:fldCharType="begin"/>
      </w:r>
      <w:r>
        <w:instrText xml:space="preserve"> PAGEREF _Toc71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_Toc2427 </w:instrText>
      </w:r>
      <w:r>
        <w:rPr>
          <w:rFonts w:ascii="宋体" w:hAnsi="宋体"/>
          <w:bCs/>
          <w:caps/>
          <w:szCs w:val="21"/>
        </w:rPr>
        <w:fldChar w:fldCharType="separate"/>
      </w:r>
      <w:r>
        <w:rPr>
          <w:rFonts w:hint="eastAsia" w:ascii="Times New Roman"/>
        </w:rPr>
        <w:t>1.8 计量单位</w:t>
      </w:r>
      <w:r>
        <w:tab/>
      </w:r>
      <w:r>
        <w:fldChar w:fldCharType="begin"/>
      </w:r>
      <w:r>
        <w:instrText xml:space="preserve"> PAGEREF _Toc2427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_Toc985 </w:instrText>
      </w:r>
      <w:r>
        <w:rPr>
          <w:rFonts w:ascii="宋体" w:hAnsi="宋体"/>
          <w:bCs/>
          <w:caps/>
          <w:szCs w:val="21"/>
        </w:rPr>
        <w:fldChar w:fldCharType="separate"/>
      </w:r>
      <w:r>
        <w:rPr>
          <w:rFonts w:hint="eastAsia" w:ascii="Times New Roman"/>
        </w:rPr>
        <w:t>1.9 踏勘现场</w:t>
      </w:r>
      <w:r>
        <w:tab/>
      </w:r>
      <w:r>
        <w:fldChar w:fldCharType="begin"/>
      </w:r>
      <w:r>
        <w:instrText xml:space="preserve"> PAGEREF _Toc985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_Toc31805 </w:instrText>
      </w:r>
      <w:r>
        <w:rPr>
          <w:rFonts w:ascii="宋体" w:hAnsi="宋体"/>
          <w:bCs/>
          <w:caps/>
          <w:szCs w:val="21"/>
        </w:rPr>
        <w:fldChar w:fldCharType="separate"/>
      </w:r>
      <w:r>
        <w:rPr>
          <w:rFonts w:hint="eastAsia" w:ascii="Times New Roman"/>
        </w:rPr>
        <w:t>1.10 投标预备会</w:t>
      </w:r>
      <w:r>
        <w:tab/>
      </w:r>
      <w:r>
        <w:fldChar w:fldCharType="begin"/>
      </w:r>
      <w:r>
        <w:instrText xml:space="preserve"> PAGEREF _Toc31805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_Toc8264 </w:instrText>
      </w:r>
      <w:r>
        <w:rPr>
          <w:rFonts w:ascii="宋体" w:hAnsi="宋体"/>
          <w:bCs/>
          <w:caps/>
          <w:szCs w:val="21"/>
        </w:rPr>
        <w:fldChar w:fldCharType="separate"/>
      </w:r>
      <w:r>
        <w:rPr>
          <w:rFonts w:hint="eastAsia" w:ascii="Times New Roman"/>
        </w:rPr>
        <w:t>1.11 分包</w:t>
      </w:r>
      <w:r>
        <w:tab/>
      </w:r>
      <w:r>
        <w:fldChar w:fldCharType="begin"/>
      </w:r>
      <w:r>
        <w:instrText xml:space="preserve"> PAGEREF _Toc8264 </w:instrText>
      </w:r>
      <w:r>
        <w:fldChar w:fldCharType="separate"/>
      </w:r>
      <w:r>
        <w:t>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_Toc367 </w:instrText>
      </w:r>
      <w:r>
        <w:rPr>
          <w:rFonts w:ascii="宋体" w:hAnsi="宋体"/>
          <w:bCs/>
          <w:caps/>
          <w:szCs w:val="21"/>
        </w:rPr>
        <w:fldChar w:fldCharType="separate"/>
      </w:r>
      <w:r>
        <w:rPr>
          <w:rFonts w:hint="eastAsia" w:ascii="Times New Roman"/>
        </w:rPr>
        <w:t>1.12 偏离</w:t>
      </w:r>
      <w:r>
        <w:tab/>
      </w:r>
      <w:r>
        <w:fldChar w:fldCharType="begin"/>
      </w:r>
      <w:r>
        <w:instrText xml:space="preserve"> PAGEREF _Toc367 </w:instrText>
      </w:r>
      <w:r>
        <w:fldChar w:fldCharType="separate"/>
      </w:r>
      <w:r>
        <w:t>16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_Toc22359 </w:instrText>
      </w:r>
      <w:r>
        <w:rPr>
          <w:rFonts w:ascii="宋体" w:hAnsi="宋体"/>
          <w:bCs/>
          <w:caps/>
          <w:szCs w:val="21"/>
        </w:rPr>
        <w:fldChar w:fldCharType="separate"/>
      </w:r>
      <w:r>
        <w:rPr>
          <w:rFonts w:hint="eastAsia"/>
        </w:rPr>
        <w:t>2. 招标文件</w:t>
      </w:r>
      <w:r>
        <w:tab/>
      </w:r>
      <w:r>
        <w:fldChar w:fldCharType="begin"/>
      </w:r>
      <w:r>
        <w:instrText xml:space="preserve"> PAGEREF _Toc22359 </w:instrText>
      </w:r>
      <w:r>
        <w:fldChar w:fldCharType="separate"/>
      </w:r>
      <w:r>
        <w:t>16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_Toc1528 </w:instrText>
      </w:r>
      <w:r>
        <w:rPr>
          <w:rFonts w:ascii="宋体" w:hAnsi="宋体"/>
          <w:bCs/>
          <w:caps/>
          <w:szCs w:val="21"/>
        </w:rPr>
        <w:fldChar w:fldCharType="separate"/>
      </w:r>
      <w:r>
        <w:rPr>
          <w:rFonts w:hint="eastAsia" w:ascii="Times New Roman"/>
        </w:rPr>
        <w:t>2.1 招标文件的组成</w:t>
      </w:r>
      <w:r>
        <w:tab/>
      </w:r>
      <w:r>
        <w:fldChar w:fldCharType="begin"/>
      </w:r>
      <w:r>
        <w:instrText xml:space="preserve"> PAGEREF _Toc1528 </w:instrText>
      </w:r>
      <w:r>
        <w:fldChar w:fldCharType="separate"/>
      </w:r>
      <w:r>
        <w:t>16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_Toc21428 </w:instrText>
      </w:r>
      <w:r>
        <w:rPr>
          <w:rFonts w:ascii="宋体" w:hAnsi="宋体"/>
          <w:bCs/>
          <w:caps/>
          <w:szCs w:val="21"/>
        </w:rPr>
        <w:fldChar w:fldCharType="separate"/>
      </w:r>
      <w:r>
        <w:rPr>
          <w:rFonts w:hint="eastAsia" w:ascii="Times New Roman"/>
        </w:rPr>
        <w:t>2.2 招标文件的澄清</w:t>
      </w:r>
      <w:r>
        <w:tab/>
      </w:r>
      <w:r>
        <w:fldChar w:fldCharType="begin"/>
      </w:r>
      <w:r>
        <w:instrText xml:space="preserve"> PAGEREF _Toc21428 </w:instrText>
      </w:r>
      <w:r>
        <w:fldChar w:fldCharType="separate"/>
      </w:r>
      <w:r>
        <w:t>16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_Toc23954 </w:instrText>
      </w:r>
      <w:r>
        <w:rPr>
          <w:rFonts w:ascii="宋体" w:hAnsi="宋体"/>
          <w:bCs/>
          <w:caps/>
          <w:szCs w:val="21"/>
        </w:rPr>
        <w:fldChar w:fldCharType="separate"/>
      </w:r>
      <w:r>
        <w:rPr>
          <w:rFonts w:hint="eastAsia" w:ascii="Times New Roman"/>
        </w:rPr>
        <w:t>2.3 招标文件的修改</w:t>
      </w:r>
      <w:r>
        <w:tab/>
      </w:r>
      <w:r>
        <w:fldChar w:fldCharType="begin"/>
      </w:r>
      <w:r>
        <w:instrText xml:space="preserve"> PAGEREF _Toc23954 </w:instrText>
      </w:r>
      <w:r>
        <w:fldChar w:fldCharType="separate"/>
      </w:r>
      <w:r>
        <w:t>16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_Toc9970 </w:instrText>
      </w:r>
      <w:r>
        <w:rPr>
          <w:rFonts w:ascii="宋体" w:hAnsi="宋体"/>
          <w:bCs/>
          <w:caps/>
          <w:szCs w:val="21"/>
        </w:rPr>
        <w:fldChar w:fldCharType="separate"/>
      </w:r>
      <w:r>
        <w:rPr>
          <w:rFonts w:hint="eastAsia" w:ascii="Times New Roman"/>
        </w:rPr>
        <w:t>2.4 招标文件的异议</w:t>
      </w:r>
      <w:r>
        <w:tab/>
      </w:r>
      <w:r>
        <w:fldChar w:fldCharType="begin"/>
      </w:r>
      <w:r>
        <w:instrText xml:space="preserve"> PAGEREF _Toc9970 </w:instrText>
      </w:r>
      <w:r>
        <w:fldChar w:fldCharType="separate"/>
      </w:r>
      <w:r>
        <w:t>17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_Toc5464 </w:instrText>
      </w:r>
      <w:r>
        <w:rPr>
          <w:rFonts w:ascii="宋体" w:hAnsi="宋体"/>
          <w:bCs/>
          <w:caps/>
          <w:szCs w:val="21"/>
        </w:rPr>
        <w:fldChar w:fldCharType="separate"/>
      </w:r>
      <w:r>
        <w:rPr>
          <w:rFonts w:hint="eastAsia"/>
        </w:rPr>
        <w:t>3. 投标文件</w:t>
      </w:r>
      <w:r>
        <w:tab/>
      </w:r>
      <w:r>
        <w:fldChar w:fldCharType="begin"/>
      </w:r>
      <w:r>
        <w:instrText xml:space="preserve"> PAGEREF _Toc5464 </w:instrText>
      </w:r>
      <w:r>
        <w:fldChar w:fldCharType="separate"/>
      </w:r>
      <w:r>
        <w:t>17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_Toc11336 </w:instrText>
      </w:r>
      <w:r>
        <w:rPr>
          <w:rFonts w:ascii="宋体" w:hAnsi="宋体"/>
          <w:bCs/>
          <w:caps/>
          <w:szCs w:val="21"/>
        </w:rPr>
        <w:fldChar w:fldCharType="separate"/>
      </w:r>
      <w:r>
        <w:rPr>
          <w:rFonts w:hint="eastAsia" w:ascii="Times New Roman"/>
        </w:rPr>
        <w:t>3.1 投标文件的组成</w:t>
      </w:r>
      <w:r>
        <w:tab/>
      </w:r>
      <w:r>
        <w:fldChar w:fldCharType="begin"/>
      </w:r>
      <w:r>
        <w:instrText xml:space="preserve"> PAGEREF _Toc11336 </w:instrText>
      </w:r>
      <w:r>
        <w:fldChar w:fldCharType="separate"/>
      </w:r>
      <w:r>
        <w:t>17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_Toc15360 </w:instrText>
      </w:r>
      <w:r>
        <w:rPr>
          <w:rFonts w:ascii="宋体" w:hAnsi="宋体"/>
          <w:bCs/>
          <w:caps/>
          <w:szCs w:val="21"/>
        </w:rPr>
        <w:fldChar w:fldCharType="separate"/>
      </w:r>
      <w:r>
        <w:rPr>
          <w:rFonts w:hint="eastAsia" w:ascii="Times New Roman"/>
        </w:rPr>
        <w:t>3.2 投标报价</w:t>
      </w:r>
      <w:r>
        <w:tab/>
      </w:r>
      <w:r>
        <w:fldChar w:fldCharType="begin"/>
      </w:r>
      <w:r>
        <w:instrText xml:space="preserve"> PAGEREF _Toc15360 </w:instrText>
      </w:r>
      <w:r>
        <w:fldChar w:fldCharType="separate"/>
      </w:r>
      <w:r>
        <w:t>17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_Toc24170 </w:instrText>
      </w:r>
      <w:r>
        <w:rPr>
          <w:rFonts w:ascii="宋体" w:hAnsi="宋体"/>
          <w:bCs/>
          <w:caps/>
          <w:szCs w:val="21"/>
        </w:rPr>
        <w:fldChar w:fldCharType="separate"/>
      </w:r>
      <w:r>
        <w:rPr>
          <w:rFonts w:hint="eastAsia" w:ascii="Times New Roman"/>
        </w:rPr>
        <w:t>3.3 投标有效期</w:t>
      </w:r>
      <w:r>
        <w:tab/>
      </w:r>
      <w:r>
        <w:fldChar w:fldCharType="begin"/>
      </w:r>
      <w:r>
        <w:instrText xml:space="preserve"> PAGEREF _Toc24170 </w:instrText>
      </w:r>
      <w:r>
        <w:fldChar w:fldCharType="separate"/>
      </w:r>
      <w:r>
        <w:t>17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_Toc21736 </w:instrText>
      </w:r>
      <w:r>
        <w:rPr>
          <w:rFonts w:ascii="宋体" w:hAnsi="宋体"/>
          <w:bCs/>
          <w:caps/>
          <w:szCs w:val="21"/>
        </w:rPr>
        <w:fldChar w:fldCharType="separate"/>
      </w:r>
      <w:r>
        <w:rPr>
          <w:rFonts w:hint="eastAsia" w:ascii="Times New Roman"/>
        </w:rPr>
        <w:t>3.4 投标保证金</w:t>
      </w:r>
      <w:r>
        <w:tab/>
      </w:r>
      <w:r>
        <w:fldChar w:fldCharType="begin"/>
      </w:r>
      <w:r>
        <w:instrText xml:space="preserve"> PAGEREF _Toc21736 </w:instrText>
      </w:r>
      <w:r>
        <w:fldChar w:fldCharType="separate"/>
      </w:r>
      <w:r>
        <w:t>18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_Toc8430 </w:instrText>
      </w:r>
      <w:r>
        <w:rPr>
          <w:rFonts w:ascii="宋体" w:hAnsi="宋体"/>
          <w:bCs/>
          <w:caps/>
          <w:szCs w:val="21"/>
        </w:rPr>
        <w:fldChar w:fldCharType="separate"/>
      </w:r>
      <w:r>
        <w:rPr>
          <w:rFonts w:hint="eastAsia" w:ascii="Times New Roman"/>
        </w:rPr>
        <w:t>3.5 资格审查资料</w:t>
      </w:r>
      <w:r>
        <w:tab/>
      </w:r>
      <w:r>
        <w:fldChar w:fldCharType="begin"/>
      </w:r>
      <w:r>
        <w:instrText xml:space="preserve"> PAGEREF _Toc8430 </w:instrText>
      </w:r>
      <w:r>
        <w:fldChar w:fldCharType="separate"/>
      </w:r>
      <w:r>
        <w:t>18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_Toc5193 </w:instrText>
      </w:r>
      <w:r>
        <w:rPr>
          <w:rFonts w:ascii="宋体" w:hAnsi="宋体"/>
          <w:bCs/>
          <w:caps/>
          <w:szCs w:val="21"/>
        </w:rPr>
        <w:fldChar w:fldCharType="separate"/>
      </w:r>
      <w:r>
        <w:rPr>
          <w:rFonts w:hint="eastAsia" w:ascii="Times New Roman"/>
        </w:rPr>
        <w:t>3.6 备选投标方案</w:t>
      </w:r>
      <w:r>
        <w:tab/>
      </w:r>
      <w:r>
        <w:fldChar w:fldCharType="begin"/>
      </w:r>
      <w:r>
        <w:instrText xml:space="preserve"> PAGEREF _Toc5193 </w:instrText>
      </w:r>
      <w:r>
        <w:fldChar w:fldCharType="separate"/>
      </w:r>
      <w:r>
        <w:t>18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_Toc16929 </w:instrText>
      </w:r>
      <w:r>
        <w:rPr>
          <w:rFonts w:ascii="宋体" w:hAnsi="宋体"/>
          <w:bCs/>
          <w:caps/>
          <w:szCs w:val="21"/>
        </w:rPr>
        <w:fldChar w:fldCharType="separate"/>
      </w:r>
      <w:r>
        <w:rPr>
          <w:rFonts w:hint="eastAsia" w:ascii="Times New Roman"/>
        </w:rPr>
        <w:t>3.7 投标文件的编制</w:t>
      </w:r>
      <w:r>
        <w:tab/>
      </w:r>
      <w:r>
        <w:fldChar w:fldCharType="begin"/>
      </w:r>
      <w:r>
        <w:instrText xml:space="preserve"> PAGEREF _Toc16929 </w:instrText>
      </w:r>
      <w:r>
        <w:fldChar w:fldCharType="separate"/>
      </w:r>
      <w:r>
        <w:t>18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_Toc13909 </w:instrText>
      </w:r>
      <w:r>
        <w:rPr>
          <w:rFonts w:ascii="宋体" w:hAnsi="宋体"/>
          <w:bCs/>
          <w:caps/>
          <w:szCs w:val="21"/>
        </w:rPr>
        <w:fldChar w:fldCharType="separate"/>
      </w:r>
      <w:r>
        <w:rPr>
          <w:rFonts w:hint="eastAsia"/>
        </w:rPr>
        <w:t>4. 投标</w:t>
      </w:r>
      <w:r>
        <w:tab/>
      </w:r>
      <w:r>
        <w:fldChar w:fldCharType="begin"/>
      </w:r>
      <w:r>
        <w:instrText xml:space="preserve"> PAGEREF _Toc13909 </w:instrText>
      </w:r>
      <w:r>
        <w:fldChar w:fldCharType="separate"/>
      </w:r>
      <w:r>
        <w:t>19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_Toc24628 </w:instrText>
      </w:r>
      <w:r>
        <w:rPr>
          <w:rFonts w:ascii="宋体" w:hAnsi="宋体"/>
          <w:bCs/>
          <w:caps/>
          <w:szCs w:val="21"/>
        </w:rPr>
        <w:fldChar w:fldCharType="separate"/>
      </w:r>
      <w:r>
        <w:rPr>
          <w:rFonts w:hint="eastAsia" w:ascii="Times New Roman"/>
        </w:rPr>
        <w:t>4.1 投标文件的加密</w:t>
      </w:r>
      <w:r>
        <w:tab/>
      </w:r>
      <w:r>
        <w:fldChar w:fldCharType="begin"/>
      </w:r>
      <w:r>
        <w:instrText xml:space="preserve"> PAGEREF _Toc24628 </w:instrText>
      </w:r>
      <w:r>
        <w:fldChar w:fldCharType="separate"/>
      </w:r>
      <w:r>
        <w:t>19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_Toc4116 </w:instrText>
      </w:r>
      <w:r>
        <w:rPr>
          <w:rFonts w:ascii="宋体" w:hAnsi="宋体"/>
          <w:bCs/>
          <w:caps/>
          <w:szCs w:val="21"/>
        </w:rPr>
        <w:fldChar w:fldCharType="separate"/>
      </w:r>
      <w:r>
        <w:rPr>
          <w:rFonts w:hint="eastAsia" w:ascii="Times New Roman"/>
        </w:rPr>
        <w:t>4.2投标文件的递交</w:t>
      </w:r>
      <w:r>
        <w:tab/>
      </w:r>
      <w:r>
        <w:fldChar w:fldCharType="begin"/>
      </w:r>
      <w:r>
        <w:instrText xml:space="preserve"> PAGEREF _Toc4116 </w:instrText>
      </w:r>
      <w:r>
        <w:fldChar w:fldCharType="separate"/>
      </w:r>
      <w:r>
        <w:t>19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_Toc29996 </w:instrText>
      </w:r>
      <w:r>
        <w:rPr>
          <w:rFonts w:ascii="宋体" w:hAnsi="宋体"/>
          <w:bCs/>
          <w:caps/>
          <w:szCs w:val="21"/>
        </w:rPr>
        <w:fldChar w:fldCharType="separate"/>
      </w:r>
      <w:r>
        <w:rPr>
          <w:rFonts w:hint="eastAsia" w:ascii="Times New Roman"/>
        </w:rPr>
        <w:t>4.3 投标文件的修改与撤回</w:t>
      </w:r>
      <w:r>
        <w:tab/>
      </w:r>
      <w:r>
        <w:fldChar w:fldCharType="begin"/>
      </w:r>
      <w:r>
        <w:instrText xml:space="preserve"> PAGEREF _Toc29996 </w:instrText>
      </w:r>
      <w:r>
        <w:fldChar w:fldCharType="separate"/>
      </w:r>
      <w:r>
        <w:t>20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_Toc12333 </w:instrText>
      </w:r>
      <w:r>
        <w:rPr>
          <w:rFonts w:ascii="宋体" w:hAnsi="宋体"/>
          <w:bCs/>
          <w:caps/>
          <w:szCs w:val="21"/>
        </w:rPr>
        <w:fldChar w:fldCharType="separate"/>
      </w:r>
      <w:r>
        <w:rPr>
          <w:rFonts w:hint="eastAsia"/>
        </w:rPr>
        <w:t>5. 开标</w:t>
      </w:r>
      <w:r>
        <w:tab/>
      </w:r>
      <w:r>
        <w:fldChar w:fldCharType="begin"/>
      </w:r>
      <w:r>
        <w:instrText xml:space="preserve"> PAGEREF _Toc12333 </w:instrText>
      </w:r>
      <w:r>
        <w:fldChar w:fldCharType="separate"/>
      </w:r>
      <w:r>
        <w:t>20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_Toc9980 </w:instrText>
      </w:r>
      <w:r>
        <w:rPr>
          <w:rFonts w:ascii="宋体" w:hAnsi="宋体"/>
          <w:bCs/>
          <w:caps/>
          <w:szCs w:val="21"/>
        </w:rPr>
        <w:fldChar w:fldCharType="separate"/>
      </w:r>
      <w:r>
        <w:rPr>
          <w:rFonts w:hint="eastAsia" w:ascii="Times New Roman"/>
        </w:rPr>
        <w:t>5.1 开标时间和地点</w:t>
      </w:r>
      <w:r>
        <w:tab/>
      </w:r>
      <w:r>
        <w:fldChar w:fldCharType="begin"/>
      </w:r>
      <w:r>
        <w:instrText xml:space="preserve"> PAGEREF _Toc9980 </w:instrText>
      </w:r>
      <w:r>
        <w:fldChar w:fldCharType="separate"/>
      </w:r>
      <w:r>
        <w:t>20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_Toc22280 </w:instrText>
      </w:r>
      <w:r>
        <w:rPr>
          <w:rFonts w:ascii="宋体" w:hAnsi="宋体"/>
          <w:bCs/>
          <w:caps/>
          <w:szCs w:val="21"/>
        </w:rPr>
        <w:fldChar w:fldCharType="separate"/>
      </w:r>
      <w:r>
        <w:rPr>
          <w:rFonts w:hint="eastAsia" w:ascii="Times New Roman"/>
        </w:rPr>
        <w:t>5.2 开标程序</w:t>
      </w:r>
      <w:r>
        <w:tab/>
      </w:r>
      <w:r>
        <w:fldChar w:fldCharType="begin"/>
      </w:r>
      <w:r>
        <w:instrText xml:space="preserve"> PAGEREF _Toc22280 </w:instrText>
      </w:r>
      <w:r>
        <w:fldChar w:fldCharType="separate"/>
      </w:r>
      <w:r>
        <w:t>20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_Toc9642 </w:instrText>
      </w:r>
      <w:r>
        <w:rPr>
          <w:rFonts w:ascii="宋体" w:hAnsi="宋体"/>
          <w:bCs/>
          <w:caps/>
          <w:szCs w:val="21"/>
        </w:rPr>
        <w:fldChar w:fldCharType="separate"/>
      </w:r>
      <w:r>
        <w:rPr>
          <w:rFonts w:hint="eastAsia" w:ascii="Times New Roman"/>
        </w:rPr>
        <w:t>5.3 开标异议</w:t>
      </w:r>
      <w:r>
        <w:tab/>
      </w:r>
      <w:r>
        <w:fldChar w:fldCharType="begin"/>
      </w:r>
      <w:r>
        <w:instrText xml:space="preserve"> PAGEREF _Toc9642 </w:instrText>
      </w:r>
      <w:r>
        <w:fldChar w:fldCharType="separate"/>
      </w:r>
      <w:r>
        <w:t>21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_Toc2279 </w:instrText>
      </w:r>
      <w:r>
        <w:rPr>
          <w:rFonts w:ascii="宋体" w:hAnsi="宋体"/>
          <w:bCs/>
          <w:caps/>
          <w:szCs w:val="21"/>
        </w:rPr>
        <w:fldChar w:fldCharType="separate"/>
      </w:r>
      <w:r>
        <w:rPr>
          <w:rFonts w:ascii="Times New Roman"/>
        </w:rPr>
        <w:t>5.</w:t>
      </w:r>
      <w:r>
        <w:rPr>
          <w:rFonts w:hint="eastAsia" w:ascii="Times New Roman"/>
        </w:rPr>
        <w:t>4</w:t>
      </w:r>
      <w:r>
        <w:rPr>
          <w:rFonts w:ascii="Times New Roman"/>
        </w:rPr>
        <w:t xml:space="preserve"> 特殊情况的处置</w:t>
      </w:r>
      <w:r>
        <w:tab/>
      </w:r>
      <w:r>
        <w:fldChar w:fldCharType="begin"/>
      </w:r>
      <w:r>
        <w:instrText xml:space="preserve"> PAGEREF _Toc2279 </w:instrText>
      </w:r>
      <w:r>
        <w:fldChar w:fldCharType="separate"/>
      </w:r>
      <w:r>
        <w:t>21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_Toc28533 </w:instrText>
      </w:r>
      <w:r>
        <w:rPr>
          <w:rFonts w:ascii="宋体" w:hAnsi="宋体"/>
          <w:bCs/>
          <w:caps/>
          <w:szCs w:val="21"/>
        </w:rPr>
        <w:fldChar w:fldCharType="separate"/>
      </w:r>
      <w:r>
        <w:rPr>
          <w:rFonts w:hint="eastAsia"/>
        </w:rPr>
        <w:t>6. 评标</w:t>
      </w:r>
      <w:r>
        <w:tab/>
      </w:r>
      <w:r>
        <w:fldChar w:fldCharType="begin"/>
      </w:r>
      <w:r>
        <w:instrText xml:space="preserve"> PAGEREF _Toc28533 </w:instrText>
      </w:r>
      <w:r>
        <w:fldChar w:fldCharType="separate"/>
      </w:r>
      <w:r>
        <w:t>21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_Toc20972 </w:instrText>
      </w:r>
      <w:r>
        <w:rPr>
          <w:rFonts w:ascii="宋体" w:hAnsi="宋体"/>
          <w:bCs/>
          <w:caps/>
          <w:szCs w:val="21"/>
        </w:rPr>
        <w:fldChar w:fldCharType="separate"/>
      </w:r>
      <w:r>
        <w:rPr>
          <w:rFonts w:hint="eastAsia" w:ascii="Times New Roman"/>
        </w:rPr>
        <w:t>6.1 评标委员会</w:t>
      </w:r>
      <w:r>
        <w:tab/>
      </w:r>
      <w:r>
        <w:fldChar w:fldCharType="begin"/>
      </w:r>
      <w:r>
        <w:instrText xml:space="preserve"> PAGEREF _Toc20972 </w:instrText>
      </w:r>
      <w:r>
        <w:fldChar w:fldCharType="separate"/>
      </w:r>
      <w:r>
        <w:t>21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_Toc21332 </w:instrText>
      </w:r>
      <w:r>
        <w:rPr>
          <w:rFonts w:ascii="宋体" w:hAnsi="宋体"/>
          <w:bCs/>
          <w:caps/>
          <w:szCs w:val="21"/>
        </w:rPr>
        <w:fldChar w:fldCharType="separate"/>
      </w:r>
      <w:r>
        <w:rPr>
          <w:rFonts w:hint="eastAsia" w:ascii="Times New Roman"/>
        </w:rPr>
        <w:t>6.2 评标原则</w:t>
      </w:r>
      <w:r>
        <w:tab/>
      </w:r>
      <w:r>
        <w:fldChar w:fldCharType="begin"/>
      </w:r>
      <w:r>
        <w:instrText xml:space="preserve"> PAGEREF _Toc21332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_Toc21284 </w:instrText>
      </w:r>
      <w:r>
        <w:rPr>
          <w:rFonts w:ascii="宋体" w:hAnsi="宋体"/>
          <w:bCs/>
          <w:caps/>
          <w:szCs w:val="21"/>
        </w:rPr>
        <w:fldChar w:fldCharType="separate"/>
      </w:r>
      <w:r>
        <w:rPr>
          <w:rFonts w:hint="eastAsia" w:ascii="Times New Roman"/>
        </w:rPr>
        <w:t>6.3 评标</w:t>
      </w:r>
      <w:r>
        <w:tab/>
      </w:r>
      <w:r>
        <w:fldChar w:fldCharType="begin"/>
      </w:r>
      <w:r>
        <w:instrText xml:space="preserve"> PAGEREF _Toc21284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_Toc3146 </w:instrText>
      </w:r>
      <w:r>
        <w:rPr>
          <w:rFonts w:ascii="宋体" w:hAnsi="宋体"/>
          <w:bCs/>
          <w:caps/>
          <w:szCs w:val="21"/>
        </w:rPr>
        <w:fldChar w:fldCharType="separate"/>
      </w:r>
      <w:r>
        <w:rPr>
          <w:rFonts w:hint="eastAsia" w:ascii="Times New Roman"/>
        </w:rPr>
        <w:t>6.4 评标结果公示</w:t>
      </w:r>
      <w:r>
        <w:tab/>
      </w:r>
      <w:r>
        <w:fldChar w:fldCharType="begin"/>
      </w:r>
      <w:r>
        <w:instrText xml:space="preserve"> PAGEREF _Toc3146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_Toc10508 </w:instrText>
      </w:r>
      <w:r>
        <w:rPr>
          <w:rFonts w:ascii="宋体" w:hAnsi="宋体"/>
          <w:bCs/>
          <w:caps/>
          <w:szCs w:val="21"/>
        </w:rPr>
        <w:fldChar w:fldCharType="separate"/>
      </w:r>
      <w:r>
        <w:rPr>
          <w:rFonts w:hint="eastAsia" w:ascii="Times New Roman"/>
        </w:rPr>
        <w:t>6</w:t>
      </w:r>
      <w:r>
        <w:rPr>
          <w:rFonts w:ascii="Times New Roman"/>
        </w:rPr>
        <w:t>.</w:t>
      </w:r>
      <w:r>
        <w:rPr>
          <w:rFonts w:hint="eastAsia" w:ascii="Times New Roman"/>
        </w:rPr>
        <w:t>5</w:t>
      </w:r>
      <w:r>
        <w:rPr>
          <w:rFonts w:ascii="Times New Roman"/>
        </w:rPr>
        <w:t xml:space="preserve"> </w:t>
      </w:r>
      <w:r>
        <w:rPr>
          <w:rFonts w:hint="eastAsia" w:ascii="Times New Roman"/>
        </w:rPr>
        <w:t>履约能力的审查（如有）</w:t>
      </w:r>
      <w:r>
        <w:tab/>
      </w:r>
      <w:r>
        <w:fldChar w:fldCharType="begin"/>
      </w:r>
      <w:r>
        <w:instrText xml:space="preserve"> PAGEREF _Toc10508 </w:instrText>
      </w:r>
      <w:r>
        <w:fldChar w:fldCharType="separate"/>
      </w:r>
      <w:r>
        <w:t>22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_Toc25686 </w:instrText>
      </w:r>
      <w:r>
        <w:rPr>
          <w:rFonts w:ascii="宋体" w:hAnsi="宋体"/>
          <w:bCs/>
          <w:caps/>
          <w:szCs w:val="21"/>
        </w:rPr>
        <w:fldChar w:fldCharType="separate"/>
      </w:r>
      <w:r>
        <w:rPr>
          <w:rFonts w:hint="eastAsia"/>
        </w:rPr>
        <w:t>7. 合同授予</w:t>
      </w:r>
      <w:r>
        <w:tab/>
      </w:r>
      <w:r>
        <w:fldChar w:fldCharType="begin"/>
      </w:r>
      <w:r>
        <w:instrText xml:space="preserve"> PAGEREF _Toc25686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_Toc32564 </w:instrText>
      </w:r>
      <w:r>
        <w:rPr>
          <w:rFonts w:ascii="宋体" w:hAnsi="宋体"/>
          <w:bCs/>
          <w:caps/>
          <w:szCs w:val="21"/>
        </w:rPr>
        <w:fldChar w:fldCharType="separate"/>
      </w:r>
      <w:r>
        <w:rPr>
          <w:rFonts w:hint="eastAsia" w:ascii="Times New Roman"/>
        </w:rPr>
        <w:t>7.1 定标方式</w:t>
      </w:r>
      <w:r>
        <w:tab/>
      </w:r>
      <w:r>
        <w:fldChar w:fldCharType="begin"/>
      </w:r>
      <w:r>
        <w:instrText xml:space="preserve"> PAGEREF _Toc32564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_Toc1049 </w:instrText>
      </w:r>
      <w:r>
        <w:rPr>
          <w:rFonts w:ascii="宋体" w:hAnsi="宋体"/>
          <w:bCs/>
          <w:caps/>
          <w:szCs w:val="21"/>
        </w:rPr>
        <w:fldChar w:fldCharType="separate"/>
      </w:r>
      <w:r>
        <w:rPr>
          <w:rFonts w:hint="eastAsia" w:ascii="Times New Roman"/>
        </w:rPr>
        <w:t>7.2 中标通知</w:t>
      </w:r>
      <w:r>
        <w:tab/>
      </w:r>
      <w:r>
        <w:fldChar w:fldCharType="begin"/>
      </w:r>
      <w:r>
        <w:instrText xml:space="preserve"> PAGEREF _Toc1049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_Toc479 </w:instrText>
      </w:r>
      <w:r>
        <w:rPr>
          <w:rFonts w:ascii="宋体" w:hAnsi="宋体"/>
          <w:bCs/>
          <w:caps/>
          <w:szCs w:val="21"/>
        </w:rPr>
        <w:fldChar w:fldCharType="separate"/>
      </w:r>
      <w:r>
        <w:rPr>
          <w:rFonts w:hint="eastAsia" w:ascii="Times New Roman"/>
        </w:rPr>
        <w:t>7.3 履约担保</w:t>
      </w:r>
      <w:r>
        <w:tab/>
      </w:r>
      <w:r>
        <w:fldChar w:fldCharType="begin"/>
      </w:r>
      <w:r>
        <w:instrText xml:space="preserve"> PAGEREF _Toc479 </w:instrText>
      </w:r>
      <w:r>
        <w:fldChar w:fldCharType="separate"/>
      </w:r>
      <w:r>
        <w:t>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_Toc31838 </w:instrText>
      </w:r>
      <w:r>
        <w:rPr>
          <w:rFonts w:ascii="宋体" w:hAnsi="宋体"/>
          <w:bCs/>
          <w:caps/>
          <w:szCs w:val="21"/>
        </w:rPr>
        <w:fldChar w:fldCharType="separate"/>
      </w:r>
      <w:r>
        <w:rPr>
          <w:rFonts w:hint="eastAsia" w:ascii="Times New Roman"/>
        </w:rPr>
        <w:t>7.4 签订合同</w:t>
      </w:r>
      <w:r>
        <w:tab/>
      </w:r>
      <w:r>
        <w:fldChar w:fldCharType="begin"/>
      </w:r>
      <w:r>
        <w:instrText xml:space="preserve"> PAGEREF _Toc31838 </w:instrText>
      </w:r>
      <w:r>
        <w:fldChar w:fldCharType="separate"/>
      </w:r>
      <w:r>
        <w:t>23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_Toc9692 </w:instrText>
      </w:r>
      <w:r>
        <w:rPr>
          <w:rFonts w:ascii="宋体" w:hAnsi="宋体"/>
          <w:bCs/>
          <w:caps/>
          <w:szCs w:val="21"/>
        </w:rPr>
        <w:fldChar w:fldCharType="separate"/>
      </w:r>
      <w:r>
        <w:rPr>
          <w:rFonts w:hint="eastAsia"/>
        </w:rPr>
        <w:t>8. 重新招标、不再招标和终止招标</w:t>
      </w:r>
      <w:r>
        <w:tab/>
      </w:r>
      <w:r>
        <w:fldChar w:fldCharType="begin"/>
      </w:r>
      <w:r>
        <w:instrText xml:space="preserve"> PAGEREF _Toc9692 </w:instrText>
      </w:r>
      <w:r>
        <w:fldChar w:fldCharType="separate"/>
      </w:r>
      <w:r>
        <w:t>23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_Toc16678 </w:instrText>
      </w:r>
      <w:r>
        <w:rPr>
          <w:rFonts w:ascii="宋体" w:hAnsi="宋体"/>
          <w:bCs/>
          <w:caps/>
          <w:szCs w:val="21"/>
        </w:rPr>
        <w:fldChar w:fldCharType="separate"/>
      </w:r>
      <w:r>
        <w:rPr>
          <w:rFonts w:hint="eastAsia" w:ascii="Times New Roman"/>
        </w:rPr>
        <w:t>8.1 重新招标</w:t>
      </w:r>
      <w:r>
        <w:tab/>
      </w:r>
      <w:r>
        <w:fldChar w:fldCharType="begin"/>
      </w:r>
      <w:r>
        <w:instrText xml:space="preserve"> PAGEREF _Toc16678 </w:instrText>
      </w:r>
      <w:r>
        <w:fldChar w:fldCharType="separate"/>
      </w:r>
      <w:r>
        <w:t>23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_Toc16360 </w:instrText>
      </w:r>
      <w:r>
        <w:rPr>
          <w:rFonts w:ascii="宋体" w:hAnsi="宋体"/>
          <w:bCs/>
          <w:caps/>
          <w:szCs w:val="21"/>
        </w:rPr>
        <w:fldChar w:fldCharType="separate"/>
      </w:r>
      <w:r>
        <w:rPr>
          <w:rFonts w:hint="eastAsia" w:ascii="Times New Roman"/>
        </w:rPr>
        <w:t>8.2 不再招标</w:t>
      </w:r>
      <w:r>
        <w:tab/>
      </w:r>
      <w:r>
        <w:fldChar w:fldCharType="begin"/>
      </w:r>
      <w:r>
        <w:instrText xml:space="preserve"> PAGEREF _Toc16360 </w:instrText>
      </w:r>
      <w:r>
        <w:fldChar w:fldCharType="separate"/>
      </w:r>
      <w:r>
        <w:t>23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_Toc18930 </w:instrText>
      </w:r>
      <w:r>
        <w:rPr>
          <w:rFonts w:ascii="宋体" w:hAnsi="宋体"/>
          <w:bCs/>
          <w:caps/>
          <w:szCs w:val="21"/>
        </w:rPr>
        <w:fldChar w:fldCharType="separate"/>
      </w:r>
      <w:r>
        <w:rPr>
          <w:rFonts w:hint="eastAsia" w:ascii="Times New Roman"/>
        </w:rPr>
        <w:t>8.3 终止招标</w:t>
      </w:r>
      <w:r>
        <w:tab/>
      </w:r>
      <w:r>
        <w:fldChar w:fldCharType="begin"/>
      </w:r>
      <w:r>
        <w:instrText xml:space="preserve"> PAGEREF _Toc18930 </w:instrText>
      </w:r>
      <w:r>
        <w:fldChar w:fldCharType="separate"/>
      </w:r>
      <w:r>
        <w:t>23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_Toc28758 </w:instrText>
      </w:r>
      <w:r>
        <w:rPr>
          <w:rFonts w:ascii="宋体" w:hAnsi="宋体"/>
          <w:bCs/>
          <w:caps/>
          <w:szCs w:val="21"/>
        </w:rPr>
        <w:fldChar w:fldCharType="separate"/>
      </w:r>
      <w:r>
        <w:rPr>
          <w:rFonts w:hint="eastAsia"/>
        </w:rPr>
        <w:t>9. 纪律和监督</w:t>
      </w:r>
      <w:r>
        <w:tab/>
      </w:r>
      <w:r>
        <w:fldChar w:fldCharType="begin"/>
      </w:r>
      <w:r>
        <w:instrText xml:space="preserve"> PAGEREF _Toc28758 </w:instrText>
      </w:r>
      <w:r>
        <w:fldChar w:fldCharType="separate"/>
      </w:r>
      <w:r>
        <w:t>24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_Toc26961 </w:instrText>
      </w:r>
      <w:r>
        <w:rPr>
          <w:rFonts w:ascii="宋体" w:hAnsi="宋体"/>
          <w:bCs/>
          <w:caps/>
          <w:szCs w:val="21"/>
        </w:rPr>
        <w:fldChar w:fldCharType="separate"/>
      </w:r>
      <w:r>
        <w:rPr>
          <w:rFonts w:hint="eastAsia" w:ascii="Times New Roman"/>
        </w:rPr>
        <w:t>9.1 对招标人的纪律要求</w:t>
      </w:r>
      <w:r>
        <w:tab/>
      </w:r>
      <w:r>
        <w:fldChar w:fldCharType="begin"/>
      </w:r>
      <w:r>
        <w:instrText xml:space="preserve"> PAGEREF _Toc26961 </w:instrText>
      </w:r>
      <w:r>
        <w:fldChar w:fldCharType="separate"/>
      </w:r>
      <w:r>
        <w:t>24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_Toc19674 </w:instrText>
      </w:r>
      <w:r>
        <w:rPr>
          <w:rFonts w:ascii="宋体" w:hAnsi="宋体"/>
          <w:bCs/>
          <w:caps/>
          <w:szCs w:val="21"/>
        </w:rPr>
        <w:fldChar w:fldCharType="separate"/>
      </w:r>
      <w:r>
        <w:rPr>
          <w:rFonts w:hint="eastAsia" w:ascii="Times New Roman"/>
        </w:rPr>
        <w:t>9.2 对投标人的纪律要求</w:t>
      </w:r>
      <w:r>
        <w:tab/>
      </w:r>
      <w:r>
        <w:fldChar w:fldCharType="begin"/>
      </w:r>
      <w:r>
        <w:instrText xml:space="preserve"> PAGEREF _Toc19674 </w:instrText>
      </w:r>
      <w:r>
        <w:fldChar w:fldCharType="separate"/>
      </w:r>
      <w:r>
        <w:t>24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_Toc15878 </w:instrText>
      </w:r>
      <w:r>
        <w:rPr>
          <w:rFonts w:ascii="宋体" w:hAnsi="宋体"/>
          <w:bCs/>
          <w:caps/>
          <w:szCs w:val="21"/>
        </w:rPr>
        <w:fldChar w:fldCharType="separate"/>
      </w:r>
      <w:r>
        <w:rPr>
          <w:rFonts w:hint="eastAsia" w:ascii="Times New Roman"/>
        </w:rPr>
        <w:t>9.3 对评标委员会成员的纪律要求</w:t>
      </w:r>
      <w:r>
        <w:tab/>
      </w:r>
      <w:r>
        <w:fldChar w:fldCharType="begin"/>
      </w:r>
      <w:r>
        <w:instrText xml:space="preserve"> PAGEREF _Toc15878 </w:instrText>
      </w:r>
      <w:r>
        <w:fldChar w:fldCharType="separate"/>
      </w:r>
      <w:r>
        <w:t>25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_Toc16794 </w:instrText>
      </w:r>
      <w:r>
        <w:rPr>
          <w:rFonts w:ascii="宋体" w:hAnsi="宋体"/>
          <w:bCs/>
          <w:caps/>
          <w:szCs w:val="21"/>
        </w:rPr>
        <w:fldChar w:fldCharType="separate"/>
      </w:r>
      <w:r>
        <w:rPr>
          <w:rFonts w:hint="eastAsia" w:ascii="Times New Roman"/>
        </w:rPr>
        <w:t>9.4 对与评标活动有关的工作人员的纪律要求</w:t>
      </w:r>
      <w:r>
        <w:tab/>
      </w:r>
      <w:r>
        <w:fldChar w:fldCharType="begin"/>
      </w:r>
      <w:r>
        <w:instrText xml:space="preserve"> PAGEREF _Toc16794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_Toc29253 </w:instrText>
      </w:r>
      <w:r>
        <w:rPr>
          <w:rFonts w:ascii="宋体" w:hAnsi="宋体"/>
          <w:bCs/>
          <w:caps/>
          <w:szCs w:val="21"/>
        </w:rPr>
        <w:fldChar w:fldCharType="separate"/>
      </w:r>
      <w:r>
        <w:rPr>
          <w:rFonts w:hint="eastAsia" w:ascii="Times New Roman"/>
        </w:rPr>
        <w:t>9.5 投诉</w:t>
      </w:r>
      <w:r>
        <w:tab/>
      </w:r>
      <w:r>
        <w:fldChar w:fldCharType="begin"/>
      </w:r>
      <w:r>
        <w:instrText xml:space="preserve"> PAGEREF _Toc29253 </w:instrText>
      </w:r>
      <w:r>
        <w:fldChar w:fldCharType="separate"/>
      </w:r>
      <w:r>
        <w:t>26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_Toc11263 </w:instrText>
      </w:r>
      <w:r>
        <w:rPr>
          <w:rFonts w:ascii="宋体" w:hAnsi="宋体"/>
          <w:bCs/>
          <w:caps/>
          <w:szCs w:val="21"/>
        </w:rPr>
        <w:fldChar w:fldCharType="separate"/>
      </w:r>
      <w:r>
        <w:rPr>
          <w:rFonts w:hint="eastAsia"/>
        </w:rPr>
        <w:t>10. 需要补充的其他内容</w:t>
      </w:r>
      <w:r>
        <w:tab/>
      </w:r>
      <w:r>
        <w:fldChar w:fldCharType="begin"/>
      </w:r>
      <w:r>
        <w:instrText xml:space="preserve"> PAGEREF _Toc11263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_Toc25038 </w:instrText>
      </w:r>
      <w:r>
        <w:rPr>
          <w:rFonts w:ascii="宋体" w:hAnsi="宋体"/>
          <w:bCs/>
          <w:caps/>
          <w:szCs w:val="21"/>
        </w:rPr>
        <w:fldChar w:fldCharType="separate"/>
      </w:r>
      <w:r>
        <w:rPr>
          <w:rFonts w:hint="eastAsia" w:ascii="Times New Roman"/>
        </w:rPr>
        <w:t xml:space="preserve">10.1 </w:t>
      </w:r>
      <w:r>
        <w:rPr>
          <w:rFonts w:hint="eastAsia" w:ascii="Times New Roman"/>
          <w:szCs w:val="24"/>
        </w:rPr>
        <w:t>同类工程</w:t>
      </w:r>
      <w:r>
        <w:rPr>
          <w:rFonts w:hint="eastAsia" w:hAnsi="宋体"/>
          <w:szCs w:val="21"/>
        </w:rPr>
        <w:t>和</w:t>
      </w:r>
      <w:r>
        <w:rPr>
          <w:rFonts w:hint="eastAsia" w:ascii="Times New Roman"/>
        </w:rPr>
        <w:t>类似工程</w:t>
      </w:r>
      <w:r>
        <w:tab/>
      </w:r>
      <w:r>
        <w:fldChar w:fldCharType="begin"/>
      </w:r>
      <w:r>
        <w:instrText xml:space="preserve"> PAGEREF _Toc25038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_Toc1244 </w:instrText>
      </w:r>
      <w:r>
        <w:rPr>
          <w:rFonts w:ascii="宋体" w:hAnsi="宋体"/>
          <w:bCs/>
          <w:caps/>
          <w:szCs w:val="21"/>
        </w:rPr>
        <w:fldChar w:fldCharType="separate"/>
      </w:r>
      <w:r>
        <w:rPr>
          <w:rFonts w:hint="eastAsia" w:ascii="Times New Roman"/>
        </w:rPr>
        <w:t>10.2 投标限价</w:t>
      </w:r>
      <w:r>
        <w:tab/>
      </w:r>
      <w:r>
        <w:fldChar w:fldCharType="begin"/>
      </w:r>
      <w:r>
        <w:instrText xml:space="preserve"> PAGEREF _Toc1244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_Toc17907 </w:instrText>
      </w:r>
      <w:r>
        <w:rPr>
          <w:rFonts w:ascii="宋体" w:hAnsi="宋体"/>
          <w:bCs/>
          <w:caps/>
          <w:szCs w:val="21"/>
        </w:rPr>
        <w:fldChar w:fldCharType="separate"/>
      </w:r>
      <w:r>
        <w:rPr>
          <w:rFonts w:hint="eastAsia" w:ascii="Times New Roman"/>
        </w:rPr>
        <w:t>10.3 多标段投标</w:t>
      </w:r>
      <w:r>
        <w:tab/>
      </w:r>
      <w:r>
        <w:fldChar w:fldCharType="begin"/>
      </w:r>
      <w:r>
        <w:instrText xml:space="preserve"> PAGEREF _Toc17907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_Toc23770 </w:instrText>
      </w:r>
      <w:r>
        <w:rPr>
          <w:rFonts w:ascii="宋体" w:hAnsi="宋体"/>
          <w:bCs/>
          <w:caps/>
          <w:szCs w:val="21"/>
        </w:rPr>
        <w:fldChar w:fldCharType="separate"/>
      </w:r>
      <w:r>
        <w:rPr>
          <w:rFonts w:hint="eastAsia" w:ascii="Times New Roman"/>
        </w:rPr>
        <w:t>10.4 中标人的投标文件</w:t>
      </w:r>
      <w:r>
        <w:tab/>
      </w:r>
      <w:r>
        <w:fldChar w:fldCharType="begin"/>
      </w:r>
      <w:r>
        <w:instrText xml:space="preserve"> PAGEREF _Toc23770 </w:instrText>
      </w:r>
      <w:r>
        <w:fldChar w:fldCharType="separate"/>
      </w:r>
      <w:r>
        <w:t>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_Toc16081 </w:instrText>
      </w:r>
      <w:r>
        <w:rPr>
          <w:rFonts w:ascii="宋体" w:hAnsi="宋体"/>
          <w:bCs/>
          <w:caps/>
          <w:szCs w:val="21"/>
        </w:rPr>
        <w:fldChar w:fldCharType="separate"/>
      </w:r>
      <w:r>
        <w:rPr>
          <w:rFonts w:hint="eastAsia" w:ascii="Times New Roman"/>
        </w:rPr>
        <w:t>1</w:t>
      </w:r>
      <w:r>
        <w:rPr>
          <w:rFonts w:ascii="Times New Roman"/>
        </w:rPr>
        <w:t>0.5 交易平台信息服务费</w:t>
      </w:r>
      <w:r>
        <w:tab/>
      </w:r>
      <w:r>
        <w:fldChar w:fldCharType="begin"/>
      </w:r>
      <w:r>
        <w:instrText xml:space="preserve"> PAGEREF _Toc16081 </w:instrText>
      </w:r>
      <w:r>
        <w:fldChar w:fldCharType="separate"/>
      </w:r>
      <w:r>
        <w:t>27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_Toc17750 </w:instrText>
      </w:r>
      <w:r>
        <w:rPr>
          <w:rFonts w:ascii="宋体" w:hAnsi="宋体"/>
          <w:bCs/>
          <w:caps/>
          <w:szCs w:val="21"/>
        </w:rPr>
        <w:fldChar w:fldCharType="separate"/>
      </w:r>
      <w:r>
        <w:rPr>
          <w:rFonts w:hint="eastAsia" w:ascii="Times New Roman"/>
        </w:rPr>
        <w:t>1</w:t>
      </w:r>
      <w:r>
        <w:rPr>
          <w:rFonts w:ascii="Times New Roman"/>
        </w:rPr>
        <w:t>0.6 招标代理服务费</w:t>
      </w:r>
      <w:r>
        <w:tab/>
      </w:r>
      <w:r>
        <w:fldChar w:fldCharType="begin"/>
      </w:r>
      <w:r>
        <w:instrText xml:space="preserve"> PAGEREF _Toc17750 </w:instrText>
      </w:r>
      <w:r>
        <w:fldChar w:fldCharType="separate"/>
      </w:r>
      <w:r>
        <w:t>27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_Toc2879 </w:instrText>
      </w:r>
      <w:r>
        <w:rPr>
          <w:rFonts w:ascii="宋体" w:hAnsi="宋体"/>
          <w:bCs/>
          <w:caps/>
          <w:szCs w:val="21"/>
        </w:rPr>
        <w:fldChar w:fldCharType="separate"/>
      </w:r>
      <w:r>
        <w:rPr>
          <w:rFonts w:hint="eastAsia" w:ascii="Times New Roman"/>
        </w:rPr>
        <w:t>10.</w:t>
      </w:r>
      <w:r>
        <w:rPr>
          <w:rFonts w:ascii="Times New Roman"/>
        </w:rPr>
        <w:t>7</w:t>
      </w:r>
      <w:r>
        <w:rPr>
          <w:rFonts w:hint="eastAsia" w:ascii="Times New Roman"/>
        </w:rPr>
        <w:t xml:space="preserve"> </w:t>
      </w:r>
      <w:r>
        <w:rPr>
          <w:rFonts w:hint="eastAsia"/>
        </w:rPr>
        <w:t>招标人补充的其他内容</w:t>
      </w:r>
      <w:r>
        <w:tab/>
      </w:r>
      <w:r>
        <w:fldChar w:fldCharType="begin"/>
      </w:r>
      <w:r>
        <w:instrText xml:space="preserve"> PAGEREF _Toc2879 </w:instrText>
      </w:r>
      <w:r>
        <w:fldChar w:fldCharType="separate"/>
      </w:r>
      <w:r>
        <w:t>27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_Toc20748 </w:instrText>
      </w:r>
      <w:r>
        <w:rPr>
          <w:rFonts w:ascii="宋体" w:hAnsi="宋体"/>
          <w:bCs/>
          <w:caps/>
          <w:szCs w:val="21"/>
        </w:rPr>
        <w:fldChar w:fldCharType="separate"/>
      </w:r>
      <w:r>
        <w:rPr>
          <w:rFonts w:hint="eastAsia"/>
          <w:szCs w:val="28"/>
        </w:rPr>
        <w:t>附表：投标人资质条件、能力和信誉</w:t>
      </w:r>
      <w:r>
        <w:tab/>
      </w:r>
      <w:r>
        <w:fldChar w:fldCharType="begin"/>
      </w:r>
      <w:r>
        <w:instrText xml:space="preserve"> PAGEREF _Toc20748 </w:instrText>
      </w:r>
      <w:r>
        <w:fldChar w:fldCharType="separate"/>
      </w:r>
      <w:r>
        <w:t>28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_Toc3391 </w:instrText>
      </w:r>
      <w:r>
        <w:rPr>
          <w:rFonts w:ascii="宋体" w:hAnsi="宋体"/>
          <w:bCs/>
          <w:caps/>
          <w:szCs w:val="21"/>
        </w:rPr>
        <w:fldChar w:fldCharType="separate"/>
      </w:r>
      <w:r>
        <w:rPr>
          <w:rFonts w:hint="eastAsia"/>
          <w:szCs w:val="28"/>
        </w:rPr>
        <w:t>附件一：招标文件澄清申请函</w:t>
      </w:r>
      <w:r>
        <w:tab/>
      </w:r>
      <w:r>
        <w:fldChar w:fldCharType="begin"/>
      </w:r>
      <w:r>
        <w:instrText xml:space="preserve"> PAGEREF _Toc3391 </w:instrText>
      </w:r>
      <w:r>
        <w:fldChar w:fldCharType="separate"/>
      </w:r>
      <w:r>
        <w:t>30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_Toc29511 </w:instrText>
      </w:r>
      <w:r>
        <w:rPr>
          <w:rFonts w:ascii="宋体" w:hAnsi="宋体"/>
          <w:bCs/>
          <w:caps/>
          <w:szCs w:val="21"/>
        </w:rPr>
        <w:fldChar w:fldCharType="separate"/>
      </w:r>
      <w:r>
        <w:rPr>
          <w:rFonts w:hint="eastAsia"/>
          <w:szCs w:val="28"/>
        </w:rPr>
        <w:t>附件二：招标文件澄清通知</w:t>
      </w:r>
      <w:r>
        <w:tab/>
      </w:r>
      <w:r>
        <w:fldChar w:fldCharType="begin"/>
      </w:r>
      <w:r>
        <w:instrText xml:space="preserve"> PAGEREF _Toc29511 </w:instrText>
      </w:r>
      <w:r>
        <w:fldChar w:fldCharType="separate"/>
      </w:r>
      <w:r>
        <w:t>31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_Toc26360 </w:instrText>
      </w:r>
      <w:r>
        <w:rPr>
          <w:rFonts w:ascii="宋体" w:hAnsi="宋体"/>
          <w:bCs/>
          <w:caps/>
          <w:szCs w:val="21"/>
        </w:rPr>
        <w:fldChar w:fldCharType="separate"/>
      </w:r>
      <w:r>
        <w:rPr>
          <w:rFonts w:hint="eastAsia"/>
          <w:szCs w:val="28"/>
        </w:rPr>
        <w:t>附件三：招标文件修改通知</w:t>
      </w:r>
      <w:r>
        <w:tab/>
      </w:r>
      <w:r>
        <w:fldChar w:fldCharType="begin"/>
      </w:r>
      <w:r>
        <w:instrText xml:space="preserve"> PAGEREF _Toc26360 </w:instrText>
      </w:r>
      <w:r>
        <w:fldChar w:fldCharType="separate"/>
      </w:r>
      <w:r>
        <w:t>32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_Toc31092 </w:instrText>
      </w:r>
      <w:r>
        <w:rPr>
          <w:rFonts w:ascii="宋体" w:hAnsi="宋体"/>
          <w:bCs/>
          <w:caps/>
          <w:szCs w:val="21"/>
        </w:rPr>
        <w:fldChar w:fldCharType="separate"/>
      </w:r>
      <w:r>
        <w:rPr>
          <w:rFonts w:hint="eastAsia"/>
          <w:szCs w:val="28"/>
        </w:rPr>
        <w:t>附件四：开标记录表</w:t>
      </w:r>
      <w:r>
        <w:tab/>
      </w:r>
      <w:r>
        <w:fldChar w:fldCharType="begin"/>
      </w:r>
      <w:r>
        <w:instrText xml:space="preserve"> PAGEREF _Toc31092 </w:instrText>
      </w:r>
      <w:r>
        <w:fldChar w:fldCharType="separate"/>
      </w:r>
      <w:r>
        <w:t>33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_Toc7300 </w:instrText>
      </w:r>
      <w:r>
        <w:rPr>
          <w:rFonts w:ascii="宋体" w:hAnsi="宋体"/>
          <w:bCs/>
          <w:caps/>
          <w:szCs w:val="21"/>
        </w:rPr>
        <w:fldChar w:fldCharType="separate"/>
      </w:r>
      <w:r>
        <w:rPr>
          <w:szCs w:val="28"/>
        </w:rPr>
        <w:t>附</w:t>
      </w:r>
      <w:r>
        <w:rPr>
          <w:rFonts w:hint="eastAsia"/>
          <w:szCs w:val="28"/>
        </w:rPr>
        <w:t>件五</w:t>
      </w:r>
      <w:r>
        <w:rPr>
          <w:szCs w:val="28"/>
        </w:rPr>
        <w:t>：</w:t>
      </w:r>
      <w:r>
        <w:rPr>
          <w:rFonts w:hint="eastAsia"/>
          <w:szCs w:val="28"/>
        </w:rPr>
        <w:t>投标文件澄清通知</w:t>
      </w:r>
      <w:r>
        <w:tab/>
      </w:r>
      <w:r>
        <w:fldChar w:fldCharType="begin"/>
      </w:r>
      <w:r>
        <w:instrText xml:space="preserve"> PAGEREF _Toc7300 </w:instrText>
      </w:r>
      <w:r>
        <w:fldChar w:fldCharType="separate"/>
      </w:r>
      <w:r>
        <w:t>34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_Toc31292 </w:instrText>
      </w:r>
      <w:r>
        <w:rPr>
          <w:rFonts w:ascii="宋体" w:hAnsi="宋体"/>
          <w:bCs/>
          <w:caps/>
          <w:szCs w:val="21"/>
        </w:rPr>
        <w:fldChar w:fldCharType="separate"/>
      </w:r>
      <w:r>
        <w:rPr>
          <w:rFonts w:hint="eastAsia"/>
          <w:szCs w:val="28"/>
        </w:rPr>
        <w:t>附件六：投标文件澄清函</w:t>
      </w:r>
      <w:r>
        <w:tab/>
      </w:r>
      <w:r>
        <w:fldChar w:fldCharType="begin"/>
      </w:r>
      <w:r>
        <w:instrText xml:space="preserve"> PAGEREF _Toc31292 </w:instrText>
      </w:r>
      <w:r>
        <w:fldChar w:fldCharType="separate"/>
      </w:r>
      <w:r>
        <w:t>35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_Toc18702 </w:instrText>
      </w:r>
      <w:r>
        <w:rPr>
          <w:rFonts w:ascii="宋体" w:hAnsi="宋体"/>
          <w:bCs/>
          <w:caps/>
          <w:szCs w:val="21"/>
        </w:rPr>
        <w:fldChar w:fldCharType="separate"/>
      </w:r>
      <w:r>
        <w:rPr>
          <w:rFonts w:hint="eastAsia"/>
          <w:szCs w:val="28"/>
        </w:rPr>
        <w:t>附件七：中标通知书</w:t>
      </w:r>
      <w:r>
        <w:tab/>
      </w:r>
      <w:r>
        <w:fldChar w:fldCharType="begin"/>
      </w:r>
      <w:r>
        <w:instrText xml:space="preserve"> PAGEREF _Toc18702 </w:instrText>
      </w:r>
      <w:r>
        <w:fldChar w:fldCharType="separate"/>
      </w:r>
      <w:r>
        <w:t>36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_Toc11930 </w:instrText>
      </w:r>
      <w:r>
        <w:rPr>
          <w:rFonts w:ascii="宋体" w:hAnsi="宋体"/>
          <w:bCs/>
          <w:caps/>
          <w:szCs w:val="21"/>
        </w:rPr>
        <w:fldChar w:fldCharType="separate"/>
      </w:r>
      <w:r>
        <w:rPr>
          <w:rFonts w:hint="eastAsia"/>
          <w:szCs w:val="28"/>
        </w:rPr>
        <w:t>附件八：中标结果通知书</w:t>
      </w:r>
      <w:r>
        <w:tab/>
      </w:r>
      <w:r>
        <w:fldChar w:fldCharType="begin"/>
      </w:r>
      <w:r>
        <w:instrText xml:space="preserve"> PAGEREF _Toc11930 </w:instrText>
      </w:r>
      <w:r>
        <w:fldChar w:fldCharType="separate"/>
      </w:r>
      <w:r>
        <w:t>37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_Toc10781 </w:instrText>
      </w:r>
      <w:r>
        <w:rPr>
          <w:rFonts w:ascii="宋体" w:hAnsi="宋体"/>
          <w:bCs/>
          <w:caps/>
          <w:szCs w:val="21"/>
        </w:rPr>
        <w:fldChar w:fldCharType="separate"/>
      </w:r>
      <w:r>
        <w:rPr>
          <w:rFonts w:hint="eastAsia"/>
          <w:szCs w:val="28"/>
        </w:rPr>
        <w:t>附件九：异议函</w:t>
      </w:r>
      <w:r>
        <w:tab/>
      </w:r>
      <w:r>
        <w:fldChar w:fldCharType="begin"/>
      </w:r>
      <w:r>
        <w:instrText xml:space="preserve"> PAGEREF _Toc10781 </w:instrText>
      </w:r>
      <w:r>
        <w:fldChar w:fldCharType="separate"/>
      </w:r>
      <w:r>
        <w:t>38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_Toc3214 </w:instrText>
      </w:r>
      <w:r>
        <w:rPr>
          <w:rFonts w:ascii="宋体" w:hAnsi="宋体"/>
          <w:bCs/>
          <w:caps/>
          <w:szCs w:val="21"/>
        </w:rPr>
        <w:fldChar w:fldCharType="separate"/>
      </w:r>
      <w:r>
        <w:rPr>
          <w:rFonts w:hint="eastAsia"/>
          <w:szCs w:val="28"/>
        </w:rPr>
        <w:t>附件十：异议答复函</w:t>
      </w:r>
      <w:r>
        <w:tab/>
      </w:r>
      <w:r>
        <w:fldChar w:fldCharType="begin"/>
      </w:r>
      <w:r>
        <w:instrText xml:space="preserve"> PAGEREF _Toc3214 </w:instrText>
      </w:r>
      <w:r>
        <w:fldChar w:fldCharType="separate"/>
      </w:r>
      <w:r>
        <w:t>39</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_Toc6655 </w:instrText>
      </w:r>
      <w:r>
        <w:rPr>
          <w:rFonts w:ascii="宋体" w:hAnsi="宋体"/>
          <w:bCs/>
          <w:caps/>
          <w:szCs w:val="21"/>
        </w:rPr>
        <w:fldChar w:fldCharType="separate"/>
      </w:r>
      <w:r>
        <w:rPr>
          <w:rFonts w:hint="eastAsia"/>
          <w:szCs w:val="28"/>
        </w:rPr>
        <w:t>附件十一 ：授权委托书</w:t>
      </w:r>
      <w:r>
        <w:tab/>
      </w:r>
      <w:r>
        <w:fldChar w:fldCharType="begin"/>
      </w:r>
      <w:r>
        <w:instrText xml:space="preserve"> PAGEREF _Toc6655 </w:instrText>
      </w:r>
      <w:r>
        <w:fldChar w:fldCharType="separate"/>
      </w:r>
      <w:r>
        <w:t>40</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_Toc30798 </w:instrText>
      </w:r>
      <w:r>
        <w:rPr>
          <w:rFonts w:ascii="宋体" w:hAnsi="宋体"/>
          <w:bCs w:val="0"/>
          <w:caps w:val="0"/>
          <w:szCs w:val="21"/>
        </w:rPr>
        <w:fldChar w:fldCharType="separate"/>
      </w:r>
      <w:r>
        <w:rPr>
          <w:rFonts w:hint="eastAsia" w:ascii="黑体" w:hAnsi="黑体" w:eastAsia="黑体"/>
          <w:bCs/>
        </w:rPr>
        <w:t>第三章  评标办法（综合评估法）</w:t>
      </w:r>
      <w:r>
        <w:tab/>
      </w:r>
      <w:r>
        <w:fldChar w:fldCharType="begin"/>
      </w:r>
      <w:r>
        <w:instrText xml:space="preserve"> PAGEREF _Toc30798 </w:instrText>
      </w:r>
      <w:r>
        <w:fldChar w:fldCharType="separate"/>
      </w:r>
      <w:r>
        <w:t>41</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_Toc6826 </w:instrText>
      </w:r>
      <w:r>
        <w:rPr>
          <w:rFonts w:ascii="宋体" w:hAnsi="宋体"/>
          <w:bCs/>
          <w:caps/>
          <w:szCs w:val="21"/>
        </w:rPr>
        <w:fldChar w:fldCharType="separate"/>
      </w:r>
      <w:r>
        <w:rPr>
          <w:rFonts w:hint="eastAsia"/>
        </w:rPr>
        <w:t>评标办法前附表</w:t>
      </w:r>
      <w:r>
        <w:tab/>
      </w:r>
      <w:r>
        <w:fldChar w:fldCharType="begin"/>
      </w:r>
      <w:r>
        <w:instrText xml:space="preserve"> PAGEREF _Toc6826 </w:instrText>
      </w:r>
      <w:r>
        <w:fldChar w:fldCharType="separate"/>
      </w:r>
      <w:r>
        <w:t>41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_Toc18476 </w:instrText>
      </w:r>
      <w:r>
        <w:rPr>
          <w:rFonts w:ascii="宋体" w:hAnsi="宋体"/>
          <w:bCs/>
          <w:caps/>
          <w:szCs w:val="21"/>
        </w:rPr>
        <w:fldChar w:fldCharType="separate"/>
      </w:r>
      <w:r>
        <w:rPr>
          <w:rFonts w:hint="eastAsia"/>
        </w:rPr>
        <w:t>1. 评标方法</w:t>
      </w:r>
      <w:r>
        <w:tab/>
      </w:r>
      <w:r>
        <w:fldChar w:fldCharType="begin"/>
      </w:r>
      <w:r>
        <w:instrText xml:space="preserve"> PAGEREF _Toc18476 </w:instrText>
      </w:r>
      <w:r>
        <w:fldChar w:fldCharType="separate"/>
      </w:r>
      <w:r>
        <w:t>48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_Toc23699 </w:instrText>
      </w:r>
      <w:r>
        <w:rPr>
          <w:rFonts w:ascii="宋体" w:hAnsi="宋体"/>
          <w:bCs/>
          <w:caps/>
          <w:szCs w:val="21"/>
        </w:rPr>
        <w:fldChar w:fldCharType="separate"/>
      </w:r>
      <w:r>
        <w:rPr>
          <w:rFonts w:hint="eastAsia"/>
        </w:rPr>
        <w:t>2. 评审标准</w:t>
      </w:r>
      <w:r>
        <w:tab/>
      </w:r>
      <w:r>
        <w:fldChar w:fldCharType="begin"/>
      </w:r>
      <w:r>
        <w:instrText xml:space="preserve"> PAGEREF _Toc23699 </w:instrText>
      </w:r>
      <w:r>
        <w:fldChar w:fldCharType="separate"/>
      </w:r>
      <w:r>
        <w:t>48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_Toc30860 </w:instrText>
      </w:r>
      <w:r>
        <w:rPr>
          <w:rFonts w:ascii="宋体" w:hAnsi="宋体"/>
          <w:bCs/>
          <w:caps/>
          <w:szCs w:val="21"/>
        </w:rPr>
        <w:fldChar w:fldCharType="separate"/>
      </w:r>
      <w:r>
        <w:rPr>
          <w:rFonts w:hint="eastAsia" w:eastAsia="黑体"/>
          <w:szCs w:val="20"/>
        </w:rPr>
        <w:t>2.1 初步评审标准</w:t>
      </w:r>
      <w:r>
        <w:tab/>
      </w:r>
      <w:r>
        <w:fldChar w:fldCharType="begin"/>
      </w:r>
      <w:r>
        <w:instrText xml:space="preserve"> PAGEREF _Toc30860 </w:instrText>
      </w:r>
      <w:r>
        <w:fldChar w:fldCharType="separate"/>
      </w:r>
      <w:r>
        <w:t>48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_Toc18757 </w:instrText>
      </w:r>
      <w:r>
        <w:rPr>
          <w:rFonts w:ascii="宋体" w:hAnsi="宋体"/>
          <w:bCs/>
          <w:caps/>
          <w:szCs w:val="21"/>
        </w:rPr>
        <w:fldChar w:fldCharType="separate"/>
      </w:r>
      <w:r>
        <w:rPr>
          <w:rFonts w:hint="eastAsia" w:eastAsia="黑体"/>
          <w:szCs w:val="20"/>
        </w:rPr>
        <w:t>2.2 分值构成与评分标准</w:t>
      </w:r>
      <w:r>
        <w:tab/>
      </w:r>
      <w:r>
        <w:fldChar w:fldCharType="begin"/>
      </w:r>
      <w:r>
        <w:instrText xml:space="preserve"> PAGEREF _Toc18757 </w:instrText>
      </w:r>
      <w:r>
        <w:fldChar w:fldCharType="separate"/>
      </w:r>
      <w:r>
        <w:t>48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_Toc6298 </w:instrText>
      </w:r>
      <w:r>
        <w:rPr>
          <w:rFonts w:ascii="宋体" w:hAnsi="宋体"/>
          <w:bCs/>
          <w:caps/>
          <w:szCs w:val="21"/>
        </w:rPr>
        <w:fldChar w:fldCharType="separate"/>
      </w:r>
      <w:r>
        <w:rPr>
          <w:rFonts w:hint="eastAsia"/>
        </w:rPr>
        <w:t>3. 评标程序</w:t>
      </w:r>
      <w:r>
        <w:tab/>
      </w:r>
      <w:r>
        <w:fldChar w:fldCharType="begin"/>
      </w:r>
      <w:r>
        <w:instrText xml:space="preserve"> PAGEREF _Toc6298 </w:instrText>
      </w:r>
      <w:r>
        <w:fldChar w:fldCharType="separate"/>
      </w:r>
      <w:r>
        <w:t>48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_Toc6089 </w:instrText>
      </w:r>
      <w:r>
        <w:rPr>
          <w:rFonts w:ascii="宋体" w:hAnsi="宋体"/>
          <w:bCs/>
          <w:caps/>
          <w:szCs w:val="21"/>
        </w:rPr>
        <w:fldChar w:fldCharType="separate"/>
      </w:r>
      <w:r>
        <w:rPr>
          <w:rFonts w:hint="eastAsia" w:eastAsia="黑体"/>
          <w:szCs w:val="20"/>
        </w:rPr>
        <w:t>3.1 初步评审</w:t>
      </w:r>
      <w:r>
        <w:tab/>
      </w:r>
      <w:r>
        <w:fldChar w:fldCharType="begin"/>
      </w:r>
      <w:r>
        <w:instrText xml:space="preserve"> PAGEREF _Toc6089 </w:instrText>
      </w:r>
      <w:r>
        <w:fldChar w:fldCharType="separate"/>
      </w:r>
      <w:r>
        <w:t>48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_Toc32163 </w:instrText>
      </w:r>
      <w:r>
        <w:rPr>
          <w:rFonts w:ascii="宋体" w:hAnsi="宋体"/>
          <w:bCs/>
          <w:caps/>
          <w:szCs w:val="21"/>
        </w:rPr>
        <w:fldChar w:fldCharType="separate"/>
      </w:r>
      <w:r>
        <w:rPr>
          <w:rFonts w:hint="eastAsia" w:eastAsia="黑体"/>
          <w:szCs w:val="20"/>
        </w:rPr>
        <w:t>3.2 详细评审</w:t>
      </w:r>
      <w:r>
        <w:tab/>
      </w:r>
      <w:r>
        <w:fldChar w:fldCharType="begin"/>
      </w:r>
      <w:r>
        <w:instrText xml:space="preserve"> PAGEREF _Toc32163 </w:instrText>
      </w:r>
      <w:r>
        <w:fldChar w:fldCharType="separate"/>
      </w:r>
      <w:r>
        <w:t>49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_Toc24851 </w:instrText>
      </w:r>
      <w:r>
        <w:rPr>
          <w:rFonts w:ascii="宋体" w:hAnsi="宋体"/>
          <w:bCs/>
          <w:caps/>
          <w:szCs w:val="21"/>
        </w:rPr>
        <w:fldChar w:fldCharType="separate"/>
      </w:r>
      <w:r>
        <w:rPr>
          <w:rFonts w:hint="eastAsia" w:eastAsia="黑体"/>
          <w:szCs w:val="20"/>
        </w:rPr>
        <w:t>3.4 评标结果</w:t>
      </w:r>
      <w:r>
        <w:tab/>
      </w:r>
      <w:r>
        <w:fldChar w:fldCharType="begin"/>
      </w:r>
      <w:r>
        <w:instrText xml:space="preserve"> PAGEREF _Toc24851 </w:instrText>
      </w:r>
      <w:r>
        <w:fldChar w:fldCharType="separate"/>
      </w:r>
      <w:r>
        <w:t>49</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_Toc31290 </w:instrText>
      </w:r>
      <w:r>
        <w:rPr>
          <w:rFonts w:ascii="宋体" w:hAnsi="宋体"/>
          <w:bCs w:val="0"/>
          <w:caps w:val="0"/>
          <w:szCs w:val="21"/>
        </w:rPr>
        <w:fldChar w:fldCharType="separate"/>
      </w:r>
      <w:r>
        <w:rPr>
          <w:rFonts w:hint="eastAsia" w:ascii="黑体" w:hAnsi="黑体" w:eastAsia="黑体"/>
          <w:bCs/>
        </w:rPr>
        <w:t>第四章  合同条款及格式</w:t>
      </w:r>
      <w:r>
        <w:tab/>
      </w:r>
      <w:r>
        <w:fldChar w:fldCharType="begin"/>
      </w:r>
      <w:r>
        <w:instrText xml:space="preserve"> PAGEREF _Toc31290 </w:instrText>
      </w:r>
      <w:r>
        <w:fldChar w:fldCharType="separate"/>
      </w:r>
      <w:r>
        <w:t>51</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_Toc7441 </w:instrText>
      </w:r>
      <w:r>
        <w:rPr>
          <w:rFonts w:ascii="宋体" w:hAnsi="宋体"/>
          <w:bCs/>
          <w:caps/>
          <w:szCs w:val="21"/>
        </w:rPr>
        <w:fldChar w:fldCharType="separate"/>
      </w:r>
      <w:r>
        <w:rPr>
          <w:rFonts w:hint="eastAsia"/>
        </w:rPr>
        <w:t>第1节 通用合同条款</w:t>
      </w:r>
      <w:r>
        <w:tab/>
      </w:r>
      <w:r>
        <w:fldChar w:fldCharType="begin"/>
      </w:r>
      <w:r>
        <w:instrText xml:space="preserve"> PAGEREF _Toc7441 </w:instrText>
      </w:r>
      <w:r>
        <w:fldChar w:fldCharType="separate"/>
      </w:r>
      <w:r>
        <w:t>51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_Toc32662 </w:instrText>
      </w:r>
      <w:r>
        <w:rPr>
          <w:rFonts w:ascii="宋体" w:hAnsi="宋体"/>
          <w:bCs/>
          <w:caps/>
          <w:szCs w:val="21"/>
        </w:rPr>
        <w:fldChar w:fldCharType="separate"/>
      </w:r>
      <w:r>
        <w:t xml:space="preserve">1. </w:t>
      </w:r>
      <w:r>
        <w:rPr>
          <w:rFonts w:hint="eastAsia"/>
        </w:rPr>
        <w:t>一般约定</w:t>
      </w:r>
      <w:r>
        <w:tab/>
      </w:r>
      <w:r>
        <w:fldChar w:fldCharType="begin"/>
      </w:r>
      <w:r>
        <w:instrText xml:space="preserve"> PAGEREF _Toc32662 </w:instrText>
      </w:r>
      <w:r>
        <w:fldChar w:fldCharType="separate"/>
      </w:r>
      <w:r>
        <w:t>51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_Toc29976 </w:instrText>
      </w:r>
      <w:r>
        <w:rPr>
          <w:rFonts w:ascii="宋体" w:hAnsi="宋体"/>
          <w:bCs/>
          <w:caps/>
          <w:szCs w:val="21"/>
        </w:rPr>
        <w:fldChar w:fldCharType="separate"/>
      </w:r>
      <w:r>
        <w:rPr>
          <w:rFonts w:hint="eastAsia" w:eastAsia="黑体"/>
          <w:szCs w:val="20"/>
        </w:rPr>
        <w:t>1.1 词语定义</w:t>
      </w:r>
      <w:r>
        <w:tab/>
      </w:r>
      <w:r>
        <w:fldChar w:fldCharType="begin"/>
      </w:r>
      <w:r>
        <w:instrText xml:space="preserve"> PAGEREF _Toc29976 </w:instrText>
      </w:r>
      <w:r>
        <w:fldChar w:fldCharType="separate"/>
      </w:r>
      <w:r>
        <w:t>51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_Toc715 </w:instrText>
      </w:r>
      <w:r>
        <w:rPr>
          <w:rFonts w:ascii="宋体" w:hAnsi="宋体"/>
          <w:bCs/>
          <w:caps/>
          <w:szCs w:val="21"/>
        </w:rPr>
        <w:fldChar w:fldCharType="separate"/>
      </w:r>
      <w:r>
        <w:rPr>
          <w:rFonts w:hint="eastAsia" w:eastAsia="黑体"/>
          <w:szCs w:val="20"/>
        </w:rPr>
        <w:t>1.2 语言文字</w:t>
      </w:r>
      <w:r>
        <w:tab/>
      </w:r>
      <w:r>
        <w:fldChar w:fldCharType="begin"/>
      </w:r>
      <w:r>
        <w:instrText xml:space="preserve"> PAGEREF _Toc715 </w:instrText>
      </w:r>
      <w:r>
        <w:fldChar w:fldCharType="separate"/>
      </w:r>
      <w:r>
        <w:t>53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_Toc32443 </w:instrText>
      </w:r>
      <w:r>
        <w:rPr>
          <w:rFonts w:ascii="宋体" w:hAnsi="宋体"/>
          <w:bCs/>
          <w:caps/>
          <w:szCs w:val="21"/>
        </w:rPr>
        <w:fldChar w:fldCharType="separate"/>
      </w:r>
      <w:r>
        <w:rPr>
          <w:rFonts w:hint="eastAsia" w:eastAsia="黑体"/>
          <w:szCs w:val="20"/>
        </w:rPr>
        <w:t>1.3 法律</w:t>
      </w:r>
      <w:r>
        <w:tab/>
      </w:r>
      <w:r>
        <w:fldChar w:fldCharType="begin"/>
      </w:r>
      <w:r>
        <w:instrText xml:space="preserve"> PAGEREF _Toc32443 </w:instrText>
      </w:r>
      <w:r>
        <w:fldChar w:fldCharType="separate"/>
      </w:r>
      <w:r>
        <w:t>53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_Toc3267 </w:instrText>
      </w:r>
      <w:r>
        <w:rPr>
          <w:rFonts w:ascii="宋体" w:hAnsi="宋体"/>
          <w:bCs/>
          <w:caps/>
          <w:szCs w:val="21"/>
        </w:rPr>
        <w:fldChar w:fldCharType="separate"/>
      </w:r>
      <w:r>
        <w:rPr>
          <w:rFonts w:hint="eastAsia" w:eastAsia="黑体"/>
          <w:szCs w:val="20"/>
        </w:rPr>
        <w:t>1.4 合同文件的优先顺序</w:t>
      </w:r>
      <w:r>
        <w:tab/>
      </w:r>
      <w:r>
        <w:fldChar w:fldCharType="begin"/>
      </w:r>
      <w:r>
        <w:instrText xml:space="preserve"> PAGEREF _Toc3267 </w:instrText>
      </w:r>
      <w:r>
        <w:fldChar w:fldCharType="separate"/>
      </w:r>
      <w:r>
        <w:t>53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_Toc19024 </w:instrText>
      </w:r>
      <w:r>
        <w:rPr>
          <w:rFonts w:ascii="宋体" w:hAnsi="宋体"/>
          <w:bCs/>
          <w:caps/>
          <w:szCs w:val="21"/>
        </w:rPr>
        <w:fldChar w:fldCharType="separate"/>
      </w:r>
      <w:r>
        <w:rPr>
          <w:rFonts w:hint="eastAsia" w:eastAsia="黑体"/>
          <w:szCs w:val="20"/>
        </w:rPr>
        <w:t>1.5 合同协议书</w:t>
      </w:r>
      <w:r>
        <w:tab/>
      </w:r>
      <w:r>
        <w:fldChar w:fldCharType="begin"/>
      </w:r>
      <w:r>
        <w:instrText xml:space="preserve"> PAGEREF _Toc19024 </w:instrText>
      </w:r>
      <w:r>
        <w:fldChar w:fldCharType="separate"/>
      </w:r>
      <w:r>
        <w:t>53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_Toc21295 </w:instrText>
      </w:r>
      <w:r>
        <w:rPr>
          <w:rFonts w:ascii="宋体" w:hAnsi="宋体"/>
          <w:bCs/>
          <w:caps/>
          <w:szCs w:val="21"/>
        </w:rPr>
        <w:fldChar w:fldCharType="separate"/>
      </w:r>
      <w:r>
        <w:rPr>
          <w:rFonts w:hint="eastAsia" w:eastAsia="黑体"/>
          <w:szCs w:val="20"/>
        </w:rPr>
        <w:t>1.6 图纸和承包人文件</w:t>
      </w:r>
      <w:r>
        <w:tab/>
      </w:r>
      <w:r>
        <w:fldChar w:fldCharType="begin"/>
      </w:r>
      <w:r>
        <w:instrText xml:space="preserve"> PAGEREF _Toc21295 </w:instrText>
      </w:r>
      <w:r>
        <w:fldChar w:fldCharType="separate"/>
      </w:r>
      <w:r>
        <w:t>53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_Toc19120 </w:instrText>
      </w:r>
      <w:r>
        <w:rPr>
          <w:rFonts w:ascii="宋体" w:hAnsi="宋体"/>
          <w:bCs/>
          <w:caps/>
          <w:szCs w:val="21"/>
        </w:rPr>
        <w:fldChar w:fldCharType="separate"/>
      </w:r>
      <w:r>
        <w:rPr>
          <w:rFonts w:hint="eastAsia" w:eastAsia="黑体"/>
          <w:szCs w:val="20"/>
        </w:rPr>
        <w:t>1.7 联络</w:t>
      </w:r>
      <w:r>
        <w:tab/>
      </w:r>
      <w:r>
        <w:fldChar w:fldCharType="begin"/>
      </w:r>
      <w:r>
        <w:instrText xml:space="preserve"> PAGEREF _Toc19120 </w:instrText>
      </w:r>
      <w:r>
        <w:fldChar w:fldCharType="separate"/>
      </w:r>
      <w:r>
        <w:t>54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_Toc27074 </w:instrText>
      </w:r>
      <w:r>
        <w:rPr>
          <w:rFonts w:ascii="宋体" w:hAnsi="宋体"/>
          <w:bCs/>
          <w:caps/>
          <w:szCs w:val="21"/>
        </w:rPr>
        <w:fldChar w:fldCharType="separate"/>
      </w:r>
      <w:r>
        <w:rPr>
          <w:rFonts w:hint="eastAsia" w:eastAsia="黑体"/>
          <w:szCs w:val="20"/>
        </w:rPr>
        <w:t>1.8 转让</w:t>
      </w:r>
      <w:r>
        <w:tab/>
      </w:r>
      <w:r>
        <w:fldChar w:fldCharType="begin"/>
      </w:r>
      <w:r>
        <w:instrText xml:space="preserve"> PAGEREF _Toc27074 </w:instrText>
      </w:r>
      <w:r>
        <w:fldChar w:fldCharType="separate"/>
      </w:r>
      <w:r>
        <w:t>54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_Toc2043 </w:instrText>
      </w:r>
      <w:r>
        <w:rPr>
          <w:rFonts w:ascii="宋体" w:hAnsi="宋体"/>
          <w:bCs/>
          <w:caps/>
          <w:szCs w:val="21"/>
        </w:rPr>
        <w:fldChar w:fldCharType="separate"/>
      </w:r>
      <w:r>
        <w:rPr>
          <w:rFonts w:hint="eastAsia" w:eastAsia="黑体"/>
          <w:szCs w:val="20"/>
        </w:rPr>
        <w:t>1.9 严禁贿赂</w:t>
      </w:r>
      <w:r>
        <w:tab/>
      </w:r>
      <w:r>
        <w:fldChar w:fldCharType="begin"/>
      </w:r>
      <w:r>
        <w:instrText xml:space="preserve"> PAGEREF _Toc2043 </w:instrText>
      </w:r>
      <w:r>
        <w:fldChar w:fldCharType="separate"/>
      </w:r>
      <w:r>
        <w:t>54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_Toc22129 </w:instrText>
      </w:r>
      <w:r>
        <w:rPr>
          <w:rFonts w:ascii="宋体" w:hAnsi="宋体"/>
          <w:bCs/>
          <w:caps/>
          <w:szCs w:val="21"/>
        </w:rPr>
        <w:fldChar w:fldCharType="separate"/>
      </w:r>
      <w:r>
        <w:rPr>
          <w:rFonts w:hint="eastAsia" w:eastAsia="黑体"/>
          <w:szCs w:val="20"/>
        </w:rPr>
        <w:t>1.10 化石、文物</w:t>
      </w:r>
      <w:r>
        <w:tab/>
      </w:r>
      <w:r>
        <w:fldChar w:fldCharType="begin"/>
      </w:r>
      <w:r>
        <w:instrText xml:space="preserve"> PAGEREF _Toc22129 </w:instrText>
      </w:r>
      <w:r>
        <w:fldChar w:fldCharType="separate"/>
      </w:r>
      <w:r>
        <w:t>54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_Toc23904 </w:instrText>
      </w:r>
      <w:r>
        <w:rPr>
          <w:rFonts w:ascii="宋体" w:hAnsi="宋体"/>
          <w:bCs/>
          <w:caps/>
          <w:szCs w:val="21"/>
        </w:rPr>
        <w:fldChar w:fldCharType="separate"/>
      </w:r>
      <w:r>
        <w:rPr>
          <w:rFonts w:hint="eastAsia" w:eastAsia="黑体"/>
          <w:szCs w:val="20"/>
        </w:rPr>
        <w:t>1.11 专利技术</w:t>
      </w:r>
      <w:r>
        <w:tab/>
      </w:r>
      <w:r>
        <w:fldChar w:fldCharType="begin"/>
      </w:r>
      <w:r>
        <w:instrText xml:space="preserve"> PAGEREF _Toc23904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_Toc26768 </w:instrText>
      </w:r>
      <w:r>
        <w:rPr>
          <w:rFonts w:ascii="宋体" w:hAnsi="宋体"/>
          <w:bCs/>
          <w:caps/>
          <w:szCs w:val="21"/>
        </w:rPr>
        <w:fldChar w:fldCharType="separate"/>
      </w:r>
      <w:r>
        <w:rPr>
          <w:rFonts w:hint="eastAsia" w:eastAsia="黑体"/>
          <w:szCs w:val="20"/>
        </w:rPr>
        <w:t>1.12 图纸和文件的保密</w:t>
      </w:r>
      <w:r>
        <w:tab/>
      </w:r>
      <w:r>
        <w:fldChar w:fldCharType="begin"/>
      </w:r>
      <w:r>
        <w:instrText xml:space="preserve"> PAGEREF _Toc26768 </w:instrText>
      </w:r>
      <w:r>
        <w:fldChar w:fldCharType="separate"/>
      </w:r>
      <w:r>
        <w:t>55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_Toc16952 </w:instrText>
      </w:r>
      <w:r>
        <w:rPr>
          <w:rFonts w:ascii="宋体" w:hAnsi="宋体"/>
          <w:bCs/>
          <w:caps/>
          <w:szCs w:val="21"/>
        </w:rPr>
        <w:fldChar w:fldCharType="separate"/>
      </w:r>
      <w:r>
        <w:t xml:space="preserve">2. </w:t>
      </w:r>
      <w:r>
        <w:rPr>
          <w:rFonts w:hint="eastAsia"/>
        </w:rPr>
        <w:t>发包人义务</w:t>
      </w:r>
      <w:r>
        <w:tab/>
      </w:r>
      <w:r>
        <w:fldChar w:fldCharType="begin"/>
      </w:r>
      <w:r>
        <w:instrText xml:space="preserve"> PAGEREF _Toc16952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_Toc29190 </w:instrText>
      </w:r>
      <w:r>
        <w:rPr>
          <w:rFonts w:ascii="宋体" w:hAnsi="宋体"/>
          <w:bCs/>
          <w:caps/>
          <w:szCs w:val="21"/>
        </w:rPr>
        <w:fldChar w:fldCharType="separate"/>
      </w:r>
      <w:r>
        <w:rPr>
          <w:rFonts w:hint="eastAsia" w:eastAsia="黑体"/>
          <w:szCs w:val="20"/>
        </w:rPr>
        <w:t>2.1 遵守法律</w:t>
      </w:r>
      <w:r>
        <w:tab/>
      </w:r>
      <w:r>
        <w:fldChar w:fldCharType="begin"/>
      </w:r>
      <w:r>
        <w:instrText xml:space="preserve"> PAGEREF _Toc29190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_Toc24827 </w:instrText>
      </w:r>
      <w:r>
        <w:rPr>
          <w:rFonts w:ascii="宋体" w:hAnsi="宋体"/>
          <w:bCs/>
          <w:caps/>
          <w:szCs w:val="21"/>
        </w:rPr>
        <w:fldChar w:fldCharType="separate"/>
      </w:r>
      <w:r>
        <w:rPr>
          <w:rFonts w:hint="eastAsia" w:eastAsia="黑体"/>
          <w:szCs w:val="20"/>
        </w:rPr>
        <w:t>2.2 发出开工通知</w:t>
      </w:r>
      <w:r>
        <w:tab/>
      </w:r>
      <w:r>
        <w:fldChar w:fldCharType="begin"/>
      </w:r>
      <w:r>
        <w:instrText xml:space="preserve"> PAGEREF _Toc24827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_Toc15085 </w:instrText>
      </w:r>
      <w:r>
        <w:rPr>
          <w:rFonts w:ascii="宋体" w:hAnsi="宋体"/>
          <w:bCs/>
          <w:caps/>
          <w:szCs w:val="21"/>
        </w:rPr>
        <w:fldChar w:fldCharType="separate"/>
      </w:r>
      <w:r>
        <w:rPr>
          <w:rFonts w:hint="eastAsia" w:eastAsia="黑体"/>
          <w:szCs w:val="20"/>
        </w:rPr>
        <w:t>2.3 提供施工场地</w:t>
      </w:r>
      <w:r>
        <w:tab/>
      </w:r>
      <w:r>
        <w:fldChar w:fldCharType="begin"/>
      </w:r>
      <w:r>
        <w:instrText xml:space="preserve"> PAGEREF _Toc15085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_Toc4821 </w:instrText>
      </w:r>
      <w:r>
        <w:rPr>
          <w:rFonts w:ascii="宋体" w:hAnsi="宋体"/>
          <w:bCs/>
          <w:caps/>
          <w:szCs w:val="21"/>
        </w:rPr>
        <w:fldChar w:fldCharType="separate"/>
      </w:r>
      <w:r>
        <w:rPr>
          <w:rFonts w:hint="eastAsia" w:eastAsia="黑体"/>
          <w:szCs w:val="20"/>
        </w:rPr>
        <w:t>2.4 协助承包人办理证件和批件</w:t>
      </w:r>
      <w:r>
        <w:tab/>
      </w:r>
      <w:r>
        <w:fldChar w:fldCharType="begin"/>
      </w:r>
      <w:r>
        <w:instrText xml:space="preserve"> PAGEREF _Toc4821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_Toc2899 </w:instrText>
      </w:r>
      <w:r>
        <w:rPr>
          <w:rFonts w:ascii="宋体" w:hAnsi="宋体"/>
          <w:bCs/>
          <w:caps/>
          <w:szCs w:val="21"/>
        </w:rPr>
        <w:fldChar w:fldCharType="separate"/>
      </w:r>
      <w:r>
        <w:rPr>
          <w:rFonts w:hint="eastAsia" w:eastAsia="黑体"/>
          <w:szCs w:val="20"/>
        </w:rPr>
        <w:t>2.5 组织设计交底</w:t>
      </w:r>
      <w:r>
        <w:tab/>
      </w:r>
      <w:r>
        <w:fldChar w:fldCharType="begin"/>
      </w:r>
      <w:r>
        <w:instrText xml:space="preserve"> PAGEREF _Toc2899 </w:instrText>
      </w:r>
      <w:r>
        <w:fldChar w:fldCharType="separate"/>
      </w:r>
      <w:r>
        <w:t>55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_Toc19684 </w:instrText>
      </w:r>
      <w:r>
        <w:rPr>
          <w:rFonts w:ascii="宋体" w:hAnsi="宋体"/>
          <w:bCs/>
          <w:caps/>
          <w:szCs w:val="21"/>
        </w:rPr>
        <w:fldChar w:fldCharType="separate"/>
      </w:r>
      <w:r>
        <w:rPr>
          <w:rFonts w:hint="eastAsia" w:eastAsia="黑体"/>
          <w:szCs w:val="20"/>
        </w:rPr>
        <w:t>2.6 支付合同价款</w:t>
      </w:r>
      <w:r>
        <w:tab/>
      </w:r>
      <w:r>
        <w:fldChar w:fldCharType="begin"/>
      </w:r>
      <w:r>
        <w:instrText xml:space="preserve"> PAGEREF _Toc19684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_Toc17410 </w:instrText>
      </w:r>
      <w:r>
        <w:rPr>
          <w:rFonts w:ascii="宋体" w:hAnsi="宋体"/>
          <w:bCs/>
          <w:caps/>
          <w:szCs w:val="21"/>
        </w:rPr>
        <w:fldChar w:fldCharType="separate"/>
      </w:r>
      <w:r>
        <w:rPr>
          <w:rFonts w:hint="eastAsia" w:eastAsia="黑体"/>
          <w:szCs w:val="20"/>
        </w:rPr>
        <w:t>2.7 组织竣工验收（组织法人验收）</w:t>
      </w:r>
      <w:r>
        <w:tab/>
      </w:r>
      <w:r>
        <w:fldChar w:fldCharType="begin"/>
      </w:r>
      <w:r>
        <w:instrText xml:space="preserve"> PAGEREF _Toc17410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_Toc13414 </w:instrText>
      </w:r>
      <w:r>
        <w:rPr>
          <w:rFonts w:ascii="宋体" w:hAnsi="宋体"/>
          <w:bCs/>
          <w:caps/>
          <w:szCs w:val="21"/>
        </w:rPr>
        <w:fldChar w:fldCharType="separate"/>
      </w:r>
      <w:r>
        <w:rPr>
          <w:rFonts w:hint="eastAsia" w:eastAsia="黑体"/>
          <w:szCs w:val="20"/>
        </w:rPr>
        <w:t>2.8</w:t>
      </w:r>
      <w:r>
        <w:rPr>
          <w:rFonts w:eastAsia="黑体"/>
          <w:szCs w:val="20"/>
        </w:rPr>
        <w:t xml:space="preserve"> </w:t>
      </w:r>
      <w:r>
        <w:rPr>
          <w:rFonts w:hint="eastAsia" w:eastAsia="黑体"/>
          <w:szCs w:val="20"/>
        </w:rPr>
        <w:t>其它义务</w:t>
      </w:r>
      <w:r>
        <w:tab/>
      </w:r>
      <w:r>
        <w:fldChar w:fldCharType="begin"/>
      </w:r>
      <w:r>
        <w:instrText xml:space="preserve"> PAGEREF _Toc13414 </w:instrText>
      </w:r>
      <w:r>
        <w:fldChar w:fldCharType="separate"/>
      </w:r>
      <w:r>
        <w:t>56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_Toc1648 </w:instrText>
      </w:r>
      <w:r>
        <w:rPr>
          <w:rFonts w:ascii="宋体" w:hAnsi="宋体"/>
          <w:bCs/>
          <w:caps/>
          <w:szCs w:val="21"/>
        </w:rPr>
        <w:fldChar w:fldCharType="separate"/>
      </w:r>
      <w:r>
        <w:t xml:space="preserve">3. </w:t>
      </w:r>
      <w:r>
        <w:rPr>
          <w:rFonts w:hint="eastAsia"/>
        </w:rPr>
        <w:t>监理人</w:t>
      </w:r>
      <w:r>
        <w:tab/>
      </w:r>
      <w:r>
        <w:fldChar w:fldCharType="begin"/>
      </w:r>
      <w:r>
        <w:instrText xml:space="preserve"> PAGEREF _Toc1648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_Toc31075 </w:instrText>
      </w:r>
      <w:r>
        <w:rPr>
          <w:rFonts w:ascii="宋体" w:hAnsi="宋体"/>
          <w:bCs/>
          <w:caps/>
          <w:szCs w:val="21"/>
        </w:rPr>
        <w:fldChar w:fldCharType="separate"/>
      </w:r>
      <w:r>
        <w:rPr>
          <w:rFonts w:hint="eastAsia" w:eastAsia="黑体"/>
          <w:szCs w:val="20"/>
        </w:rPr>
        <w:t>3.1 监理人的职责和权利</w:t>
      </w:r>
      <w:r>
        <w:tab/>
      </w:r>
      <w:r>
        <w:fldChar w:fldCharType="begin"/>
      </w:r>
      <w:r>
        <w:instrText xml:space="preserve"> PAGEREF _Toc31075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_Toc11591 </w:instrText>
      </w:r>
      <w:r>
        <w:rPr>
          <w:rFonts w:ascii="宋体" w:hAnsi="宋体"/>
          <w:bCs/>
          <w:caps/>
          <w:szCs w:val="21"/>
        </w:rPr>
        <w:fldChar w:fldCharType="separate"/>
      </w:r>
      <w:r>
        <w:rPr>
          <w:rFonts w:hint="eastAsia" w:eastAsia="黑体"/>
          <w:szCs w:val="20"/>
        </w:rPr>
        <w:t>3.2 总监理工程师</w:t>
      </w:r>
      <w:r>
        <w:tab/>
      </w:r>
      <w:r>
        <w:fldChar w:fldCharType="begin"/>
      </w:r>
      <w:r>
        <w:instrText xml:space="preserve"> PAGEREF _Toc11591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_Toc21396 </w:instrText>
      </w:r>
      <w:r>
        <w:rPr>
          <w:rFonts w:ascii="宋体" w:hAnsi="宋体"/>
          <w:bCs/>
          <w:caps/>
          <w:szCs w:val="21"/>
        </w:rPr>
        <w:fldChar w:fldCharType="separate"/>
      </w:r>
      <w:r>
        <w:rPr>
          <w:rFonts w:hint="eastAsia" w:eastAsia="黑体"/>
          <w:szCs w:val="20"/>
        </w:rPr>
        <w:t>3.3 监理人员</w:t>
      </w:r>
      <w:r>
        <w:tab/>
      </w:r>
      <w:r>
        <w:fldChar w:fldCharType="begin"/>
      </w:r>
      <w:r>
        <w:instrText xml:space="preserve"> PAGEREF _Toc21396 </w:instrText>
      </w:r>
      <w:r>
        <w:fldChar w:fldCharType="separate"/>
      </w:r>
      <w:r>
        <w:t>56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_Toc8748 </w:instrText>
      </w:r>
      <w:r>
        <w:rPr>
          <w:rFonts w:ascii="宋体" w:hAnsi="宋体"/>
          <w:bCs/>
          <w:caps/>
          <w:szCs w:val="21"/>
        </w:rPr>
        <w:fldChar w:fldCharType="separate"/>
      </w:r>
      <w:r>
        <w:rPr>
          <w:rFonts w:hint="eastAsia" w:eastAsia="黑体"/>
          <w:szCs w:val="20"/>
        </w:rPr>
        <w:t>3.4 监理人的指示</w:t>
      </w:r>
      <w:r>
        <w:tab/>
      </w:r>
      <w:r>
        <w:fldChar w:fldCharType="begin"/>
      </w:r>
      <w:r>
        <w:instrText xml:space="preserve"> PAGEREF _Toc8748 </w:instrText>
      </w:r>
      <w:r>
        <w:fldChar w:fldCharType="separate"/>
      </w:r>
      <w:r>
        <w:t>57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_Toc7066 </w:instrText>
      </w:r>
      <w:r>
        <w:rPr>
          <w:rFonts w:ascii="宋体" w:hAnsi="宋体"/>
          <w:bCs/>
          <w:caps/>
          <w:szCs w:val="21"/>
        </w:rPr>
        <w:fldChar w:fldCharType="separate"/>
      </w:r>
      <w:r>
        <w:rPr>
          <w:rFonts w:hint="eastAsia" w:eastAsia="黑体"/>
          <w:szCs w:val="20"/>
        </w:rPr>
        <w:t>3.5 商定或确定</w:t>
      </w:r>
      <w:r>
        <w:tab/>
      </w:r>
      <w:r>
        <w:fldChar w:fldCharType="begin"/>
      </w:r>
      <w:r>
        <w:instrText xml:space="preserve"> PAGEREF _Toc7066 </w:instrText>
      </w:r>
      <w:r>
        <w:fldChar w:fldCharType="separate"/>
      </w:r>
      <w:r>
        <w:t>57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_Toc17060 </w:instrText>
      </w:r>
      <w:r>
        <w:rPr>
          <w:rFonts w:ascii="宋体" w:hAnsi="宋体"/>
          <w:bCs/>
          <w:caps/>
          <w:szCs w:val="21"/>
        </w:rPr>
        <w:fldChar w:fldCharType="separate"/>
      </w:r>
      <w:r>
        <w:t xml:space="preserve">4. </w:t>
      </w:r>
      <w:r>
        <w:rPr>
          <w:rFonts w:hint="eastAsia"/>
        </w:rPr>
        <w:t>承包人</w:t>
      </w:r>
      <w:r>
        <w:tab/>
      </w:r>
      <w:r>
        <w:fldChar w:fldCharType="begin"/>
      </w:r>
      <w:r>
        <w:instrText xml:space="preserve"> PAGEREF _Toc17060 </w:instrText>
      </w:r>
      <w:r>
        <w:fldChar w:fldCharType="separate"/>
      </w:r>
      <w:r>
        <w:t>57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_Toc2744 </w:instrText>
      </w:r>
      <w:r>
        <w:rPr>
          <w:rFonts w:ascii="宋体" w:hAnsi="宋体"/>
          <w:bCs/>
          <w:caps/>
          <w:szCs w:val="21"/>
        </w:rPr>
        <w:fldChar w:fldCharType="separate"/>
      </w:r>
      <w:r>
        <w:rPr>
          <w:rFonts w:hint="eastAsia" w:eastAsia="黑体"/>
          <w:szCs w:val="20"/>
        </w:rPr>
        <w:t>4.1 承包人的一般义务</w:t>
      </w:r>
      <w:r>
        <w:tab/>
      </w:r>
      <w:r>
        <w:fldChar w:fldCharType="begin"/>
      </w:r>
      <w:r>
        <w:instrText xml:space="preserve"> PAGEREF _Toc2744 </w:instrText>
      </w:r>
      <w:r>
        <w:fldChar w:fldCharType="separate"/>
      </w:r>
      <w:r>
        <w:t>57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_Toc21841 </w:instrText>
      </w:r>
      <w:r>
        <w:rPr>
          <w:rFonts w:ascii="宋体" w:hAnsi="宋体"/>
          <w:bCs/>
          <w:caps/>
          <w:szCs w:val="21"/>
        </w:rPr>
        <w:fldChar w:fldCharType="separate"/>
      </w:r>
      <w:r>
        <w:rPr>
          <w:rFonts w:eastAsia="黑体"/>
          <w:szCs w:val="20"/>
        </w:rPr>
        <w:t xml:space="preserve">4.2 </w:t>
      </w:r>
      <w:r>
        <w:rPr>
          <w:rFonts w:hint="eastAsia" w:eastAsia="黑体"/>
          <w:szCs w:val="20"/>
        </w:rPr>
        <w:t>履约担保</w:t>
      </w:r>
      <w:r>
        <w:tab/>
      </w:r>
      <w:r>
        <w:fldChar w:fldCharType="begin"/>
      </w:r>
      <w:r>
        <w:instrText xml:space="preserve"> PAGEREF _Toc21841 </w:instrText>
      </w:r>
      <w:r>
        <w:fldChar w:fldCharType="separate"/>
      </w:r>
      <w:r>
        <w:t>58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_Toc15802 </w:instrText>
      </w:r>
      <w:r>
        <w:rPr>
          <w:rFonts w:ascii="宋体" w:hAnsi="宋体"/>
          <w:bCs/>
          <w:caps/>
          <w:szCs w:val="21"/>
        </w:rPr>
        <w:fldChar w:fldCharType="separate"/>
      </w:r>
      <w:r>
        <w:rPr>
          <w:rFonts w:hint="eastAsia" w:eastAsia="黑体"/>
          <w:szCs w:val="20"/>
        </w:rPr>
        <w:t>4.3 分包</w:t>
      </w:r>
      <w:r>
        <w:tab/>
      </w:r>
      <w:r>
        <w:fldChar w:fldCharType="begin"/>
      </w:r>
      <w:r>
        <w:instrText xml:space="preserve"> PAGEREF _Toc15802 </w:instrText>
      </w:r>
      <w:r>
        <w:fldChar w:fldCharType="separate"/>
      </w:r>
      <w:r>
        <w:t>58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_Toc22999 </w:instrText>
      </w:r>
      <w:r>
        <w:rPr>
          <w:rFonts w:ascii="宋体" w:hAnsi="宋体"/>
          <w:bCs/>
          <w:caps/>
          <w:szCs w:val="21"/>
        </w:rPr>
        <w:fldChar w:fldCharType="separate"/>
      </w:r>
      <w:r>
        <w:rPr>
          <w:rFonts w:hint="eastAsia" w:eastAsia="黑体"/>
          <w:szCs w:val="20"/>
        </w:rPr>
        <w:t>4.4 联合体</w:t>
      </w:r>
      <w:r>
        <w:tab/>
      </w:r>
      <w:r>
        <w:fldChar w:fldCharType="begin"/>
      </w:r>
      <w:r>
        <w:instrText xml:space="preserve"> PAGEREF _Toc22999 </w:instrText>
      </w:r>
      <w:r>
        <w:fldChar w:fldCharType="separate"/>
      </w:r>
      <w:r>
        <w:t>59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_Toc15273 </w:instrText>
      </w:r>
      <w:r>
        <w:rPr>
          <w:rFonts w:ascii="宋体" w:hAnsi="宋体"/>
          <w:bCs/>
          <w:caps/>
          <w:szCs w:val="21"/>
        </w:rPr>
        <w:fldChar w:fldCharType="separate"/>
      </w:r>
      <w:r>
        <w:rPr>
          <w:rFonts w:hint="eastAsia" w:eastAsia="黑体"/>
          <w:szCs w:val="20"/>
        </w:rPr>
        <w:t>4.5 承包人项目经理</w:t>
      </w:r>
      <w:r>
        <w:tab/>
      </w:r>
      <w:r>
        <w:fldChar w:fldCharType="begin"/>
      </w:r>
      <w:r>
        <w:instrText xml:space="preserve"> PAGEREF _Toc15273 </w:instrText>
      </w:r>
      <w:r>
        <w:fldChar w:fldCharType="separate"/>
      </w:r>
      <w:r>
        <w:t>59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_Toc4393 </w:instrText>
      </w:r>
      <w:r>
        <w:rPr>
          <w:rFonts w:ascii="宋体" w:hAnsi="宋体"/>
          <w:bCs/>
          <w:caps/>
          <w:szCs w:val="21"/>
        </w:rPr>
        <w:fldChar w:fldCharType="separate"/>
      </w:r>
      <w:r>
        <w:rPr>
          <w:rFonts w:hint="eastAsia" w:eastAsia="黑体"/>
          <w:szCs w:val="20"/>
        </w:rPr>
        <w:t>4.6 承包人人员的管理</w:t>
      </w:r>
      <w:r>
        <w:tab/>
      </w:r>
      <w:r>
        <w:fldChar w:fldCharType="begin"/>
      </w:r>
      <w:r>
        <w:instrText xml:space="preserve"> PAGEREF _Toc4393 </w:instrText>
      </w:r>
      <w:r>
        <w:fldChar w:fldCharType="separate"/>
      </w:r>
      <w:r>
        <w:t>59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_Toc1910 </w:instrText>
      </w:r>
      <w:r>
        <w:rPr>
          <w:rFonts w:ascii="宋体" w:hAnsi="宋体"/>
          <w:bCs/>
          <w:caps/>
          <w:szCs w:val="21"/>
        </w:rPr>
        <w:fldChar w:fldCharType="separate"/>
      </w:r>
      <w:r>
        <w:rPr>
          <w:rFonts w:hint="eastAsia" w:eastAsia="黑体"/>
          <w:szCs w:val="20"/>
        </w:rPr>
        <w:t>4.7 撤换承包人项目经理和其他人员</w:t>
      </w:r>
      <w:r>
        <w:tab/>
      </w:r>
      <w:r>
        <w:fldChar w:fldCharType="begin"/>
      </w:r>
      <w:r>
        <w:instrText xml:space="preserve"> PAGEREF _Toc1910 </w:instrText>
      </w:r>
      <w:r>
        <w:fldChar w:fldCharType="separate"/>
      </w:r>
      <w:r>
        <w:t>60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_Toc18709 </w:instrText>
      </w:r>
      <w:r>
        <w:rPr>
          <w:rFonts w:ascii="宋体" w:hAnsi="宋体"/>
          <w:bCs/>
          <w:caps/>
          <w:szCs w:val="21"/>
        </w:rPr>
        <w:fldChar w:fldCharType="separate"/>
      </w:r>
      <w:r>
        <w:rPr>
          <w:rFonts w:hint="eastAsia" w:eastAsia="黑体"/>
          <w:szCs w:val="20"/>
        </w:rPr>
        <w:t>4.8 保障承包人人员的合法权益</w:t>
      </w:r>
      <w:r>
        <w:tab/>
      </w:r>
      <w:r>
        <w:fldChar w:fldCharType="begin"/>
      </w:r>
      <w:r>
        <w:instrText xml:space="preserve"> PAGEREF _Toc18709 </w:instrText>
      </w:r>
      <w:r>
        <w:fldChar w:fldCharType="separate"/>
      </w:r>
      <w:r>
        <w:t>60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_Toc15313 </w:instrText>
      </w:r>
      <w:r>
        <w:rPr>
          <w:rFonts w:ascii="宋体" w:hAnsi="宋体"/>
          <w:bCs/>
          <w:caps/>
          <w:szCs w:val="21"/>
        </w:rPr>
        <w:fldChar w:fldCharType="separate"/>
      </w:r>
      <w:r>
        <w:rPr>
          <w:rFonts w:hint="eastAsia" w:eastAsia="黑体"/>
          <w:szCs w:val="20"/>
        </w:rPr>
        <w:t>4.9 工程价款应专款专用</w:t>
      </w:r>
      <w:r>
        <w:tab/>
      </w:r>
      <w:r>
        <w:fldChar w:fldCharType="begin"/>
      </w:r>
      <w:r>
        <w:instrText xml:space="preserve"> PAGEREF _Toc15313 </w:instrText>
      </w:r>
      <w:r>
        <w:fldChar w:fldCharType="separate"/>
      </w:r>
      <w:r>
        <w:t>60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_Toc3392 </w:instrText>
      </w:r>
      <w:r>
        <w:rPr>
          <w:rFonts w:ascii="宋体" w:hAnsi="宋体"/>
          <w:bCs/>
          <w:caps/>
          <w:szCs w:val="21"/>
        </w:rPr>
        <w:fldChar w:fldCharType="separate"/>
      </w:r>
      <w:r>
        <w:rPr>
          <w:rFonts w:hint="eastAsia" w:eastAsia="黑体"/>
          <w:szCs w:val="20"/>
        </w:rPr>
        <w:t>4.10 承包人现场查勘</w:t>
      </w:r>
      <w:r>
        <w:tab/>
      </w:r>
      <w:r>
        <w:fldChar w:fldCharType="begin"/>
      </w:r>
      <w:r>
        <w:instrText xml:space="preserve"> PAGEREF _Toc3392 </w:instrText>
      </w:r>
      <w:r>
        <w:fldChar w:fldCharType="separate"/>
      </w:r>
      <w:r>
        <w:t>60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_Toc27320 </w:instrText>
      </w:r>
      <w:r>
        <w:rPr>
          <w:rFonts w:ascii="宋体" w:hAnsi="宋体"/>
          <w:bCs/>
          <w:caps/>
          <w:szCs w:val="21"/>
        </w:rPr>
        <w:fldChar w:fldCharType="separate"/>
      </w:r>
      <w:r>
        <w:rPr>
          <w:rFonts w:hint="eastAsia" w:eastAsia="黑体"/>
          <w:szCs w:val="20"/>
        </w:rPr>
        <w:t>4.11 不利物质条件</w:t>
      </w:r>
      <w:r>
        <w:tab/>
      </w:r>
      <w:r>
        <w:fldChar w:fldCharType="begin"/>
      </w:r>
      <w:r>
        <w:instrText xml:space="preserve"> PAGEREF _Toc27320 </w:instrText>
      </w:r>
      <w:r>
        <w:fldChar w:fldCharType="separate"/>
      </w:r>
      <w:r>
        <w:t>60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_Toc12532 </w:instrText>
      </w:r>
      <w:r>
        <w:rPr>
          <w:rFonts w:ascii="宋体" w:hAnsi="宋体"/>
          <w:bCs/>
          <w:caps/>
          <w:szCs w:val="21"/>
        </w:rPr>
        <w:fldChar w:fldCharType="separate"/>
      </w:r>
      <w:r>
        <w:t xml:space="preserve">5. </w:t>
      </w:r>
      <w:r>
        <w:rPr>
          <w:rFonts w:hint="eastAsia"/>
        </w:rPr>
        <w:t>材料和工程设备</w:t>
      </w:r>
      <w:r>
        <w:tab/>
      </w:r>
      <w:r>
        <w:fldChar w:fldCharType="begin"/>
      </w:r>
      <w:r>
        <w:instrText xml:space="preserve"> PAGEREF _Toc12532 </w:instrText>
      </w:r>
      <w:r>
        <w:fldChar w:fldCharType="separate"/>
      </w:r>
      <w:r>
        <w:t>61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_Toc1671 </w:instrText>
      </w:r>
      <w:r>
        <w:rPr>
          <w:rFonts w:ascii="宋体" w:hAnsi="宋体"/>
          <w:bCs/>
          <w:caps/>
          <w:szCs w:val="21"/>
        </w:rPr>
        <w:fldChar w:fldCharType="separate"/>
      </w:r>
      <w:r>
        <w:rPr>
          <w:rFonts w:hint="eastAsia" w:eastAsia="黑体"/>
          <w:szCs w:val="20"/>
        </w:rPr>
        <w:t>5.1 承包人提供的材料和工程设备</w:t>
      </w:r>
      <w:r>
        <w:tab/>
      </w:r>
      <w:r>
        <w:fldChar w:fldCharType="begin"/>
      </w:r>
      <w:r>
        <w:instrText xml:space="preserve"> PAGEREF _Toc1671 </w:instrText>
      </w:r>
      <w:r>
        <w:fldChar w:fldCharType="separate"/>
      </w:r>
      <w:r>
        <w:t>61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_Toc108 </w:instrText>
      </w:r>
      <w:r>
        <w:rPr>
          <w:rFonts w:ascii="宋体" w:hAnsi="宋体"/>
          <w:bCs/>
          <w:caps/>
          <w:szCs w:val="21"/>
        </w:rPr>
        <w:fldChar w:fldCharType="separate"/>
      </w:r>
      <w:r>
        <w:rPr>
          <w:rFonts w:hint="eastAsia" w:eastAsia="黑体"/>
          <w:szCs w:val="20"/>
        </w:rPr>
        <w:t>5.2 发包人提供的材料和工程设备</w:t>
      </w:r>
      <w:r>
        <w:tab/>
      </w:r>
      <w:r>
        <w:fldChar w:fldCharType="begin"/>
      </w:r>
      <w:r>
        <w:instrText xml:space="preserve"> PAGEREF _Toc108 </w:instrText>
      </w:r>
      <w:r>
        <w:fldChar w:fldCharType="separate"/>
      </w:r>
      <w:r>
        <w:t>61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_Toc2195 </w:instrText>
      </w:r>
      <w:r>
        <w:rPr>
          <w:rFonts w:ascii="宋体" w:hAnsi="宋体"/>
          <w:bCs/>
          <w:caps/>
          <w:szCs w:val="21"/>
        </w:rPr>
        <w:fldChar w:fldCharType="separate"/>
      </w:r>
      <w:r>
        <w:rPr>
          <w:rFonts w:hint="eastAsia" w:eastAsia="黑体"/>
          <w:szCs w:val="20"/>
        </w:rPr>
        <w:t>5.3 材料和工程设备专用于合同工程</w:t>
      </w:r>
      <w:r>
        <w:tab/>
      </w:r>
      <w:r>
        <w:fldChar w:fldCharType="begin"/>
      </w:r>
      <w:r>
        <w:instrText xml:space="preserve"> PAGEREF _Toc2195 </w:instrText>
      </w:r>
      <w:r>
        <w:fldChar w:fldCharType="separate"/>
      </w:r>
      <w:r>
        <w:t>61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_Toc7560 </w:instrText>
      </w:r>
      <w:r>
        <w:rPr>
          <w:rFonts w:ascii="宋体" w:hAnsi="宋体"/>
          <w:bCs/>
          <w:caps/>
          <w:szCs w:val="21"/>
        </w:rPr>
        <w:fldChar w:fldCharType="separate"/>
      </w:r>
      <w:r>
        <w:rPr>
          <w:rFonts w:hint="eastAsia" w:eastAsia="黑体"/>
          <w:szCs w:val="20"/>
        </w:rPr>
        <w:t>5.4 禁止使用不合格的材料和工程设备</w:t>
      </w:r>
      <w:r>
        <w:tab/>
      </w:r>
      <w:r>
        <w:fldChar w:fldCharType="begin"/>
      </w:r>
      <w:r>
        <w:instrText xml:space="preserve"> PAGEREF _Toc7560 </w:instrText>
      </w:r>
      <w:r>
        <w:fldChar w:fldCharType="separate"/>
      </w:r>
      <w:r>
        <w:t>61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_Toc27033 </w:instrText>
      </w:r>
      <w:r>
        <w:rPr>
          <w:rFonts w:ascii="宋体" w:hAnsi="宋体"/>
          <w:bCs/>
          <w:caps/>
          <w:szCs w:val="21"/>
        </w:rPr>
        <w:fldChar w:fldCharType="separate"/>
      </w:r>
      <w:r>
        <w:t xml:space="preserve">6. </w:t>
      </w:r>
      <w:r>
        <w:rPr>
          <w:rFonts w:hint="eastAsia"/>
        </w:rPr>
        <w:t>施工设备和临时设施</w:t>
      </w:r>
      <w:r>
        <w:tab/>
      </w:r>
      <w:r>
        <w:fldChar w:fldCharType="begin"/>
      </w:r>
      <w:r>
        <w:instrText xml:space="preserve"> PAGEREF _Toc27033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_Toc27403 </w:instrText>
      </w:r>
      <w:r>
        <w:rPr>
          <w:rFonts w:ascii="宋体" w:hAnsi="宋体"/>
          <w:bCs/>
          <w:caps/>
          <w:szCs w:val="21"/>
        </w:rPr>
        <w:fldChar w:fldCharType="separate"/>
      </w:r>
      <w:r>
        <w:rPr>
          <w:rFonts w:hint="eastAsia" w:eastAsia="黑体"/>
          <w:szCs w:val="20"/>
        </w:rPr>
        <w:t>6.1 承包人提供的施工设备和临时设施</w:t>
      </w:r>
      <w:r>
        <w:tab/>
      </w:r>
      <w:r>
        <w:fldChar w:fldCharType="begin"/>
      </w:r>
      <w:r>
        <w:instrText xml:space="preserve"> PAGEREF _Toc27403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_Toc25210 </w:instrText>
      </w:r>
      <w:r>
        <w:rPr>
          <w:rFonts w:ascii="宋体" w:hAnsi="宋体"/>
          <w:bCs/>
          <w:caps/>
          <w:szCs w:val="21"/>
        </w:rPr>
        <w:fldChar w:fldCharType="separate"/>
      </w:r>
      <w:r>
        <w:rPr>
          <w:rFonts w:hint="eastAsia" w:eastAsia="黑体"/>
          <w:szCs w:val="20"/>
        </w:rPr>
        <w:t>6.2 发包人提供的施工设备和临时设施</w:t>
      </w:r>
      <w:r>
        <w:tab/>
      </w:r>
      <w:r>
        <w:fldChar w:fldCharType="begin"/>
      </w:r>
      <w:r>
        <w:instrText xml:space="preserve"> PAGEREF _Toc25210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_Toc17100 </w:instrText>
      </w:r>
      <w:r>
        <w:rPr>
          <w:rFonts w:ascii="宋体" w:hAnsi="宋体"/>
          <w:bCs/>
          <w:caps/>
          <w:szCs w:val="21"/>
        </w:rPr>
        <w:fldChar w:fldCharType="separate"/>
      </w:r>
      <w:r>
        <w:rPr>
          <w:rFonts w:hint="eastAsia" w:eastAsia="黑体"/>
          <w:szCs w:val="20"/>
        </w:rPr>
        <w:t>6.3 要求承包人增加或更换施工设备</w:t>
      </w:r>
      <w:r>
        <w:tab/>
      </w:r>
      <w:r>
        <w:fldChar w:fldCharType="begin"/>
      </w:r>
      <w:r>
        <w:instrText xml:space="preserve"> PAGEREF _Toc17100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_Toc24615 </w:instrText>
      </w:r>
      <w:r>
        <w:rPr>
          <w:rFonts w:ascii="宋体" w:hAnsi="宋体"/>
          <w:bCs/>
          <w:caps/>
          <w:szCs w:val="21"/>
        </w:rPr>
        <w:fldChar w:fldCharType="separate"/>
      </w:r>
      <w:r>
        <w:rPr>
          <w:rFonts w:hint="eastAsia" w:eastAsia="黑体"/>
          <w:szCs w:val="20"/>
        </w:rPr>
        <w:t>6.4 施工设备和临时设施专用于合同工程</w:t>
      </w:r>
      <w:r>
        <w:tab/>
      </w:r>
      <w:r>
        <w:fldChar w:fldCharType="begin"/>
      </w:r>
      <w:r>
        <w:instrText xml:space="preserve"> PAGEREF _Toc24615 </w:instrText>
      </w:r>
      <w:r>
        <w:fldChar w:fldCharType="separate"/>
      </w:r>
      <w:r>
        <w:t>62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_Toc22156 </w:instrText>
      </w:r>
      <w:r>
        <w:rPr>
          <w:rFonts w:ascii="宋体" w:hAnsi="宋体"/>
          <w:bCs/>
          <w:caps/>
          <w:szCs w:val="21"/>
        </w:rPr>
        <w:fldChar w:fldCharType="separate"/>
      </w:r>
      <w:r>
        <w:t xml:space="preserve">7. </w:t>
      </w:r>
      <w:r>
        <w:rPr>
          <w:rFonts w:hint="eastAsia"/>
        </w:rPr>
        <w:t>交通运输</w:t>
      </w:r>
      <w:r>
        <w:tab/>
      </w:r>
      <w:r>
        <w:fldChar w:fldCharType="begin"/>
      </w:r>
      <w:r>
        <w:instrText xml:space="preserve"> PAGEREF _Toc22156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_Toc11183 </w:instrText>
      </w:r>
      <w:r>
        <w:rPr>
          <w:rFonts w:ascii="宋体" w:hAnsi="宋体"/>
          <w:bCs/>
          <w:caps/>
          <w:szCs w:val="21"/>
        </w:rPr>
        <w:fldChar w:fldCharType="separate"/>
      </w:r>
      <w:r>
        <w:rPr>
          <w:rFonts w:hint="eastAsia" w:eastAsia="黑体"/>
          <w:szCs w:val="20"/>
        </w:rPr>
        <w:t>7.1 道路通行权和场外设施</w:t>
      </w:r>
      <w:r>
        <w:tab/>
      </w:r>
      <w:r>
        <w:fldChar w:fldCharType="begin"/>
      </w:r>
      <w:r>
        <w:instrText xml:space="preserve"> PAGEREF _Toc11183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_Toc22596 </w:instrText>
      </w:r>
      <w:r>
        <w:rPr>
          <w:rFonts w:ascii="宋体" w:hAnsi="宋体"/>
          <w:bCs/>
          <w:caps/>
          <w:szCs w:val="21"/>
        </w:rPr>
        <w:fldChar w:fldCharType="separate"/>
      </w:r>
      <w:r>
        <w:rPr>
          <w:rFonts w:hint="eastAsia" w:eastAsia="黑体"/>
          <w:szCs w:val="20"/>
        </w:rPr>
        <w:t>7.2 场内施工道路</w:t>
      </w:r>
      <w:r>
        <w:tab/>
      </w:r>
      <w:r>
        <w:fldChar w:fldCharType="begin"/>
      </w:r>
      <w:r>
        <w:instrText xml:space="preserve"> PAGEREF _Toc22596 </w:instrText>
      </w:r>
      <w:r>
        <w:fldChar w:fldCharType="separate"/>
      </w:r>
      <w:r>
        <w:t>62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_Toc4024 </w:instrText>
      </w:r>
      <w:r>
        <w:rPr>
          <w:rFonts w:ascii="宋体" w:hAnsi="宋体"/>
          <w:bCs/>
          <w:caps/>
          <w:szCs w:val="21"/>
        </w:rPr>
        <w:fldChar w:fldCharType="separate"/>
      </w:r>
      <w:r>
        <w:rPr>
          <w:rFonts w:hint="eastAsia" w:eastAsia="黑体"/>
          <w:szCs w:val="20"/>
        </w:rPr>
        <w:t>7.3 场外交通</w:t>
      </w:r>
      <w:r>
        <w:tab/>
      </w:r>
      <w:r>
        <w:fldChar w:fldCharType="begin"/>
      </w:r>
      <w:r>
        <w:instrText xml:space="preserve"> PAGEREF _Toc4024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_Toc11825 </w:instrText>
      </w:r>
      <w:r>
        <w:rPr>
          <w:rFonts w:ascii="宋体" w:hAnsi="宋体"/>
          <w:bCs/>
          <w:caps/>
          <w:szCs w:val="21"/>
        </w:rPr>
        <w:fldChar w:fldCharType="separate"/>
      </w:r>
      <w:r>
        <w:rPr>
          <w:rFonts w:hint="eastAsia" w:eastAsia="黑体"/>
          <w:szCs w:val="20"/>
        </w:rPr>
        <w:t>7.4 超大件和超重件的运输</w:t>
      </w:r>
      <w:r>
        <w:tab/>
      </w:r>
      <w:r>
        <w:fldChar w:fldCharType="begin"/>
      </w:r>
      <w:r>
        <w:instrText xml:space="preserve"> PAGEREF _Toc11825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_Toc20221 </w:instrText>
      </w:r>
      <w:r>
        <w:rPr>
          <w:rFonts w:ascii="宋体" w:hAnsi="宋体"/>
          <w:bCs/>
          <w:caps/>
          <w:szCs w:val="21"/>
        </w:rPr>
        <w:fldChar w:fldCharType="separate"/>
      </w:r>
      <w:r>
        <w:rPr>
          <w:rFonts w:hint="eastAsia" w:eastAsia="黑体"/>
          <w:szCs w:val="20"/>
        </w:rPr>
        <w:t>7.5 道路和桥梁的损坏责任</w:t>
      </w:r>
      <w:r>
        <w:tab/>
      </w:r>
      <w:r>
        <w:fldChar w:fldCharType="begin"/>
      </w:r>
      <w:r>
        <w:instrText xml:space="preserve"> PAGEREF _Toc20221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_Toc22497 </w:instrText>
      </w:r>
      <w:r>
        <w:rPr>
          <w:rFonts w:ascii="宋体" w:hAnsi="宋体"/>
          <w:bCs/>
          <w:caps/>
          <w:szCs w:val="21"/>
        </w:rPr>
        <w:fldChar w:fldCharType="separate"/>
      </w:r>
      <w:r>
        <w:rPr>
          <w:rFonts w:hint="eastAsia" w:eastAsia="黑体"/>
          <w:szCs w:val="20"/>
        </w:rPr>
        <w:t>7.6 水路和航空运输</w:t>
      </w:r>
      <w:r>
        <w:tab/>
      </w:r>
      <w:r>
        <w:fldChar w:fldCharType="begin"/>
      </w:r>
      <w:r>
        <w:instrText xml:space="preserve"> PAGEREF _Toc22497 </w:instrText>
      </w:r>
      <w:r>
        <w:fldChar w:fldCharType="separate"/>
      </w:r>
      <w:r>
        <w:t>63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_Toc7047 </w:instrText>
      </w:r>
      <w:r>
        <w:rPr>
          <w:rFonts w:ascii="宋体" w:hAnsi="宋体"/>
          <w:bCs/>
          <w:caps/>
          <w:szCs w:val="21"/>
        </w:rPr>
        <w:fldChar w:fldCharType="separate"/>
      </w:r>
      <w:r>
        <w:t xml:space="preserve">8. </w:t>
      </w:r>
      <w:r>
        <w:rPr>
          <w:rFonts w:hint="eastAsia"/>
        </w:rPr>
        <w:t>测量放线</w:t>
      </w:r>
      <w:r>
        <w:tab/>
      </w:r>
      <w:r>
        <w:fldChar w:fldCharType="begin"/>
      </w:r>
      <w:r>
        <w:instrText xml:space="preserve"> PAGEREF _Toc7047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_Toc5394 </w:instrText>
      </w:r>
      <w:r>
        <w:rPr>
          <w:rFonts w:ascii="宋体" w:hAnsi="宋体"/>
          <w:bCs/>
          <w:caps/>
          <w:szCs w:val="21"/>
        </w:rPr>
        <w:fldChar w:fldCharType="separate"/>
      </w:r>
      <w:r>
        <w:rPr>
          <w:rFonts w:hint="eastAsia" w:eastAsia="黑体"/>
          <w:szCs w:val="20"/>
        </w:rPr>
        <w:t>8.1 施工控制网</w:t>
      </w:r>
      <w:r>
        <w:tab/>
      </w:r>
      <w:r>
        <w:fldChar w:fldCharType="begin"/>
      </w:r>
      <w:r>
        <w:instrText xml:space="preserve"> PAGEREF _Toc5394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_Toc31914 </w:instrText>
      </w:r>
      <w:r>
        <w:rPr>
          <w:rFonts w:ascii="宋体" w:hAnsi="宋体"/>
          <w:bCs/>
          <w:caps/>
          <w:szCs w:val="21"/>
        </w:rPr>
        <w:fldChar w:fldCharType="separate"/>
      </w:r>
      <w:r>
        <w:rPr>
          <w:rFonts w:hint="eastAsia" w:eastAsia="黑体"/>
          <w:szCs w:val="20"/>
        </w:rPr>
        <w:t>8.2 施工测量</w:t>
      </w:r>
      <w:r>
        <w:tab/>
      </w:r>
      <w:r>
        <w:fldChar w:fldCharType="begin"/>
      </w:r>
      <w:r>
        <w:instrText xml:space="preserve"> PAGEREF _Toc31914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_Toc9253 </w:instrText>
      </w:r>
      <w:r>
        <w:rPr>
          <w:rFonts w:ascii="宋体" w:hAnsi="宋体"/>
          <w:bCs/>
          <w:caps/>
          <w:szCs w:val="21"/>
        </w:rPr>
        <w:fldChar w:fldCharType="separate"/>
      </w:r>
      <w:r>
        <w:rPr>
          <w:rFonts w:hint="eastAsia" w:eastAsia="黑体"/>
          <w:szCs w:val="20"/>
        </w:rPr>
        <w:t>8.3 基准资料错误的责任</w:t>
      </w:r>
      <w:r>
        <w:tab/>
      </w:r>
      <w:r>
        <w:fldChar w:fldCharType="begin"/>
      </w:r>
      <w:r>
        <w:instrText xml:space="preserve"> PAGEREF _Toc9253 </w:instrText>
      </w:r>
      <w:r>
        <w:fldChar w:fldCharType="separate"/>
      </w:r>
      <w:r>
        <w:t>63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_Toc16926 </w:instrText>
      </w:r>
      <w:r>
        <w:rPr>
          <w:rFonts w:ascii="宋体" w:hAnsi="宋体"/>
          <w:bCs/>
          <w:caps/>
          <w:szCs w:val="21"/>
        </w:rPr>
        <w:fldChar w:fldCharType="separate"/>
      </w:r>
      <w:r>
        <w:rPr>
          <w:rFonts w:hint="eastAsia" w:eastAsia="黑体"/>
          <w:szCs w:val="20"/>
        </w:rPr>
        <w:t>8.4 监理人使用施工控制网</w:t>
      </w:r>
      <w:r>
        <w:tab/>
      </w:r>
      <w:r>
        <w:fldChar w:fldCharType="begin"/>
      </w:r>
      <w:r>
        <w:instrText xml:space="preserve"> PAGEREF _Toc16926 </w:instrText>
      </w:r>
      <w:r>
        <w:fldChar w:fldCharType="separate"/>
      </w:r>
      <w:r>
        <w:t>64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_Toc23910 </w:instrText>
      </w:r>
      <w:r>
        <w:rPr>
          <w:rFonts w:ascii="宋体" w:hAnsi="宋体"/>
          <w:bCs/>
          <w:caps/>
          <w:szCs w:val="21"/>
        </w:rPr>
        <w:fldChar w:fldCharType="separate"/>
      </w:r>
      <w:r>
        <w:rPr>
          <w:rFonts w:hint="eastAsia" w:eastAsia="黑体"/>
          <w:szCs w:val="20"/>
        </w:rPr>
        <w:t>8.5 补充地质勘探</w:t>
      </w:r>
      <w:r>
        <w:tab/>
      </w:r>
      <w:r>
        <w:fldChar w:fldCharType="begin"/>
      </w:r>
      <w:r>
        <w:instrText xml:space="preserve"> PAGEREF _Toc23910 </w:instrText>
      </w:r>
      <w:r>
        <w:fldChar w:fldCharType="separate"/>
      </w:r>
      <w:r>
        <w:t>64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_Toc21672 </w:instrText>
      </w:r>
      <w:r>
        <w:rPr>
          <w:rFonts w:ascii="宋体" w:hAnsi="宋体"/>
          <w:bCs/>
          <w:caps/>
          <w:szCs w:val="21"/>
        </w:rPr>
        <w:fldChar w:fldCharType="separate"/>
      </w:r>
      <w:r>
        <w:t xml:space="preserve">9. </w:t>
      </w:r>
      <w:r>
        <w:rPr>
          <w:rFonts w:hint="eastAsia"/>
        </w:rPr>
        <w:t>施工安全、治安保卫和环境保护</w:t>
      </w:r>
      <w:r>
        <w:tab/>
      </w:r>
      <w:r>
        <w:fldChar w:fldCharType="begin"/>
      </w:r>
      <w:r>
        <w:instrText xml:space="preserve"> PAGEREF _Toc21672 </w:instrText>
      </w:r>
      <w:r>
        <w:fldChar w:fldCharType="separate"/>
      </w:r>
      <w:r>
        <w:t>64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_Toc22919 </w:instrText>
      </w:r>
      <w:r>
        <w:rPr>
          <w:rFonts w:ascii="宋体" w:hAnsi="宋体"/>
          <w:bCs/>
          <w:caps/>
          <w:szCs w:val="21"/>
        </w:rPr>
        <w:fldChar w:fldCharType="separate"/>
      </w:r>
      <w:r>
        <w:rPr>
          <w:rFonts w:hint="eastAsia" w:eastAsia="黑体"/>
          <w:szCs w:val="20"/>
        </w:rPr>
        <w:t>9.1 发包人的施工安全责任</w:t>
      </w:r>
      <w:r>
        <w:tab/>
      </w:r>
      <w:r>
        <w:fldChar w:fldCharType="begin"/>
      </w:r>
      <w:r>
        <w:instrText xml:space="preserve"> PAGEREF _Toc22919 </w:instrText>
      </w:r>
      <w:r>
        <w:fldChar w:fldCharType="separate"/>
      </w:r>
      <w:r>
        <w:t>64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_Toc31014 </w:instrText>
      </w:r>
      <w:r>
        <w:rPr>
          <w:rFonts w:ascii="宋体" w:hAnsi="宋体"/>
          <w:bCs/>
          <w:caps/>
          <w:szCs w:val="21"/>
        </w:rPr>
        <w:fldChar w:fldCharType="separate"/>
      </w:r>
      <w:r>
        <w:rPr>
          <w:rFonts w:hint="eastAsia" w:eastAsia="黑体"/>
          <w:szCs w:val="20"/>
        </w:rPr>
        <w:t>9.2 承包人的施工安全责任</w:t>
      </w:r>
      <w:r>
        <w:tab/>
      </w:r>
      <w:r>
        <w:fldChar w:fldCharType="begin"/>
      </w:r>
      <w:r>
        <w:instrText xml:space="preserve"> PAGEREF _Toc31014 </w:instrText>
      </w:r>
      <w:r>
        <w:fldChar w:fldCharType="separate"/>
      </w:r>
      <w:r>
        <w:t>64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_Toc1278 </w:instrText>
      </w:r>
      <w:r>
        <w:rPr>
          <w:rFonts w:ascii="宋体" w:hAnsi="宋体"/>
          <w:bCs/>
          <w:caps/>
          <w:szCs w:val="21"/>
        </w:rPr>
        <w:fldChar w:fldCharType="separate"/>
      </w:r>
      <w:r>
        <w:rPr>
          <w:rFonts w:hint="eastAsia" w:eastAsia="黑体"/>
          <w:szCs w:val="20"/>
        </w:rPr>
        <w:t>9.3 治安保卫</w:t>
      </w:r>
      <w:r>
        <w:tab/>
      </w:r>
      <w:r>
        <w:fldChar w:fldCharType="begin"/>
      </w:r>
      <w:r>
        <w:instrText xml:space="preserve"> PAGEREF _Toc1278 </w:instrText>
      </w:r>
      <w:r>
        <w:fldChar w:fldCharType="separate"/>
      </w:r>
      <w:r>
        <w:t>65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_Toc267 </w:instrText>
      </w:r>
      <w:r>
        <w:rPr>
          <w:rFonts w:ascii="宋体" w:hAnsi="宋体"/>
          <w:bCs/>
          <w:caps/>
          <w:szCs w:val="21"/>
        </w:rPr>
        <w:fldChar w:fldCharType="separate"/>
      </w:r>
      <w:r>
        <w:rPr>
          <w:rFonts w:hint="eastAsia" w:eastAsia="黑体"/>
          <w:szCs w:val="20"/>
        </w:rPr>
        <w:t>9.4 环境保护</w:t>
      </w:r>
      <w:r>
        <w:tab/>
      </w:r>
      <w:r>
        <w:fldChar w:fldCharType="begin"/>
      </w:r>
      <w:r>
        <w:instrText xml:space="preserve"> PAGEREF _Toc267 </w:instrText>
      </w:r>
      <w:r>
        <w:fldChar w:fldCharType="separate"/>
      </w:r>
      <w:r>
        <w:t>65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_Toc20249 </w:instrText>
      </w:r>
      <w:r>
        <w:rPr>
          <w:rFonts w:ascii="宋体" w:hAnsi="宋体"/>
          <w:bCs/>
          <w:caps/>
          <w:szCs w:val="21"/>
        </w:rPr>
        <w:fldChar w:fldCharType="separate"/>
      </w:r>
      <w:r>
        <w:rPr>
          <w:rFonts w:hint="eastAsia" w:eastAsia="黑体"/>
          <w:szCs w:val="20"/>
        </w:rPr>
        <w:t>9.5 事故处理</w:t>
      </w:r>
      <w:r>
        <w:tab/>
      </w:r>
      <w:r>
        <w:fldChar w:fldCharType="begin"/>
      </w:r>
      <w:r>
        <w:instrText xml:space="preserve"> PAGEREF _Toc20249 </w:instrText>
      </w:r>
      <w:r>
        <w:fldChar w:fldCharType="separate"/>
      </w:r>
      <w:r>
        <w:t>66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_Toc31614 </w:instrText>
      </w:r>
      <w:r>
        <w:rPr>
          <w:rFonts w:ascii="宋体" w:hAnsi="宋体"/>
          <w:bCs/>
          <w:caps/>
          <w:szCs w:val="21"/>
        </w:rPr>
        <w:fldChar w:fldCharType="separate"/>
      </w:r>
      <w:r>
        <w:rPr>
          <w:rFonts w:hint="eastAsia" w:eastAsia="黑体"/>
          <w:szCs w:val="20"/>
        </w:rPr>
        <w:t>9.6 水土保持</w:t>
      </w:r>
      <w:r>
        <w:tab/>
      </w:r>
      <w:r>
        <w:fldChar w:fldCharType="begin"/>
      </w:r>
      <w:r>
        <w:instrText xml:space="preserve"> PAGEREF _Toc31614 </w:instrText>
      </w:r>
      <w:r>
        <w:fldChar w:fldCharType="separate"/>
      </w:r>
      <w:r>
        <w:t>66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_Toc23314 </w:instrText>
      </w:r>
      <w:r>
        <w:rPr>
          <w:rFonts w:ascii="宋体" w:hAnsi="宋体"/>
          <w:bCs/>
          <w:caps/>
          <w:szCs w:val="21"/>
        </w:rPr>
        <w:fldChar w:fldCharType="separate"/>
      </w:r>
      <w:r>
        <w:rPr>
          <w:rFonts w:hint="eastAsia" w:eastAsia="黑体"/>
          <w:szCs w:val="20"/>
        </w:rPr>
        <w:t>9.7 文明工地</w:t>
      </w:r>
      <w:r>
        <w:tab/>
      </w:r>
      <w:r>
        <w:fldChar w:fldCharType="begin"/>
      </w:r>
      <w:r>
        <w:instrText xml:space="preserve"> PAGEREF _Toc23314 </w:instrText>
      </w:r>
      <w:r>
        <w:fldChar w:fldCharType="separate"/>
      </w:r>
      <w:r>
        <w:t>66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_Toc21696 </w:instrText>
      </w:r>
      <w:r>
        <w:rPr>
          <w:rFonts w:ascii="宋体" w:hAnsi="宋体"/>
          <w:bCs/>
          <w:caps/>
          <w:szCs w:val="21"/>
        </w:rPr>
        <w:fldChar w:fldCharType="separate"/>
      </w:r>
      <w:r>
        <w:rPr>
          <w:rFonts w:hint="eastAsia" w:eastAsia="黑体"/>
          <w:szCs w:val="20"/>
        </w:rPr>
        <w:t>9.8 防汛度汛</w:t>
      </w:r>
      <w:r>
        <w:tab/>
      </w:r>
      <w:r>
        <w:fldChar w:fldCharType="begin"/>
      </w:r>
      <w:r>
        <w:instrText xml:space="preserve"> PAGEREF _Toc21696 </w:instrText>
      </w:r>
      <w:r>
        <w:fldChar w:fldCharType="separate"/>
      </w:r>
      <w:r>
        <w:t>66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_Toc2664 </w:instrText>
      </w:r>
      <w:r>
        <w:rPr>
          <w:rFonts w:ascii="宋体" w:hAnsi="宋体"/>
          <w:bCs/>
          <w:caps/>
          <w:szCs w:val="21"/>
        </w:rPr>
        <w:fldChar w:fldCharType="separate"/>
      </w:r>
      <w:r>
        <w:t>10</w:t>
      </w:r>
      <w:r>
        <w:rPr>
          <w:rFonts w:hint="eastAsia"/>
        </w:rPr>
        <w:t>. 进度计划</w:t>
      </w:r>
      <w:r>
        <w:tab/>
      </w:r>
      <w:r>
        <w:fldChar w:fldCharType="begin"/>
      </w:r>
      <w:r>
        <w:instrText xml:space="preserve"> PAGEREF _Toc2664 </w:instrText>
      </w:r>
      <w:r>
        <w:fldChar w:fldCharType="separate"/>
      </w:r>
      <w:r>
        <w:t>66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_Toc32138 </w:instrText>
      </w:r>
      <w:r>
        <w:rPr>
          <w:rFonts w:ascii="宋体" w:hAnsi="宋体"/>
          <w:bCs/>
          <w:caps/>
          <w:szCs w:val="21"/>
        </w:rPr>
        <w:fldChar w:fldCharType="separate"/>
      </w:r>
      <w:r>
        <w:rPr>
          <w:rFonts w:hint="eastAsia" w:eastAsia="黑体"/>
          <w:szCs w:val="20"/>
        </w:rPr>
        <w:t>10.1 合同进度计划</w:t>
      </w:r>
      <w:r>
        <w:tab/>
      </w:r>
      <w:r>
        <w:fldChar w:fldCharType="begin"/>
      </w:r>
      <w:r>
        <w:instrText xml:space="preserve"> PAGEREF _Toc32138 </w:instrText>
      </w:r>
      <w:r>
        <w:fldChar w:fldCharType="separate"/>
      </w:r>
      <w:r>
        <w:t>66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_Toc13120 </w:instrText>
      </w:r>
      <w:r>
        <w:rPr>
          <w:rFonts w:ascii="宋体" w:hAnsi="宋体"/>
          <w:bCs/>
          <w:caps/>
          <w:szCs w:val="21"/>
        </w:rPr>
        <w:fldChar w:fldCharType="separate"/>
      </w:r>
      <w:r>
        <w:rPr>
          <w:rFonts w:hint="eastAsia" w:eastAsia="黑体"/>
          <w:szCs w:val="20"/>
        </w:rPr>
        <w:t>10.2 合同进度计划的修订</w:t>
      </w:r>
      <w:r>
        <w:tab/>
      </w:r>
      <w:r>
        <w:fldChar w:fldCharType="begin"/>
      </w:r>
      <w:r>
        <w:instrText xml:space="preserve"> PAGEREF _Toc13120 </w:instrText>
      </w:r>
      <w:r>
        <w:fldChar w:fldCharType="separate"/>
      </w:r>
      <w:r>
        <w:t>67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_Toc17019 </w:instrText>
      </w:r>
      <w:r>
        <w:rPr>
          <w:rFonts w:ascii="宋体" w:hAnsi="宋体"/>
          <w:bCs/>
          <w:caps/>
          <w:szCs w:val="21"/>
        </w:rPr>
        <w:fldChar w:fldCharType="separate"/>
      </w:r>
      <w:r>
        <w:rPr>
          <w:rFonts w:hint="eastAsia" w:eastAsia="黑体"/>
          <w:szCs w:val="20"/>
        </w:rPr>
        <w:t>10.3 单位工程进度计划</w:t>
      </w:r>
      <w:r>
        <w:tab/>
      </w:r>
      <w:r>
        <w:fldChar w:fldCharType="begin"/>
      </w:r>
      <w:r>
        <w:instrText xml:space="preserve"> PAGEREF _Toc17019 </w:instrText>
      </w:r>
      <w:r>
        <w:fldChar w:fldCharType="separate"/>
      </w:r>
      <w:r>
        <w:t>67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_Toc10916 </w:instrText>
      </w:r>
      <w:r>
        <w:rPr>
          <w:rFonts w:ascii="宋体" w:hAnsi="宋体"/>
          <w:bCs/>
          <w:caps/>
          <w:szCs w:val="21"/>
        </w:rPr>
        <w:fldChar w:fldCharType="separate"/>
      </w:r>
      <w:r>
        <w:rPr>
          <w:rFonts w:hint="eastAsia" w:eastAsia="黑体"/>
          <w:szCs w:val="20"/>
        </w:rPr>
        <w:t>10</w:t>
      </w:r>
      <w:r>
        <w:rPr>
          <w:rFonts w:eastAsia="黑体"/>
          <w:szCs w:val="20"/>
        </w:rPr>
        <w:t>.</w:t>
      </w:r>
      <w:r>
        <w:rPr>
          <w:rFonts w:hint="eastAsia" w:eastAsia="黑体"/>
          <w:szCs w:val="20"/>
        </w:rPr>
        <w:t>4</w:t>
      </w:r>
      <w:r>
        <w:rPr>
          <w:rFonts w:eastAsia="黑体"/>
          <w:szCs w:val="20"/>
        </w:rPr>
        <w:t xml:space="preserve"> </w:t>
      </w:r>
      <w:r>
        <w:rPr>
          <w:rFonts w:hint="eastAsia" w:eastAsia="黑体"/>
          <w:szCs w:val="20"/>
        </w:rPr>
        <w:t>提交资金流估算表</w:t>
      </w:r>
      <w:r>
        <w:tab/>
      </w:r>
      <w:r>
        <w:fldChar w:fldCharType="begin"/>
      </w:r>
      <w:r>
        <w:instrText xml:space="preserve"> PAGEREF _Toc10916 </w:instrText>
      </w:r>
      <w:r>
        <w:fldChar w:fldCharType="separate"/>
      </w:r>
      <w:r>
        <w:t>67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_Toc31694 </w:instrText>
      </w:r>
      <w:r>
        <w:rPr>
          <w:rFonts w:ascii="宋体" w:hAnsi="宋体"/>
          <w:bCs/>
          <w:caps/>
          <w:szCs w:val="21"/>
        </w:rPr>
        <w:fldChar w:fldCharType="separate"/>
      </w:r>
      <w:r>
        <w:t>11</w:t>
      </w:r>
      <w:r>
        <w:rPr>
          <w:rFonts w:hint="eastAsia"/>
        </w:rPr>
        <w:t>. 开工和竣工（完工）</w:t>
      </w:r>
      <w:r>
        <w:tab/>
      </w:r>
      <w:r>
        <w:fldChar w:fldCharType="begin"/>
      </w:r>
      <w:r>
        <w:instrText xml:space="preserve"> PAGEREF _Toc31694 </w:instrText>
      </w:r>
      <w:r>
        <w:fldChar w:fldCharType="separate"/>
      </w:r>
      <w:r>
        <w:t>67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_Toc18898 </w:instrText>
      </w:r>
      <w:r>
        <w:rPr>
          <w:rFonts w:ascii="宋体" w:hAnsi="宋体"/>
          <w:bCs/>
          <w:caps/>
          <w:szCs w:val="21"/>
        </w:rPr>
        <w:fldChar w:fldCharType="separate"/>
      </w:r>
      <w:r>
        <w:rPr>
          <w:rFonts w:hint="eastAsia" w:eastAsia="黑体"/>
          <w:szCs w:val="20"/>
        </w:rPr>
        <w:t>11.1 开工</w:t>
      </w:r>
      <w:r>
        <w:tab/>
      </w:r>
      <w:r>
        <w:fldChar w:fldCharType="begin"/>
      </w:r>
      <w:r>
        <w:instrText xml:space="preserve"> PAGEREF _Toc18898 </w:instrText>
      </w:r>
      <w:r>
        <w:fldChar w:fldCharType="separate"/>
      </w:r>
      <w:r>
        <w:t>67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_Toc16369 </w:instrText>
      </w:r>
      <w:r>
        <w:rPr>
          <w:rFonts w:ascii="宋体" w:hAnsi="宋体"/>
          <w:bCs/>
          <w:caps/>
          <w:szCs w:val="21"/>
        </w:rPr>
        <w:fldChar w:fldCharType="separate"/>
      </w:r>
      <w:r>
        <w:rPr>
          <w:rFonts w:hint="eastAsia" w:eastAsia="黑体"/>
          <w:szCs w:val="20"/>
        </w:rPr>
        <w:t>11.2 竣工（完工）</w:t>
      </w:r>
      <w:r>
        <w:tab/>
      </w:r>
      <w:r>
        <w:fldChar w:fldCharType="begin"/>
      </w:r>
      <w:r>
        <w:instrText xml:space="preserve"> PAGEREF _Toc16369 </w:instrText>
      </w:r>
      <w:r>
        <w:fldChar w:fldCharType="separate"/>
      </w:r>
      <w:r>
        <w:t>68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_Toc3841 </w:instrText>
      </w:r>
      <w:r>
        <w:rPr>
          <w:rFonts w:ascii="宋体" w:hAnsi="宋体"/>
          <w:bCs/>
          <w:caps/>
          <w:szCs w:val="21"/>
        </w:rPr>
        <w:fldChar w:fldCharType="separate"/>
      </w:r>
      <w:r>
        <w:rPr>
          <w:rFonts w:hint="eastAsia" w:eastAsia="黑体"/>
          <w:szCs w:val="20"/>
        </w:rPr>
        <w:t>11.3 发包人的工期延误</w:t>
      </w:r>
      <w:r>
        <w:tab/>
      </w:r>
      <w:r>
        <w:fldChar w:fldCharType="begin"/>
      </w:r>
      <w:r>
        <w:instrText xml:space="preserve"> PAGEREF _Toc3841 </w:instrText>
      </w:r>
      <w:r>
        <w:fldChar w:fldCharType="separate"/>
      </w:r>
      <w:r>
        <w:t>68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_Toc22459 </w:instrText>
      </w:r>
      <w:r>
        <w:rPr>
          <w:rFonts w:ascii="宋体" w:hAnsi="宋体"/>
          <w:bCs/>
          <w:caps/>
          <w:szCs w:val="21"/>
        </w:rPr>
        <w:fldChar w:fldCharType="separate"/>
      </w:r>
      <w:r>
        <w:rPr>
          <w:rFonts w:hint="eastAsia" w:eastAsia="黑体"/>
          <w:szCs w:val="20"/>
        </w:rPr>
        <w:t>11.4 异常恶劣的气候条件</w:t>
      </w:r>
      <w:r>
        <w:tab/>
      </w:r>
      <w:r>
        <w:fldChar w:fldCharType="begin"/>
      </w:r>
      <w:r>
        <w:instrText xml:space="preserve"> PAGEREF _Toc22459 </w:instrText>
      </w:r>
      <w:r>
        <w:fldChar w:fldCharType="separate"/>
      </w:r>
      <w:r>
        <w:t>68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_Toc15680 </w:instrText>
      </w:r>
      <w:r>
        <w:rPr>
          <w:rFonts w:ascii="宋体" w:hAnsi="宋体"/>
          <w:bCs/>
          <w:caps/>
          <w:szCs w:val="21"/>
        </w:rPr>
        <w:fldChar w:fldCharType="separate"/>
      </w:r>
      <w:r>
        <w:rPr>
          <w:rFonts w:hint="eastAsia" w:eastAsia="黑体"/>
          <w:szCs w:val="20"/>
        </w:rPr>
        <w:t>11.5 承包人工期延误</w:t>
      </w:r>
      <w:r>
        <w:tab/>
      </w:r>
      <w:r>
        <w:fldChar w:fldCharType="begin"/>
      </w:r>
      <w:r>
        <w:instrText xml:space="preserve"> PAGEREF _Toc15680 </w:instrText>
      </w:r>
      <w:r>
        <w:fldChar w:fldCharType="separate"/>
      </w:r>
      <w:r>
        <w:t>68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_Toc26952 </w:instrText>
      </w:r>
      <w:r>
        <w:rPr>
          <w:rFonts w:ascii="宋体" w:hAnsi="宋体"/>
          <w:bCs/>
          <w:caps/>
          <w:szCs w:val="21"/>
        </w:rPr>
        <w:fldChar w:fldCharType="separate"/>
      </w:r>
      <w:r>
        <w:rPr>
          <w:rFonts w:hint="eastAsia" w:eastAsia="黑体"/>
          <w:szCs w:val="20"/>
        </w:rPr>
        <w:t>11.6 工期提前</w:t>
      </w:r>
      <w:r>
        <w:tab/>
      </w:r>
      <w:r>
        <w:fldChar w:fldCharType="begin"/>
      </w:r>
      <w:r>
        <w:instrText xml:space="preserve"> PAGEREF _Toc26952 </w:instrText>
      </w:r>
      <w:r>
        <w:fldChar w:fldCharType="separate"/>
      </w:r>
      <w:r>
        <w:t>68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_Toc15452 </w:instrText>
      </w:r>
      <w:r>
        <w:rPr>
          <w:rFonts w:ascii="宋体" w:hAnsi="宋体"/>
          <w:bCs/>
          <w:caps/>
          <w:szCs w:val="21"/>
        </w:rPr>
        <w:fldChar w:fldCharType="separate"/>
      </w:r>
      <w:r>
        <w:t xml:space="preserve">12. </w:t>
      </w:r>
      <w:r>
        <w:rPr>
          <w:rFonts w:hint="eastAsia"/>
        </w:rPr>
        <w:t>暂停施工</w:t>
      </w:r>
      <w:r>
        <w:tab/>
      </w:r>
      <w:r>
        <w:fldChar w:fldCharType="begin"/>
      </w:r>
      <w:r>
        <w:instrText xml:space="preserve"> PAGEREF _Toc15452 </w:instrText>
      </w:r>
      <w:r>
        <w:fldChar w:fldCharType="separate"/>
      </w:r>
      <w:r>
        <w:t>69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_Toc14024 </w:instrText>
      </w:r>
      <w:r>
        <w:rPr>
          <w:rFonts w:ascii="宋体" w:hAnsi="宋体"/>
          <w:bCs/>
          <w:caps/>
          <w:szCs w:val="21"/>
        </w:rPr>
        <w:fldChar w:fldCharType="separate"/>
      </w:r>
      <w:r>
        <w:rPr>
          <w:rFonts w:hint="eastAsia" w:eastAsia="黑体"/>
          <w:szCs w:val="20"/>
        </w:rPr>
        <w:t>12.1 承包人暂停施工的责任</w:t>
      </w:r>
      <w:r>
        <w:tab/>
      </w:r>
      <w:r>
        <w:fldChar w:fldCharType="begin"/>
      </w:r>
      <w:r>
        <w:instrText xml:space="preserve"> PAGEREF _Toc14024 </w:instrText>
      </w:r>
      <w:r>
        <w:fldChar w:fldCharType="separate"/>
      </w:r>
      <w:r>
        <w:t>69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_Toc16629 </w:instrText>
      </w:r>
      <w:r>
        <w:rPr>
          <w:rFonts w:ascii="宋体" w:hAnsi="宋体"/>
          <w:bCs/>
          <w:caps/>
          <w:szCs w:val="21"/>
        </w:rPr>
        <w:fldChar w:fldCharType="separate"/>
      </w:r>
      <w:r>
        <w:rPr>
          <w:rFonts w:hint="eastAsia" w:eastAsia="黑体"/>
          <w:szCs w:val="20"/>
        </w:rPr>
        <w:t>12.2 发包人暂停施工的责任</w:t>
      </w:r>
      <w:r>
        <w:tab/>
      </w:r>
      <w:r>
        <w:fldChar w:fldCharType="begin"/>
      </w:r>
      <w:r>
        <w:instrText xml:space="preserve"> PAGEREF _Toc16629 </w:instrText>
      </w:r>
      <w:r>
        <w:fldChar w:fldCharType="separate"/>
      </w:r>
      <w:r>
        <w:t>69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_Toc30923 </w:instrText>
      </w:r>
      <w:r>
        <w:rPr>
          <w:rFonts w:ascii="宋体" w:hAnsi="宋体"/>
          <w:bCs/>
          <w:caps/>
          <w:szCs w:val="21"/>
        </w:rPr>
        <w:fldChar w:fldCharType="separate"/>
      </w:r>
      <w:r>
        <w:rPr>
          <w:rFonts w:hint="eastAsia" w:eastAsia="黑体"/>
          <w:szCs w:val="20"/>
        </w:rPr>
        <w:t>12.3 监理人暂停施工指示</w:t>
      </w:r>
      <w:r>
        <w:tab/>
      </w:r>
      <w:r>
        <w:fldChar w:fldCharType="begin"/>
      </w:r>
      <w:r>
        <w:instrText xml:space="preserve"> PAGEREF _Toc30923 </w:instrText>
      </w:r>
      <w:r>
        <w:fldChar w:fldCharType="separate"/>
      </w:r>
      <w:r>
        <w:t>69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_Toc17954 </w:instrText>
      </w:r>
      <w:r>
        <w:rPr>
          <w:rFonts w:ascii="宋体" w:hAnsi="宋体"/>
          <w:bCs/>
          <w:caps/>
          <w:szCs w:val="21"/>
        </w:rPr>
        <w:fldChar w:fldCharType="separate"/>
      </w:r>
      <w:r>
        <w:rPr>
          <w:rFonts w:hint="eastAsia" w:eastAsia="黑体"/>
          <w:szCs w:val="20"/>
        </w:rPr>
        <w:t>12.4 暂停施工后的复工</w:t>
      </w:r>
      <w:r>
        <w:tab/>
      </w:r>
      <w:r>
        <w:fldChar w:fldCharType="begin"/>
      </w:r>
      <w:r>
        <w:instrText xml:space="preserve"> PAGEREF _Toc17954 </w:instrText>
      </w:r>
      <w:r>
        <w:fldChar w:fldCharType="separate"/>
      </w:r>
      <w:r>
        <w:t>69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_Toc22469 </w:instrText>
      </w:r>
      <w:r>
        <w:rPr>
          <w:rFonts w:ascii="宋体" w:hAnsi="宋体"/>
          <w:bCs/>
          <w:caps/>
          <w:szCs w:val="21"/>
        </w:rPr>
        <w:fldChar w:fldCharType="separate"/>
      </w:r>
      <w:r>
        <w:rPr>
          <w:rFonts w:hint="eastAsia" w:eastAsia="黑体"/>
          <w:szCs w:val="20"/>
        </w:rPr>
        <w:t xml:space="preserve">12.5 </w:t>
      </w:r>
      <w:r>
        <w:rPr>
          <w:rFonts w:eastAsia="黑体"/>
          <w:szCs w:val="20"/>
        </w:rPr>
        <w:t>暂停施工</w:t>
      </w:r>
      <w:r>
        <w:rPr>
          <w:rFonts w:hint="eastAsia" w:eastAsia="黑体"/>
          <w:szCs w:val="20"/>
        </w:rPr>
        <w:t>持续56天以上</w:t>
      </w:r>
      <w:r>
        <w:tab/>
      </w:r>
      <w:r>
        <w:fldChar w:fldCharType="begin"/>
      </w:r>
      <w:r>
        <w:instrText xml:space="preserve"> PAGEREF _Toc22469 </w:instrText>
      </w:r>
      <w:r>
        <w:fldChar w:fldCharType="separate"/>
      </w:r>
      <w:r>
        <w:t>69</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_Toc27990 </w:instrText>
      </w:r>
      <w:r>
        <w:rPr>
          <w:rFonts w:ascii="宋体" w:hAnsi="宋体"/>
          <w:bCs/>
          <w:caps/>
          <w:szCs w:val="21"/>
        </w:rPr>
        <w:fldChar w:fldCharType="separate"/>
      </w:r>
      <w:r>
        <w:t xml:space="preserve">13. </w:t>
      </w:r>
      <w:r>
        <w:rPr>
          <w:rFonts w:hint="eastAsia"/>
        </w:rPr>
        <w:t>工程质量</w:t>
      </w:r>
      <w:r>
        <w:tab/>
      </w:r>
      <w:r>
        <w:fldChar w:fldCharType="begin"/>
      </w:r>
      <w:r>
        <w:instrText xml:space="preserve"> PAGEREF _Toc27990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_Toc26339 </w:instrText>
      </w:r>
      <w:r>
        <w:rPr>
          <w:rFonts w:ascii="宋体" w:hAnsi="宋体"/>
          <w:bCs/>
          <w:caps/>
          <w:szCs w:val="21"/>
        </w:rPr>
        <w:fldChar w:fldCharType="separate"/>
      </w:r>
      <w:r>
        <w:rPr>
          <w:rFonts w:hint="eastAsia" w:eastAsia="黑体"/>
          <w:szCs w:val="20"/>
        </w:rPr>
        <w:t>13.1 工程质量要求</w:t>
      </w:r>
      <w:r>
        <w:tab/>
      </w:r>
      <w:r>
        <w:fldChar w:fldCharType="begin"/>
      </w:r>
      <w:r>
        <w:instrText xml:space="preserve"> PAGEREF _Toc26339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_Toc15982 </w:instrText>
      </w:r>
      <w:r>
        <w:rPr>
          <w:rFonts w:ascii="宋体" w:hAnsi="宋体"/>
          <w:bCs/>
          <w:caps/>
          <w:szCs w:val="21"/>
        </w:rPr>
        <w:fldChar w:fldCharType="separate"/>
      </w:r>
      <w:r>
        <w:rPr>
          <w:rFonts w:hint="eastAsia" w:eastAsia="黑体"/>
          <w:szCs w:val="20"/>
        </w:rPr>
        <w:t>13.2 承包人的质量管理</w:t>
      </w:r>
      <w:r>
        <w:tab/>
      </w:r>
      <w:r>
        <w:fldChar w:fldCharType="begin"/>
      </w:r>
      <w:r>
        <w:instrText xml:space="preserve"> PAGEREF _Toc15982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_Toc21100 </w:instrText>
      </w:r>
      <w:r>
        <w:rPr>
          <w:rFonts w:ascii="宋体" w:hAnsi="宋体"/>
          <w:bCs/>
          <w:caps/>
          <w:szCs w:val="21"/>
        </w:rPr>
        <w:fldChar w:fldCharType="separate"/>
      </w:r>
      <w:r>
        <w:rPr>
          <w:rFonts w:hint="eastAsia" w:eastAsia="黑体"/>
          <w:szCs w:val="20"/>
        </w:rPr>
        <w:t>13.3 承包人的质量检查</w:t>
      </w:r>
      <w:r>
        <w:tab/>
      </w:r>
      <w:r>
        <w:fldChar w:fldCharType="begin"/>
      </w:r>
      <w:r>
        <w:instrText xml:space="preserve"> PAGEREF _Toc21100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_Toc20737 </w:instrText>
      </w:r>
      <w:r>
        <w:rPr>
          <w:rFonts w:ascii="宋体" w:hAnsi="宋体"/>
          <w:bCs/>
          <w:caps/>
          <w:szCs w:val="21"/>
        </w:rPr>
        <w:fldChar w:fldCharType="separate"/>
      </w:r>
      <w:r>
        <w:rPr>
          <w:rFonts w:hint="eastAsia" w:eastAsia="黑体"/>
          <w:szCs w:val="20"/>
        </w:rPr>
        <w:t>13.4 监理人的质量检查</w:t>
      </w:r>
      <w:r>
        <w:tab/>
      </w:r>
      <w:r>
        <w:fldChar w:fldCharType="begin"/>
      </w:r>
      <w:r>
        <w:instrText xml:space="preserve"> PAGEREF _Toc20737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_Toc17986 </w:instrText>
      </w:r>
      <w:r>
        <w:rPr>
          <w:rFonts w:ascii="宋体" w:hAnsi="宋体"/>
          <w:bCs/>
          <w:caps/>
          <w:szCs w:val="21"/>
        </w:rPr>
        <w:fldChar w:fldCharType="separate"/>
      </w:r>
      <w:r>
        <w:rPr>
          <w:rFonts w:hint="eastAsia" w:eastAsia="黑体"/>
          <w:szCs w:val="20"/>
        </w:rPr>
        <w:t>13.5 工程隐蔽部位覆盖前的检查</w:t>
      </w:r>
      <w:r>
        <w:tab/>
      </w:r>
      <w:r>
        <w:fldChar w:fldCharType="begin"/>
      </w:r>
      <w:r>
        <w:instrText xml:space="preserve"> PAGEREF _Toc17986 </w:instrText>
      </w:r>
      <w:r>
        <w:fldChar w:fldCharType="separate"/>
      </w:r>
      <w:r>
        <w:t>70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_Toc29041 </w:instrText>
      </w:r>
      <w:r>
        <w:rPr>
          <w:rFonts w:ascii="宋体" w:hAnsi="宋体"/>
          <w:bCs/>
          <w:caps/>
          <w:szCs w:val="21"/>
        </w:rPr>
        <w:fldChar w:fldCharType="separate"/>
      </w:r>
      <w:r>
        <w:rPr>
          <w:rFonts w:hint="eastAsia" w:eastAsia="黑体"/>
          <w:szCs w:val="20"/>
        </w:rPr>
        <w:t>13.6 清除不合格工程</w:t>
      </w:r>
      <w:r>
        <w:tab/>
      </w:r>
      <w:r>
        <w:fldChar w:fldCharType="begin"/>
      </w:r>
      <w:r>
        <w:instrText xml:space="preserve"> PAGEREF _Toc29041 </w:instrText>
      </w:r>
      <w:r>
        <w:fldChar w:fldCharType="separate"/>
      </w:r>
      <w:r>
        <w:t>71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_Toc30010 </w:instrText>
      </w:r>
      <w:r>
        <w:rPr>
          <w:rFonts w:ascii="宋体" w:hAnsi="宋体"/>
          <w:bCs/>
          <w:caps/>
          <w:szCs w:val="21"/>
        </w:rPr>
        <w:fldChar w:fldCharType="separate"/>
      </w:r>
      <w:r>
        <w:rPr>
          <w:rFonts w:eastAsia="黑体"/>
          <w:szCs w:val="20"/>
        </w:rPr>
        <w:t xml:space="preserve">13.7 </w:t>
      </w:r>
      <w:r>
        <w:rPr>
          <w:rFonts w:hint="eastAsia" w:eastAsia="黑体"/>
          <w:szCs w:val="20"/>
        </w:rPr>
        <w:t>质量评定</w:t>
      </w:r>
      <w:r>
        <w:tab/>
      </w:r>
      <w:r>
        <w:fldChar w:fldCharType="begin"/>
      </w:r>
      <w:r>
        <w:instrText xml:space="preserve"> PAGEREF _Toc30010 </w:instrText>
      </w:r>
      <w:r>
        <w:fldChar w:fldCharType="separate"/>
      </w:r>
      <w:r>
        <w:t>71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_Toc10066 </w:instrText>
      </w:r>
      <w:r>
        <w:rPr>
          <w:rFonts w:ascii="宋体" w:hAnsi="宋体"/>
          <w:bCs/>
          <w:caps/>
          <w:szCs w:val="21"/>
        </w:rPr>
        <w:fldChar w:fldCharType="separate"/>
      </w:r>
      <w:r>
        <w:rPr>
          <w:rFonts w:hint="eastAsia" w:eastAsia="黑体"/>
          <w:szCs w:val="20"/>
        </w:rPr>
        <w:t>13.8 质量事故处理</w:t>
      </w:r>
      <w:r>
        <w:tab/>
      </w:r>
      <w:r>
        <w:fldChar w:fldCharType="begin"/>
      </w:r>
      <w:r>
        <w:instrText xml:space="preserve"> PAGEREF _Toc10066 </w:instrText>
      </w:r>
      <w:r>
        <w:fldChar w:fldCharType="separate"/>
      </w:r>
      <w:r>
        <w:t>71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_Toc12386 </w:instrText>
      </w:r>
      <w:r>
        <w:rPr>
          <w:rFonts w:ascii="宋体" w:hAnsi="宋体"/>
          <w:bCs/>
          <w:caps/>
          <w:szCs w:val="21"/>
        </w:rPr>
        <w:fldChar w:fldCharType="separate"/>
      </w:r>
      <w:r>
        <w:t xml:space="preserve">14. </w:t>
      </w:r>
      <w:r>
        <w:rPr>
          <w:rFonts w:hint="eastAsia"/>
        </w:rPr>
        <w:t>试验和检验</w:t>
      </w:r>
      <w:r>
        <w:tab/>
      </w:r>
      <w:r>
        <w:fldChar w:fldCharType="begin"/>
      </w:r>
      <w:r>
        <w:instrText xml:space="preserve"> PAGEREF _Toc12386 </w:instrText>
      </w:r>
      <w:r>
        <w:fldChar w:fldCharType="separate"/>
      </w:r>
      <w:r>
        <w:t>72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_Toc28695 </w:instrText>
      </w:r>
      <w:r>
        <w:rPr>
          <w:rFonts w:ascii="宋体" w:hAnsi="宋体"/>
          <w:bCs/>
          <w:caps/>
          <w:szCs w:val="21"/>
        </w:rPr>
        <w:fldChar w:fldCharType="separate"/>
      </w:r>
      <w:r>
        <w:rPr>
          <w:rFonts w:hint="eastAsia" w:eastAsia="黑体"/>
          <w:szCs w:val="20"/>
        </w:rPr>
        <w:t>14.1 材料、工程设备和工程的试验和检验</w:t>
      </w:r>
      <w:r>
        <w:tab/>
      </w:r>
      <w:r>
        <w:fldChar w:fldCharType="begin"/>
      </w:r>
      <w:r>
        <w:instrText xml:space="preserve"> PAGEREF _Toc28695 </w:instrText>
      </w:r>
      <w:r>
        <w:fldChar w:fldCharType="separate"/>
      </w:r>
      <w:r>
        <w:t>72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_Toc13693 </w:instrText>
      </w:r>
      <w:r>
        <w:rPr>
          <w:rFonts w:ascii="宋体" w:hAnsi="宋体"/>
          <w:bCs/>
          <w:caps/>
          <w:szCs w:val="21"/>
        </w:rPr>
        <w:fldChar w:fldCharType="separate"/>
      </w:r>
      <w:r>
        <w:rPr>
          <w:rFonts w:hint="eastAsia" w:eastAsia="黑体"/>
          <w:szCs w:val="20"/>
        </w:rPr>
        <w:t>14.2 现场材料试验</w:t>
      </w:r>
      <w:r>
        <w:tab/>
      </w:r>
      <w:r>
        <w:fldChar w:fldCharType="begin"/>
      </w:r>
      <w:r>
        <w:instrText xml:space="preserve"> PAGEREF _Toc13693 </w:instrText>
      </w:r>
      <w:r>
        <w:fldChar w:fldCharType="separate"/>
      </w:r>
      <w:r>
        <w:t>72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_Toc22572 </w:instrText>
      </w:r>
      <w:r>
        <w:rPr>
          <w:rFonts w:ascii="宋体" w:hAnsi="宋体"/>
          <w:bCs/>
          <w:caps/>
          <w:szCs w:val="21"/>
        </w:rPr>
        <w:fldChar w:fldCharType="separate"/>
      </w:r>
      <w:r>
        <w:rPr>
          <w:rFonts w:hint="eastAsia" w:eastAsia="黑体"/>
          <w:szCs w:val="20"/>
        </w:rPr>
        <w:t>14.3 现场工艺试验</w:t>
      </w:r>
      <w:r>
        <w:tab/>
      </w:r>
      <w:r>
        <w:fldChar w:fldCharType="begin"/>
      </w:r>
      <w:r>
        <w:instrText xml:space="preserve"> PAGEREF _Toc22572 </w:instrText>
      </w:r>
      <w:r>
        <w:fldChar w:fldCharType="separate"/>
      </w:r>
      <w:r>
        <w:t>72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_Toc22062 </w:instrText>
      </w:r>
      <w:r>
        <w:rPr>
          <w:rFonts w:ascii="宋体" w:hAnsi="宋体"/>
          <w:bCs/>
          <w:caps/>
          <w:szCs w:val="21"/>
        </w:rPr>
        <w:fldChar w:fldCharType="separate"/>
      </w:r>
      <w:r>
        <w:t xml:space="preserve">15. </w:t>
      </w:r>
      <w:r>
        <w:rPr>
          <w:rFonts w:hint="eastAsia"/>
        </w:rPr>
        <w:t>变更</w:t>
      </w:r>
      <w:r>
        <w:tab/>
      </w:r>
      <w:r>
        <w:fldChar w:fldCharType="begin"/>
      </w:r>
      <w:r>
        <w:instrText xml:space="preserve"> PAGEREF _Toc22062 </w:instrText>
      </w:r>
      <w:r>
        <w:fldChar w:fldCharType="separate"/>
      </w:r>
      <w:r>
        <w:t>73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_Toc11751 </w:instrText>
      </w:r>
      <w:r>
        <w:rPr>
          <w:rFonts w:ascii="宋体" w:hAnsi="宋体"/>
          <w:bCs/>
          <w:caps/>
          <w:szCs w:val="21"/>
        </w:rPr>
        <w:fldChar w:fldCharType="separate"/>
      </w:r>
      <w:r>
        <w:rPr>
          <w:rFonts w:eastAsia="黑体"/>
          <w:szCs w:val="20"/>
        </w:rPr>
        <w:t xml:space="preserve">15.1 </w:t>
      </w:r>
      <w:r>
        <w:rPr>
          <w:rFonts w:hint="eastAsia" w:eastAsia="黑体"/>
          <w:szCs w:val="20"/>
        </w:rPr>
        <w:t>变更的范围和内容</w:t>
      </w:r>
      <w:r>
        <w:tab/>
      </w:r>
      <w:r>
        <w:fldChar w:fldCharType="begin"/>
      </w:r>
      <w:r>
        <w:instrText xml:space="preserve"> PAGEREF _Toc11751 </w:instrText>
      </w:r>
      <w:r>
        <w:fldChar w:fldCharType="separate"/>
      </w:r>
      <w:r>
        <w:t>73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_Toc26029 </w:instrText>
      </w:r>
      <w:r>
        <w:rPr>
          <w:rFonts w:ascii="宋体" w:hAnsi="宋体"/>
          <w:bCs/>
          <w:caps/>
          <w:szCs w:val="21"/>
        </w:rPr>
        <w:fldChar w:fldCharType="separate"/>
      </w:r>
      <w:r>
        <w:rPr>
          <w:rFonts w:hint="eastAsia" w:eastAsia="黑体"/>
          <w:szCs w:val="20"/>
        </w:rPr>
        <w:t>15.2 变更权</w:t>
      </w:r>
      <w:r>
        <w:tab/>
      </w:r>
      <w:r>
        <w:fldChar w:fldCharType="begin"/>
      </w:r>
      <w:r>
        <w:instrText xml:space="preserve"> PAGEREF _Toc26029 </w:instrText>
      </w:r>
      <w:r>
        <w:fldChar w:fldCharType="separate"/>
      </w:r>
      <w:r>
        <w:t>73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_Toc9462 </w:instrText>
      </w:r>
      <w:r>
        <w:rPr>
          <w:rFonts w:ascii="宋体" w:hAnsi="宋体"/>
          <w:bCs/>
          <w:caps/>
          <w:szCs w:val="21"/>
        </w:rPr>
        <w:fldChar w:fldCharType="separate"/>
      </w:r>
      <w:r>
        <w:rPr>
          <w:rFonts w:hint="eastAsia" w:eastAsia="黑体"/>
          <w:szCs w:val="20"/>
        </w:rPr>
        <w:t>15.3 变更程序</w:t>
      </w:r>
      <w:r>
        <w:tab/>
      </w:r>
      <w:r>
        <w:fldChar w:fldCharType="begin"/>
      </w:r>
      <w:r>
        <w:instrText xml:space="preserve"> PAGEREF _Toc9462 </w:instrText>
      </w:r>
      <w:r>
        <w:fldChar w:fldCharType="separate"/>
      </w:r>
      <w:r>
        <w:t>73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_Toc2303 </w:instrText>
      </w:r>
      <w:r>
        <w:rPr>
          <w:rFonts w:ascii="宋体" w:hAnsi="宋体"/>
          <w:bCs/>
          <w:caps/>
          <w:szCs w:val="21"/>
        </w:rPr>
        <w:fldChar w:fldCharType="separate"/>
      </w:r>
      <w:r>
        <w:rPr>
          <w:rFonts w:hint="eastAsia" w:eastAsia="黑体"/>
          <w:szCs w:val="20"/>
        </w:rPr>
        <w:t>15.4 变更的估价原则</w:t>
      </w:r>
      <w:r>
        <w:tab/>
      </w:r>
      <w:r>
        <w:fldChar w:fldCharType="begin"/>
      </w:r>
      <w:r>
        <w:instrText xml:space="preserve"> PAGEREF _Toc2303 </w:instrText>
      </w:r>
      <w:r>
        <w:fldChar w:fldCharType="separate"/>
      </w:r>
      <w:r>
        <w:t>74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_Toc13868 </w:instrText>
      </w:r>
      <w:r>
        <w:rPr>
          <w:rFonts w:ascii="宋体" w:hAnsi="宋体"/>
          <w:bCs/>
          <w:caps/>
          <w:szCs w:val="21"/>
        </w:rPr>
        <w:fldChar w:fldCharType="separate"/>
      </w:r>
      <w:r>
        <w:rPr>
          <w:rFonts w:hint="eastAsia" w:eastAsia="黑体"/>
          <w:szCs w:val="20"/>
        </w:rPr>
        <w:t>15.5 承包人的合理化建议</w:t>
      </w:r>
      <w:r>
        <w:tab/>
      </w:r>
      <w:r>
        <w:fldChar w:fldCharType="begin"/>
      </w:r>
      <w:r>
        <w:instrText xml:space="preserve"> PAGEREF _Toc13868 </w:instrText>
      </w:r>
      <w:r>
        <w:fldChar w:fldCharType="separate"/>
      </w:r>
      <w:r>
        <w:t>74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_Toc9727 </w:instrText>
      </w:r>
      <w:r>
        <w:rPr>
          <w:rFonts w:ascii="宋体" w:hAnsi="宋体"/>
          <w:bCs/>
          <w:caps/>
          <w:szCs w:val="21"/>
        </w:rPr>
        <w:fldChar w:fldCharType="separate"/>
      </w:r>
      <w:r>
        <w:rPr>
          <w:rFonts w:hint="eastAsia" w:eastAsia="黑体"/>
          <w:szCs w:val="20"/>
        </w:rPr>
        <w:t>15.6 暂列金额</w:t>
      </w:r>
      <w:r>
        <w:tab/>
      </w:r>
      <w:r>
        <w:fldChar w:fldCharType="begin"/>
      </w:r>
      <w:r>
        <w:instrText xml:space="preserve"> PAGEREF _Toc9727 </w:instrText>
      </w:r>
      <w:r>
        <w:fldChar w:fldCharType="separate"/>
      </w:r>
      <w:r>
        <w:t>74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_Toc9955 </w:instrText>
      </w:r>
      <w:r>
        <w:rPr>
          <w:rFonts w:ascii="宋体" w:hAnsi="宋体"/>
          <w:bCs/>
          <w:caps/>
          <w:szCs w:val="21"/>
        </w:rPr>
        <w:fldChar w:fldCharType="separate"/>
      </w:r>
      <w:r>
        <w:rPr>
          <w:rFonts w:hint="eastAsia" w:eastAsia="黑体"/>
          <w:szCs w:val="20"/>
        </w:rPr>
        <w:t>15.7 计日工</w:t>
      </w:r>
      <w:r>
        <w:tab/>
      </w:r>
      <w:r>
        <w:fldChar w:fldCharType="begin"/>
      </w:r>
      <w:r>
        <w:instrText xml:space="preserve"> PAGEREF _Toc9955 </w:instrText>
      </w:r>
      <w:r>
        <w:fldChar w:fldCharType="separate"/>
      </w:r>
      <w:r>
        <w:t>74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_Toc20425 </w:instrText>
      </w:r>
      <w:r>
        <w:rPr>
          <w:rFonts w:ascii="宋体" w:hAnsi="宋体"/>
          <w:bCs/>
          <w:caps/>
          <w:szCs w:val="21"/>
        </w:rPr>
        <w:fldChar w:fldCharType="separate"/>
      </w:r>
      <w:r>
        <w:rPr>
          <w:rFonts w:eastAsia="黑体"/>
          <w:szCs w:val="20"/>
        </w:rPr>
        <w:t xml:space="preserve">15.8 </w:t>
      </w:r>
      <w:r>
        <w:rPr>
          <w:rFonts w:hint="eastAsia" w:eastAsia="黑体"/>
          <w:szCs w:val="20"/>
        </w:rPr>
        <w:t>暂估价</w:t>
      </w:r>
      <w:r>
        <w:tab/>
      </w:r>
      <w:r>
        <w:fldChar w:fldCharType="begin"/>
      </w:r>
      <w:r>
        <w:instrText xml:space="preserve"> PAGEREF _Toc20425 </w:instrText>
      </w:r>
      <w:r>
        <w:fldChar w:fldCharType="separate"/>
      </w:r>
      <w:r>
        <w:t>75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_Toc15442 </w:instrText>
      </w:r>
      <w:r>
        <w:rPr>
          <w:rFonts w:ascii="宋体" w:hAnsi="宋体"/>
          <w:bCs/>
          <w:caps/>
          <w:szCs w:val="21"/>
        </w:rPr>
        <w:fldChar w:fldCharType="separate"/>
      </w:r>
      <w:r>
        <w:t xml:space="preserve">16. </w:t>
      </w:r>
      <w:r>
        <w:rPr>
          <w:rFonts w:hint="eastAsia"/>
        </w:rPr>
        <w:t>价格调整</w:t>
      </w:r>
      <w:r>
        <w:tab/>
      </w:r>
      <w:r>
        <w:fldChar w:fldCharType="begin"/>
      </w:r>
      <w:r>
        <w:instrText xml:space="preserve"> PAGEREF _Toc15442 </w:instrText>
      </w:r>
      <w:r>
        <w:fldChar w:fldCharType="separate"/>
      </w:r>
      <w:r>
        <w:t>75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_Toc17208 </w:instrText>
      </w:r>
      <w:r>
        <w:rPr>
          <w:rFonts w:ascii="宋体" w:hAnsi="宋体"/>
          <w:bCs/>
          <w:caps/>
          <w:szCs w:val="21"/>
        </w:rPr>
        <w:fldChar w:fldCharType="separate"/>
      </w:r>
      <w:r>
        <w:rPr>
          <w:rFonts w:eastAsia="黑体"/>
          <w:szCs w:val="20"/>
        </w:rPr>
        <w:t xml:space="preserve">16.1 </w:t>
      </w:r>
      <w:r>
        <w:rPr>
          <w:rFonts w:hint="eastAsia" w:eastAsia="黑体"/>
          <w:szCs w:val="20"/>
        </w:rPr>
        <w:t>物价波动引起的价格调整</w:t>
      </w:r>
      <w:r>
        <w:tab/>
      </w:r>
      <w:r>
        <w:fldChar w:fldCharType="begin"/>
      </w:r>
      <w:r>
        <w:instrText xml:space="preserve"> PAGEREF _Toc17208 </w:instrText>
      </w:r>
      <w:r>
        <w:fldChar w:fldCharType="separate"/>
      </w:r>
      <w:r>
        <w:t>75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_Toc631 </w:instrText>
      </w:r>
      <w:r>
        <w:rPr>
          <w:rFonts w:ascii="宋体" w:hAnsi="宋体"/>
          <w:bCs/>
          <w:caps/>
          <w:szCs w:val="21"/>
        </w:rPr>
        <w:fldChar w:fldCharType="separate"/>
      </w:r>
      <w:r>
        <w:rPr>
          <w:rFonts w:hint="eastAsia" w:eastAsia="黑体"/>
          <w:szCs w:val="20"/>
        </w:rPr>
        <w:t>16.2 法律变化引起的价格调整</w:t>
      </w:r>
      <w:r>
        <w:tab/>
      </w:r>
      <w:r>
        <w:fldChar w:fldCharType="begin"/>
      </w:r>
      <w:r>
        <w:instrText xml:space="preserve"> PAGEREF _Toc631 </w:instrText>
      </w:r>
      <w:r>
        <w:fldChar w:fldCharType="separate"/>
      </w:r>
      <w:r>
        <w:t>76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_Toc23703 </w:instrText>
      </w:r>
      <w:r>
        <w:rPr>
          <w:rFonts w:ascii="宋体" w:hAnsi="宋体"/>
          <w:bCs/>
          <w:caps/>
          <w:szCs w:val="21"/>
        </w:rPr>
        <w:fldChar w:fldCharType="separate"/>
      </w:r>
      <w:r>
        <w:t xml:space="preserve">17. </w:t>
      </w:r>
      <w:r>
        <w:rPr>
          <w:rFonts w:hint="eastAsia"/>
        </w:rPr>
        <w:t>计量与支付</w:t>
      </w:r>
      <w:r>
        <w:tab/>
      </w:r>
      <w:r>
        <w:fldChar w:fldCharType="begin"/>
      </w:r>
      <w:r>
        <w:instrText xml:space="preserve"> PAGEREF _Toc23703 </w:instrText>
      </w:r>
      <w:r>
        <w:fldChar w:fldCharType="separate"/>
      </w:r>
      <w:r>
        <w:t>76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_Toc2962 </w:instrText>
      </w:r>
      <w:r>
        <w:rPr>
          <w:rFonts w:ascii="宋体" w:hAnsi="宋体"/>
          <w:bCs/>
          <w:caps/>
          <w:szCs w:val="21"/>
        </w:rPr>
        <w:fldChar w:fldCharType="separate"/>
      </w:r>
      <w:r>
        <w:rPr>
          <w:rFonts w:eastAsia="黑体"/>
          <w:szCs w:val="20"/>
        </w:rPr>
        <w:t xml:space="preserve">17.1 </w:t>
      </w:r>
      <w:r>
        <w:rPr>
          <w:rFonts w:hint="eastAsia" w:eastAsia="黑体"/>
          <w:szCs w:val="20"/>
        </w:rPr>
        <w:t>计量</w:t>
      </w:r>
      <w:r>
        <w:tab/>
      </w:r>
      <w:r>
        <w:fldChar w:fldCharType="begin"/>
      </w:r>
      <w:r>
        <w:instrText xml:space="preserve"> PAGEREF _Toc2962 </w:instrText>
      </w:r>
      <w:r>
        <w:fldChar w:fldCharType="separate"/>
      </w:r>
      <w:r>
        <w:t>76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_Toc30655 </w:instrText>
      </w:r>
      <w:r>
        <w:rPr>
          <w:rFonts w:ascii="宋体" w:hAnsi="宋体"/>
          <w:bCs/>
          <w:caps/>
          <w:szCs w:val="21"/>
        </w:rPr>
        <w:fldChar w:fldCharType="separate"/>
      </w:r>
      <w:r>
        <w:rPr>
          <w:rFonts w:hint="eastAsia" w:eastAsia="黑体"/>
          <w:szCs w:val="20"/>
        </w:rPr>
        <w:t>17.2 预付款</w:t>
      </w:r>
      <w:r>
        <w:tab/>
      </w:r>
      <w:r>
        <w:fldChar w:fldCharType="begin"/>
      </w:r>
      <w:r>
        <w:instrText xml:space="preserve"> PAGEREF _Toc30655 </w:instrText>
      </w:r>
      <w:r>
        <w:fldChar w:fldCharType="separate"/>
      </w:r>
      <w:r>
        <w:t>77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_Toc29767 </w:instrText>
      </w:r>
      <w:r>
        <w:rPr>
          <w:rFonts w:ascii="宋体" w:hAnsi="宋体"/>
          <w:bCs/>
          <w:caps/>
          <w:szCs w:val="21"/>
        </w:rPr>
        <w:fldChar w:fldCharType="separate"/>
      </w:r>
      <w:r>
        <w:rPr>
          <w:rFonts w:hint="eastAsia" w:eastAsia="黑体"/>
          <w:szCs w:val="20"/>
        </w:rPr>
        <w:t>17.3 工程进度付款</w:t>
      </w:r>
      <w:r>
        <w:tab/>
      </w:r>
      <w:r>
        <w:fldChar w:fldCharType="begin"/>
      </w:r>
      <w:r>
        <w:instrText xml:space="preserve"> PAGEREF _Toc29767 </w:instrText>
      </w:r>
      <w:r>
        <w:fldChar w:fldCharType="separate"/>
      </w:r>
      <w:r>
        <w:t>78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_Toc30260 </w:instrText>
      </w:r>
      <w:r>
        <w:rPr>
          <w:rFonts w:ascii="宋体" w:hAnsi="宋体"/>
          <w:bCs/>
          <w:caps/>
          <w:szCs w:val="21"/>
        </w:rPr>
        <w:fldChar w:fldCharType="separate"/>
      </w:r>
      <w:r>
        <w:rPr>
          <w:rFonts w:eastAsia="黑体"/>
          <w:szCs w:val="20"/>
        </w:rPr>
        <w:t xml:space="preserve">17.4 </w:t>
      </w:r>
      <w:r>
        <w:rPr>
          <w:rFonts w:hint="eastAsia" w:eastAsia="黑体"/>
          <w:szCs w:val="20"/>
        </w:rPr>
        <w:t>质量保证金</w:t>
      </w:r>
      <w:r>
        <w:tab/>
      </w:r>
      <w:r>
        <w:fldChar w:fldCharType="begin"/>
      </w:r>
      <w:r>
        <w:instrText xml:space="preserve"> PAGEREF _Toc30260 </w:instrText>
      </w:r>
      <w:r>
        <w:fldChar w:fldCharType="separate"/>
      </w:r>
      <w:r>
        <w:t>78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_Toc6610 </w:instrText>
      </w:r>
      <w:r>
        <w:rPr>
          <w:rFonts w:ascii="宋体" w:hAnsi="宋体"/>
          <w:bCs/>
          <w:caps/>
          <w:szCs w:val="21"/>
        </w:rPr>
        <w:fldChar w:fldCharType="separate"/>
      </w:r>
      <w:r>
        <w:rPr>
          <w:rFonts w:eastAsia="黑体"/>
          <w:szCs w:val="20"/>
        </w:rPr>
        <w:t xml:space="preserve">17.5 </w:t>
      </w:r>
      <w:r>
        <w:rPr>
          <w:rFonts w:hint="eastAsia" w:eastAsia="黑体"/>
          <w:szCs w:val="20"/>
        </w:rPr>
        <w:t>竣工结算（完工结算）</w:t>
      </w:r>
      <w:r>
        <w:tab/>
      </w:r>
      <w:r>
        <w:fldChar w:fldCharType="begin"/>
      </w:r>
      <w:r>
        <w:instrText xml:space="preserve"> PAGEREF _Toc6610 </w:instrText>
      </w:r>
      <w:r>
        <w:fldChar w:fldCharType="separate"/>
      </w:r>
      <w:r>
        <w:t>79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_Toc17143 </w:instrText>
      </w:r>
      <w:r>
        <w:rPr>
          <w:rFonts w:ascii="宋体" w:hAnsi="宋体"/>
          <w:bCs/>
          <w:caps/>
          <w:szCs w:val="21"/>
        </w:rPr>
        <w:fldChar w:fldCharType="separate"/>
      </w:r>
      <w:r>
        <w:rPr>
          <w:rFonts w:eastAsia="黑体"/>
          <w:szCs w:val="20"/>
        </w:rPr>
        <w:t xml:space="preserve">17.6 </w:t>
      </w:r>
      <w:r>
        <w:rPr>
          <w:rFonts w:hint="eastAsia" w:eastAsia="黑体"/>
          <w:szCs w:val="20"/>
        </w:rPr>
        <w:t>最终结清</w:t>
      </w:r>
      <w:r>
        <w:tab/>
      </w:r>
      <w:r>
        <w:fldChar w:fldCharType="begin"/>
      </w:r>
      <w:r>
        <w:instrText xml:space="preserve"> PAGEREF _Toc17143 </w:instrText>
      </w:r>
      <w:r>
        <w:fldChar w:fldCharType="separate"/>
      </w:r>
      <w:r>
        <w:t>79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_Toc6912 </w:instrText>
      </w:r>
      <w:r>
        <w:rPr>
          <w:rFonts w:ascii="宋体" w:hAnsi="宋体"/>
          <w:bCs/>
          <w:caps/>
          <w:szCs w:val="21"/>
        </w:rPr>
        <w:fldChar w:fldCharType="separate"/>
      </w:r>
      <w:r>
        <w:rPr>
          <w:rFonts w:hint="eastAsia" w:eastAsia="黑体"/>
          <w:szCs w:val="20"/>
        </w:rPr>
        <w:t>17.7 竣工财务决算</w:t>
      </w:r>
      <w:r>
        <w:tab/>
      </w:r>
      <w:r>
        <w:fldChar w:fldCharType="begin"/>
      </w:r>
      <w:r>
        <w:instrText xml:space="preserve"> PAGEREF _Toc6912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_Toc10795 </w:instrText>
      </w:r>
      <w:r>
        <w:rPr>
          <w:rFonts w:ascii="宋体" w:hAnsi="宋体"/>
          <w:bCs/>
          <w:caps/>
          <w:szCs w:val="21"/>
        </w:rPr>
        <w:fldChar w:fldCharType="separate"/>
      </w:r>
      <w:r>
        <w:rPr>
          <w:rFonts w:hint="eastAsia" w:eastAsia="黑体"/>
          <w:szCs w:val="20"/>
        </w:rPr>
        <w:t>17.8 竣工审计</w:t>
      </w:r>
      <w:r>
        <w:tab/>
      </w:r>
      <w:r>
        <w:fldChar w:fldCharType="begin"/>
      </w:r>
      <w:r>
        <w:instrText xml:space="preserve"> PAGEREF _Toc10795 </w:instrText>
      </w:r>
      <w:r>
        <w:fldChar w:fldCharType="separate"/>
      </w:r>
      <w:r>
        <w:t>80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_Toc16838 </w:instrText>
      </w:r>
      <w:r>
        <w:rPr>
          <w:rFonts w:ascii="宋体" w:hAnsi="宋体"/>
          <w:bCs/>
          <w:caps/>
          <w:szCs w:val="21"/>
        </w:rPr>
        <w:fldChar w:fldCharType="separate"/>
      </w:r>
      <w:r>
        <w:t xml:space="preserve">18. </w:t>
      </w:r>
      <w:r>
        <w:rPr>
          <w:rFonts w:hint="eastAsia"/>
        </w:rPr>
        <w:t>竣工验收（验收）</w:t>
      </w:r>
      <w:r>
        <w:tab/>
      </w:r>
      <w:r>
        <w:fldChar w:fldCharType="begin"/>
      </w:r>
      <w:r>
        <w:instrText xml:space="preserve"> PAGEREF _Toc16838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_Toc19147 </w:instrText>
      </w:r>
      <w:r>
        <w:rPr>
          <w:rFonts w:ascii="宋体" w:hAnsi="宋体"/>
          <w:bCs/>
          <w:caps/>
          <w:szCs w:val="21"/>
        </w:rPr>
        <w:fldChar w:fldCharType="separate"/>
      </w:r>
      <w:r>
        <w:rPr>
          <w:rFonts w:eastAsia="黑体"/>
          <w:szCs w:val="20"/>
        </w:rPr>
        <w:t xml:space="preserve">18.1 </w:t>
      </w:r>
      <w:r>
        <w:rPr>
          <w:rFonts w:hint="eastAsia" w:eastAsia="黑体"/>
          <w:szCs w:val="20"/>
        </w:rPr>
        <w:t>验收工作分类</w:t>
      </w:r>
      <w:r>
        <w:tab/>
      </w:r>
      <w:r>
        <w:fldChar w:fldCharType="begin"/>
      </w:r>
      <w:r>
        <w:instrText xml:space="preserve"> PAGEREF _Toc19147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_Toc8874 </w:instrText>
      </w:r>
      <w:r>
        <w:rPr>
          <w:rFonts w:ascii="宋体" w:hAnsi="宋体"/>
          <w:bCs/>
          <w:caps/>
          <w:szCs w:val="21"/>
        </w:rPr>
        <w:fldChar w:fldCharType="separate"/>
      </w:r>
      <w:r>
        <w:rPr>
          <w:rFonts w:eastAsia="黑体"/>
          <w:szCs w:val="20"/>
        </w:rPr>
        <w:t>18.</w:t>
      </w:r>
      <w:r>
        <w:rPr>
          <w:rFonts w:hint="eastAsia" w:eastAsia="黑体"/>
          <w:szCs w:val="20"/>
        </w:rPr>
        <w:t>2</w:t>
      </w:r>
      <w:r>
        <w:rPr>
          <w:rFonts w:eastAsia="黑体"/>
          <w:szCs w:val="20"/>
        </w:rPr>
        <w:t xml:space="preserve"> </w:t>
      </w:r>
      <w:r>
        <w:rPr>
          <w:rFonts w:hint="eastAsia" w:eastAsia="黑体"/>
          <w:szCs w:val="20"/>
        </w:rPr>
        <w:t>分部工程验收</w:t>
      </w:r>
      <w:r>
        <w:tab/>
      </w:r>
      <w:r>
        <w:fldChar w:fldCharType="begin"/>
      </w:r>
      <w:r>
        <w:instrText xml:space="preserve"> PAGEREF _Toc8874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_Toc23282 </w:instrText>
      </w:r>
      <w:r>
        <w:rPr>
          <w:rFonts w:ascii="宋体" w:hAnsi="宋体"/>
          <w:bCs/>
          <w:caps/>
          <w:szCs w:val="21"/>
        </w:rPr>
        <w:fldChar w:fldCharType="separate"/>
      </w:r>
      <w:r>
        <w:rPr>
          <w:rFonts w:eastAsia="黑体"/>
          <w:szCs w:val="20"/>
        </w:rPr>
        <w:t>18</w:t>
      </w:r>
      <w:r>
        <w:rPr>
          <w:rFonts w:hint="eastAsia" w:eastAsia="黑体"/>
          <w:szCs w:val="20"/>
        </w:rPr>
        <w:t>.</w:t>
      </w:r>
      <w:r>
        <w:rPr>
          <w:rFonts w:eastAsia="黑体"/>
          <w:szCs w:val="20"/>
        </w:rPr>
        <w:t>3</w:t>
      </w:r>
      <w:r>
        <w:rPr>
          <w:rFonts w:hint="eastAsia" w:eastAsia="黑体"/>
          <w:szCs w:val="20"/>
        </w:rPr>
        <w:t xml:space="preserve"> 单位工程验收</w:t>
      </w:r>
      <w:r>
        <w:tab/>
      </w:r>
      <w:r>
        <w:fldChar w:fldCharType="begin"/>
      </w:r>
      <w:r>
        <w:instrText xml:space="preserve"> PAGEREF _Toc23282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_Toc26716 </w:instrText>
      </w:r>
      <w:r>
        <w:rPr>
          <w:rFonts w:ascii="宋体" w:hAnsi="宋体"/>
          <w:bCs/>
          <w:caps/>
          <w:szCs w:val="21"/>
        </w:rPr>
        <w:fldChar w:fldCharType="separate"/>
      </w:r>
      <w:r>
        <w:rPr>
          <w:rFonts w:hint="eastAsia" w:eastAsia="黑体"/>
          <w:szCs w:val="20"/>
        </w:rPr>
        <w:t>18.4 合同工程完工验收</w:t>
      </w:r>
      <w:r>
        <w:tab/>
      </w:r>
      <w:r>
        <w:fldChar w:fldCharType="begin"/>
      </w:r>
      <w:r>
        <w:instrText xml:space="preserve"> PAGEREF _Toc26716 </w:instrText>
      </w:r>
      <w:r>
        <w:fldChar w:fldCharType="separate"/>
      </w:r>
      <w:r>
        <w:t>80</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_Toc31627 </w:instrText>
      </w:r>
      <w:r>
        <w:rPr>
          <w:rFonts w:ascii="宋体" w:hAnsi="宋体"/>
          <w:bCs/>
          <w:caps/>
          <w:szCs w:val="21"/>
        </w:rPr>
        <w:fldChar w:fldCharType="separate"/>
      </w:r>
      <w:r>
        <w:rPr>
          <w:rFonts w:hint="eastAsia" w:eastAsia="黑体"/>
          <w:szCs w:val="20"/>
        </w:rPr>
        <w:t>18.5 阶段验收</w:t>
      </w:r>
      <w:r>
        <w:tab/>
      </w:r>
      <w:r>
        <w:fldChar w:fldCharType="begin"/>
      </w:r>
      <w:r>
        <w:instrText xml:space="preserve"> PAGEREF _Toc31627 </w:instrText>
      </w:r>
      <w:r>
        <w:fldChar w:fldCharType="separate"/>
      </w:r>
      <w:r>
        <w:t>81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_Toc13614 </w:instrText>
      </w:r>
      <w:r>
        <w:rPr>
          <w:rFonts w:ascii="宋体" w:hAnsi="宋体"/>
          <w:bCs/>
          <w:caps/>
          <w:szCs w:val="21"/>
        </w:rPr>
        <w:fldChar w:fldCharType="separate"/>
      </w:r>
      <w:r>
        <w:rPr>
          <w:rFonts w:hint="eastAsia" w:eastAsia="黑体"/>
          <w:szCs w:val="20"/>
        </w:rPr>
        <w:t>18.6 专项验收</w:t>
      </w:r>
      <w:r>
        <w:tab/>
      </w:r>
      <w:r>
        <w:fldChar w:fldCharType="begin"/>
      </w:r>
      <w:r>
        <w:instrText xml:space="preserve"> PAGEREF _Toc13614 </w:instrText>
      </w:r>
      <w:r>
        <w:fldChar w:fldCharType="separate"/>
      </w:r>
      <w:r>
        <w:t>81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_Toc32355 </w:instrText>
      </w:r>
      <w:r>
        <w:rPr>
          <w:rFonts w:ascii="宋体" w:hAnsi="宋体"/>
          <w:bCs/>
          <w:caps/>
          <w:szCs w:val="21"/>
        </w:rPr>
        <w:fldChar w:fldCharType="separate"/>
      </w:r>
      <w:r>
        <w:rPr>
          <w:rFonts w:hint="eastAsia" w:eastAsia="黑体"/>
          <w:szCs w:val="20"/>
        </w:rPr>
        <w:t>18.7 竣工验收</w:t>
      </w:r>
      <w:r>
        <w:tab/>
      </w:r>
      <w:r>
        <w:fldChar w:fldCharType="begin"/>
      </w:r>
      <w:r>
        <w:instrText xml:space="preserve"> PAGEREF _Toc32355 </w:instrText>
      </w:r>
      <w:r>
        <w:fldChar w:fldCharType="separate"/>
      </w:r>
      <w:r>
        <w:t>81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_Toc4439 </w:instrText>
      </w:r>
      <w:r>
        <w:rPr>
          <w:rFonts w:ascii="宋体" w:hAnsi="宋体"/>
          <w:bCs/>
          <w:caps/>
          <w:szCs w:val="21"/>
        </w:rPr>
        <w:fldChar w:fldCharType="separate"/>
      </w:r>
      <w:r>
        <w:rPr>
          <w:rFonts w:hint="eastAsia" w:eastAsia="黑体"/>
          <w:szCs w:val="20"/>
        </w:rPr>
        <w:t>18.8 施工期运行</w:t>
      </w:r>
      <w:r>
        <w:tab/>
      </w:r>
      <w:r>
        <w:fldChar w:fldCharType="begin"/>
      </w:r>
      <w:r>
        <w:instrText xml:space="preserve"> PAGEREF _Toc4439 </w:instrText>
      </w:r>
      <w:r>
        <w:fldChar w:fldCharType="separate"/>
      </w:r>
      <w:r>
        <w:t>81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_Toc23030 </w:instrText>
      </w:r>
      <w:r>
        <w:rPr>
          <w:rFonts w:ascii="宋体" w:hAnsi="宋体"/>
          <w:bCs/>
          <w:caps/>
          <w:szCs w:val="21"/>
        </w:rPr>
        <w:fldChar w:fldCharType="separate"/>
      </w:r>
      <w:r>
        <w:rPr>
          <w:rFonts w:hint="eastAsia" w:eastAsia="黑体"/>
          <w:szCs w:val="20"/>
        </w:rPr>
        <w:t>18.9 试运行</w:t>
      </w:r>
      <w:r>
        <w:tab/>
      </w:r>
      <w:r>
        <w:fldChar w:fldCharType="begin"/>
      </w:r>
      <w:r>
        <w:instrText xml:space="preserve"> PAGEREF _Toc23030 </w:instrText>
      </w:r>
      <w:r>
        <w:fldChar w:fldCharType="separate"/>
      </w:r>
      <w:r>
        <w:t>81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_Toc21526 </w:instrText>
      </w:r>
      <w:r>
        <w:rPr>
          <w:rFonts w:ascii="宋体" w:hAnsi="宋体"/>
          <w:bCs/>
          <w:caps/>
          <w:szCs w:val="21"/>
        </w:rPr>
        <w:fldChar w:fldCharType="separate"/>
      </w:r>
      <w:r>
        <w:rPr>
          <w:rFonts w:hint="eastAsia" w:eastAsia="黑体"/>
          <w:szCs w:val="20"/>
        </w:rPr>
        <w:t>18.10 竣工（完工）清场</w:t>
      </w:r>
      <w:r>
        <w:tab/>
      </w:r>
      <w:r>
        <w:fldChar w:fldCharType="begin"/>
      </w:r>
      <w:r>
        <w:instrText xml:space="preserve"> PAGEREF _Toc21526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_Toc8299 </w:instrText>
      </w:r>
      <w:r>
        <w:rPr>
          <w:rFonts w:ascii="宋体" w:hAnsi="宋体"/>
          <w:bCs/>
          <w:caps/>
          <w:szCs w:val="21"/>
        </w:rPr>
        <w:fldChar w:fldCharType="separate"/>
      </w:r>
      <w:r>
        <w:rPr>
          <w:rFonts w:hint="eastAsia" w:eastAsia="黑体"/>
          <w:szCs w:val="20"/>
        </w:rPr>
        <w:t>18.11 施工队伍的撤离</w:t>
      </w:r>
      <w:r>
        <w:tab/>
      </w:r>
      <w:r>
        <w:fldChar w:fldCharType="begin"/>
      </w:r>
      <w:r>
        <w:instrText xml:space="preserve"> PAGEREF _Toc8299 </w:instrText>
      </w:r>
      <w:r>
        <w:fldChar w:fldCharType="separate"/>
      </w:r>
      <w:r>
        <w:t>82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_Toc10041 </w:instrText>
      </w:r>
      <w:r>
        <w:rPr>
          <w:rFonts w:ascii="宋体" w:hAnsi="宋体"/>
          <w:bCs/>
          <w:caps/>
          <w:szCs w:val="21"/>
        </w:rPr>
        <w:fldChar w:fldCharType="separate"/>
      </w:r>
      <w:r>
        <w:t xml:space="preserve">19. </w:t>
      </w:r>
      <w:r>
        <w:rPr>
          <w:rFonts w:hint="eastAsia"/>
        </w:rPr>
        <w:t>缺陷责任与保修责任</w:t>
      </w:r>
      <w:r>
        <w:tab/>
      </w:r>
      <w:r>
        <w:fldChar w:fldCharType="begin"/>
      </w:r>
      <w:r>
        <w:instrText xml:space="preserve"> PAGEREF _Toc10041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_Toc15256 </w:instrText>
      </w:r>
      <w:r>
        <w:rPr>
          <w:rFonts w:ascii="宋体" w:hAnsi="宋体"/>
          <w:bCs/>
          <w:caps/>
          <w:szCs w:val="21"/>
        </w:rPr>
        <w:fldChar w:fldCharType="separate"/>
      </w:r>
      <w:r>
        <w:rPr>
          <w:rFonts w:eastAsia="黑体"/>
          <w:szCs w:val="20"/>
        </w:rPr>
        <w:t xml:space="preserve">19.1 </w:t>
      </w:r>
      <w:r>
        <w:rPr>
          <w:rFonts w:hint="eastAsia" w:eastAsia="黑体"/>
          <w:szCs w:val="20"/>
        </w:rPr>
        <w:t>缺陷责任期（工程质量保修期）的起算时间</w:t>
      </w:r>
      <w:r>
        <w:tab/>
      </w:r>
      <w:r>
        <w:fldChar w:fldCharType="begin"/>
      </w:r>
      <w:r>
        <w:instrText xml:space="preserve"> PAGEREF _Toc15256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_Toc32661 </w:instrText>
      </w:r>
      <w:r>
        <w:rPr>
          <w:rFonts w:ascii="宋体" w:hAnsi="宋体"/>
          <w:bCs/>
          <w:caps/>
          <w:szCs w:val="21"/>
        </w:rPr>
        <w:fldChar w:fldCharType="separate"/>
      </w:r>
      <w:r>
        <w:rPr>
          <w:rFonts w:hint="eastAsia" w:eastAsia="黑体"/>
          <w:szCs w:val="20"/>
        </w:rPr>
        <w:t>19.2 缺陷责任</w:t>
      </w:r>
      <w:r>
        <w:tab/>
      </w:r>
      <w:r>
        <w:fldChar w:fldCharType="begin"/>
      </w:r>
      <w:r>
        <w:instrText xml:space="preserve"> PAGEREF _Toc32661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_Toc32262 </w:instrText>
      </w:r>
      <w:r>
        <w:rPr>
          <w:rFonts w:ascii="宋体" w:hAnsi="宋体"/>
          <w:bCs/>
          <w:caps/>
          <w:szCs w:val="21"/>
        </w:rPr>
        <w:fldChar w:fldCharType="separate"/>
      </w:r>
      <w:r>
        <w:rPr>
          <w:rFonts w:hint="eastAsia" w:eastAsia="黑体"/>
          <w:szCs w:val="20"/>
        </w:rPr>
        <w:t>19.3 缺陷责任期的延长</w:t>
      </w:r>
      <w:r>
        <w:tab/>
      </w:r>
      <w:r>
        <w:fldChar w:fldCharType="begin"/>
      </w:r>
      <w:r>
        <w:instrText xml:space="preserve"> PAGEREF _Toc32262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_Toc31335 </w:instrText>
      </w:r>
      <w:r>
        <w:rPr>
          <w:rFonts w:ascii="宋体" w:hAnsi="宋体"/>
          <w:bCs/>
          <w:caps/>
          <w:szCs w:val="21"/>
        </w:rPr>
        <w:fldChar w:fldCharType="separate"/>
      </w:r>
      <w:r>
        <w:rPr>
          <w:rFonts w:hint="eastAsia" w:eastAsia="黑体"/>
          <w:szCs w:val="20"/>
        </w:rPr>
        <w:t>19.4 进一步试验和试运行</w:t>
      </w:r>
      <w:r>
        <w:tab/>
      </w:r>
      <w:r>
        <w:fldChar w:fldCharType="begin"/>
      </w:r>
      <w:r>
        <w:instrText xml:space="preserve"> PAGEREF _Toc31335 </w:instrText>
      </w:r>
      <w:r>
        <w:fldChar w:fldCharType="separate"/>
      </w:r>
      <w:r>
        <w:t>82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_Toc22870 </w:instrText>
      </w:r>
      <w:r>
        <w:rPr>
          <w:rFonts w:ascii="宋体" w:hAnsi="宋体"/>
          <w:bCs/>
          <w:caps/>
          <w:szCs w:val="21"/>
        </w:rPr>
        <w:fldChar w:fldCharType="separate"/>
      </w:r>
      <w:r>
        <w:rPr>
          <w:rFonts w:hint="eastAsia" w:eastAsia="黑体"/>
          <w:szCs w:val="20"/>
        </w:rPr>
        <w:t>19.5 承包人的进入权</w:t>
      </w:r>
      <w:r>
        <w:tab/>
      </w:r>
      <w:r>
        <w:fldChar w:fldCharType="begin"/>
      </w:r>
      <w:r>
        <w:instrText xml:space="preserve"> PAGEREF _Toc22870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_Toc20167 </w:instrText>
      </w:r>
      <w:r>
        <w:rPr>
          <w:rFonts w:ascii="宋体" w:hAnsi="宋体"/>
          <w:bCs/>
          <w:caps/>
          <w:szCs w:val="21"/>
        </w:rPr>
        <w:fldChar w:fldCharType="separate"/>
      </w:r>
      <w:r>
        <w:rPr>
          <w:rFonts w:hint="eastAsia" w:eastAsia="黑体"/>
          <w:szCs w:val="20"/>
        </w:rPr>
        <w:t>19.6 缺陷责任期终止证书（工程质量保修责任终止证书）</w:t>
      </w:r>
      <w:r>
        <w:tab/>
      </w:r>
      <w:r>
        <w:fldChar w:fldCharType="begin"/>
      </w:r>
      <w:r>
        <w:instrText xml:space="preserve"> PAGEREF _Toc20167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_Toc19563 </w:instrText>
      </w:r>
      <w:r>
        <w:rPr>
          <w:rFonts w:ascii="宋体" w:hAnsi="宋体"/>
          <w:bCs/>
          <w:caps/>
          <w:szCs w:val="21"/>
        </w:rPr>
        <w:fldChar w:fldCharType="separate"/>
      </w:r>
      <w:r>
        <w:rPr>
          <w:rFonts w:hint="eastAsia" w:eastAsia="黑体"/>
          <w:szCs w:val="20"/>
        </w:rPr>
        <w:t>19.7 保修责任</w:t>
      </w:r>
      <w:r>
        <w:tab/>
      </w:r>
      <w:r>
        <w:fldChar w:fldCharType="begin"/>
      </w:r>
      <w:r>
        <w:instrText xml:space="preserve"> PAGEREF _Toc19563 </w:instrText>
      </w:r>
      <w:r>
        <w:fldChar w:fldCharType="separate"/>
      </w:r>
      <w:r>
        <w:t>83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_Toc15240 </w:instrText>
      </w:r>
      <w:r>
        <w:rPr>
          <w:rFonts w:ascii="宋体" w:hAnsi="宋体"/>
          <w:bCs/>
          <w:caps/>
          <w:szCs w:val="21"/>
        </w:rPr>
        <w:fldChar w:fldCharType="separate"/>
      </w:r>
      <w:r>
        <w:t xml:space="preserve">20. </w:t>
      </w:r>
      <w:r>
        <w:rPr>
          <w:rFonts w:hint="eastAsia"/>
        </w:rPr>
        <w:t>保险</w:t>
      </w:r>
      <w:r>
        <w:tab/>
      </w:r>
      <w:r>
        <w:fldChar w:fldCharType="begin"/>
      </w:r>
      <w:r>
        <w:instrText xml:space="preserve"> PAGEREF _Toc15240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_Toc28743 </w:instrText>
      </w:r>
      <w:r>
        <w:rPr>
          <w:rFonts w:ascii="宋体" w:hAnsi="宋体"/>
          <w:bCs/>
          <w:caps/>
          <w:szCs w:val="21"/>
        </w:rPr>
        <w:fldChar w:fldCharType="separate"/>
      </w:r>
      <w:r>
        <w:rPr>
          <w:rFonts w:hint="eastAsia" w:eastAsia="黑体"/>
          <w:szCs w:val="20"/>
        </w:rPr>
        <w:t>20.1 工程保险</w:t>
      </w:r>
      <w:r>
        <w:tab/>
      </w:r>
      <w:r>
        <w:fldChar w:fldCharType="begin"/>
      </w:r>
      <w:r>
        <w:instrText xml:space="preserve"> PAGEREF _Toc28743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_Toc23865 </w:instrText>
      </w:r>
      <w:r>
        <w:rPr>
          <w:rFonts w:ascii="宋体" w:hAnsi="宋体"/>
          <w:bCs/>
          <w:caps/>
          <w:szCs w:val="21"/>
        </w:rPr>
        <w:fldChar w:fldCharType="separate"/>
      </w:r>
      <w:r>
        <w:rPr>
          <w:rFonts w:hint="eastAsia" w:eastAsia="黑体"/>
          <w:szCs w:val="20"/>
        </w:rPr>
        <w:t>20.2 人员工伤事故的保险</w:t>
      </w:r>
      <w:r>
        <w:tab/>
      </w:r>
      <w:r>
        <w:fldChar w:fldCharType="begin"/>
      </w:r>
      <w:r>
        <w:instrText xml:space="preserve"> PAGEREF _Toc23865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_Toc131 </w:instrText>
      </w:r>
      <w:r>
        <w:rPr>
          <w:rFonts w:ascii="宋体" w:hAnsi="宋体"/>
          <w:bCs/>
          <w:caps/>
          <w:szCs w:val="21"/>
        </w:rPr>
        <w:fldChar w:fldCharType="separate"/>
      </w:r>
      <w:r>
        <w:rPr>
          <w:rFonts w:hint="eastAsia" w:eastAsia="黑体"/>
          <w:szCs w:val="20"/>
        </w:rPr>
        <w:t>20.3 人身意外伤害险</w:t>
      </w:r>
      <w:r>
        <w:tab/>
      </w:r>
      <w:r>
        <w:fldChar w:fldCharType="begin"/>
      </w:r>
      <w:r>
        <w:instrText xml:space="preserve"> PAGEREF _Toc131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_Toc29998 </w:instrText>
      </w:r>
      <w:r>
        <w:rPr>
          <w:rFonts w:ascii="宋体" w:hAnsi="宋体"/>
          <w:bCs/>
          <w:caps/>
          <w:szCs w:val="21"/>
        </w:rPr>
        <w:fldChar w:fldCharType="separate"/>
      </w:r>
      <w:r>
        <w:rPr>
          <w:rFonts w:hint="eastAsia" w:eastAsia="黑体"/>
          <w:szCs w:val="20"/>
        </w:rPr>
        <w:t>20.4 第三者责任险</w:t>
      </w:r>
      <w:r>
        <w:tab/>
      </w:r>
      <w:r>
        <w:fldChar w:fldCharType="begin"/>
      </w:r>
      <w:r>
        <w:instrText xml:space="preserve"> PAGEREF _Toc29998 </w:instrText>
      </w:r>
      <w:r>
        <w:fldChar w:fldCharType="separate"/>
      </w:r>
      <w:r>
        <w:t>83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_Toc25797 </w:instrText>
      </w:r>
      <w:r>
        <w:rPr>
          <w:rFonts w:ascii="宋体" w:hAnsi="宋体"/>
          <w:bCs/>
          <w:caps/>
          <w:szCs w:val="21"/>
        </w:rPr>
        <w:fldChar w:fldCharType="separate"/>
      </w:r>
      <w:r>
        <w:rPr>
          <w:rFonts w:hint="eastAsia" w:eastAsia="黑体"/>
          <w:szCs w:val="20"/>
        </w:rPr>
        <w:t>20.5 其他保险</w:t>
      </w:r>
      <w:r>
        <w:tab/>
      </w:r>
      <w:r>
        <w:fldChar w:fldCharType="begin"/>
      </w:r>
      <w:r>
        <w:instrText xml:space="preserve"> PAGEREF _Toc25797 </w:instrText>
      </w:r>
      <w:r>
        <w:fldChar w:fldCharType="separate"/>
      </w:r>
      <w:r>
        <w:t>84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_Toc12716 </w:instrText>
      </w:r>
      <w:r>
        <w:rPr>
          <w:rFonts w:ascii="宋体" w:hAnsi="宋体"/>
          <w:bCs/>
          <w:caps/>
          <w:szCs w:val="21"/>
        </w:rPr>
        <w:fldChar w:fldCharType="separate"/>
      </w:r>
      <w:r>
        <w:rPr>
          <w:rFonts w:hint="eastAsia" w:eastAsia="黑体"/>
          <w:szCs w:val="20"/>
        </w:rPr>
        <w:t>20.6 对各项保险的一般要求</w:t>
      </w:r>
      <w:r>
        <w:tab/>
      </w:r>
      <w:r>
        <w:fldChar w:fldCharType="begin"/>
      </w:r>
      <w:r>
        <w:instrText xml:space="preserve"> PAGEREF _Toc12716 </w:instrText>
      </w:r>
      <w:r>
        <w:fldChar w:fldCharType="separate"/>
      </w:r>
      <w:r>
        <w:t>84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_Toc10912 </w:instrText>
      </w:r>
      <w:r>
        <w:rPr>
          <w:rFonts w:ascii="宋体" w:hAnsi="宋体"/>
          <w:bCs/>
          <w:caps/>
          <w:szCs w:val="21"/>
        </w:rPr>
        <w:fldChar w:fldCharType="separate"/>
      </w:r>
      <w:r>
        <w:rPr>
          <w:rFonts w:hint="eastAsia" w:eastAsia="黑体"/>
          <w:szCs w:val="20"/>
        </w:rPr>
        <w:t>20.7 风险责任的转移</w:t>
      </w:r>
      <w:r>
        <w:tab/>
      </w:r>
      <w:r>
        <w:fldChar w:fldCharType="begin"/>
      </w:r>
      <w:r>
        <w:instrText xml:space="preserve"> PAGEREF _Toc10912 </w:instrText>
      </w:r>
      <w:r>
        <w:fldChar w:fldCharType="separate"/>
      </w:r>
      <w:r>
        <w:t>84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_Toc18616 </w:instrText>
      </w:r>
      <w:r>
        <w:rPr>
          <w:rFonts w:ascii="宋体" w:hAnsi="宋体"/>
          <w:bCs/>
          <w:caps/>
          <w:szCs w:val="21"/>
        </w:rPr>
        <w:fldChar w:fldCharType="separate"/>
      </w:r>
      <w:r>
        <w:t xml:space="preserve">21. </w:t>
      </w:r>
      <w:r>
        <w:rPr>
          <w:rFonts w:hint="eastAsia"/>
        </w:rPr>
        <w:t>不可抗力</w:t>
      </w:r>
      <w:r>
        <w:tab/>
      </w:r>
      <w:r>
        <w:fldChar w:fldCharType="begin"/>
      </w:r>
      <w:r>
        <w:instrText xml:space="preserve"> PAGEREF _Toc18616 </w:instrText>
      </w:r>
      <w:r>
        <w:fldChar w:fldCharType="separate"/>
      </w:r>
      <w:r>
        <w:t>84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_Toc7108 </w:instrText>
      </w:r>
      <w:r>
        <w:rPr>
          <w:rFonts w:ascii="宋体" w:hAnsi="宋体"/>
          <w:bCs/>
          <w:caps/>
          <w:szCs w:val="21"/>
        </w:rPr>
        <w:fldChar w:fldCharType="separate"/>
      </w:r>
      <w:r>
        <w:rPr>
          <w:rFonts w:hint="eastAsia" w:eastAsia="黑体"/>
          <w:szCs w:val="20"/>
        </w:rPr>
        <w:t>21.1 不可抗力的确认</w:t>
      </w:r>
      <w:r>
        <w:tab/>
      </w:r>
      <w:r>
        <w:fldChar w:fldCharType="begin"/>
      </w:r>
      <w:r>
        <w:instrText xml:space="preserve"> PAGEREF _Toc7108 </w:instrText>
      </w:r>
      <w:r>
        <w:fldChar w:fldCharType="separate"/>
      </w:r>
      <w:r>
        <w:t>84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_Toc534 </w:instrText>
      </w:r>
      <w:r>
        <w:rPr>
          <w:rFonts w:ascii="宋体" w:hAnsi="宋体"/>
          <w:bCs/>
          <w:caps/>
          <w:szCs w:val="21"/>
        </w:rPr>
        <w:fldChar w:fldCharType="separate"/>
      </w:r>
      <w:r>
        <w:rPr>
          <w:rFonts w:hint="eastAsia" w:eastAsia="黑体"/>
          <w:szCs w:val="20"/>
        </w:rPr>
        <w:t>21.2 不可抗力的通知</w:t>
      </w:r>
      <w:r>
        <w:tab/>
      </w:r>
      <w:r>
        <w:fldChar w:fldCharType="begin"/>
      </w:r>
      <w:r>
        <w:instrText xml:space="preserve"> PAGEREF _Toc534 </w:instrText>
      </w:r>
      <w:r>
        <w:fldChar w:fldCharType="separate"/>
      </w:r>
      <w:r>
        <w:t>85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_Toc14956 </w:instrText>
      </w:r>
      <w:r>
        <w:rPr>
          <w:rFonts w:ascii="宋体" w:hAnsi="宋体"/>
          <w:bCs/>
          <w:caps/>
          <w:szCs w:val="21"/>
        </w:rPr>
        <w:fldChar w:fldCharType="separate"/>
      </w:r>
      <w:r>
        <w:rPr>
          <w:rFonts w:hint="eastAsia" w:eastAsia="黑体"/>
          <w:szCs w:val="20"/>
        </w:rPr>
        <w:t>21.3 不可抗力后果及其处理</w:t>
      </w:r>
      <w:r>
        <w:tab/>
      </w:r>
      <w:r>
        <w:fldChar w:fldCharType="begin"/>
      </w:r>
      <w:r>
        <w:instrText xml:space="preserve"> PAGEREF _Toc14956 </w:instrText>
      </w:r>
      <w:r>
        <w:fldChar w:fldCharType="separate"/>
      </w:r>
      <w:r>
        <w:t>85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_Toc29303 </w:instrText>
      </w:r>
      <w:r>
        <w:rPr>
          <w:rFonts w:ascii="宋体" w:hAnsi="宋体"/>
          <w:bCs/>
          <w:caps/>
          <w:szCs w:val="21"/>
        </w:rPr>
        <w:fldChar w:fldCharType="separate"/>
      </w:r>
      <w:r>
        <w:t xml:space="preserve">22. </w:t>
      </w:r>
      <w:r>
        <w:rPr>
          <w:rFonts w:hint="eastAsia"/>
        </w:rPr>
        <w:t>违约</w:t>
      </w:r>
      <w:r>
        <w:tab/>
      </w:r>
      <w:r>
        <w:fldChar w:fldCharType="begin"/>
      </w:r>
      <w:r>
        <w:instrText xml:space="preserve"> PAGEREF _Toc29303 </w:instrText>
      </w:r>
      <w:r>
        <w:fldChar w:fldCharType="separate"/>
      </w:r>
      <w:r>
        <w:t>85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_Toc30954 </w:instrText>
      </w:r>
      <w:r>
        <w:rPr>
          <w:rFonts w:ascii="宋体" w:hAnsi="宋体"/>
          <w:bCs/>
          <w:caps/>
          <w:szCs w:val="21"/>
        </w:rPr>
        <w:fldChar w:fldCharType="separate"/>
      </w:r>
      <w:r>
        <w:rPr>
          <w:rFonts w:hint="eastAsia" w:eastAsia="黑体"/>
          <w:szCs w:val="20"/>
        </w:rPr>
        <w:t>22.1 承包人违约</w:t>
      </w:r>
      <w:r>
        <w:tab/>
      </w:r>
      <w:r>
        <w:fldChar w:fldCharType="begin"/>
      </w:r>
      <w:r>
        <w:instrText xml:space="preserve"> PAGEREF _Toc30954 </w:instrText>
      </w:r>
      <w:r>
        <w:fldChar w:fldCharType="separate"/>
      </w:r>
      <w:r>
        <w:t>85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_Toc16160 </w:instrText>
      </w:r>
      <w:r>
        <w:rPr>
          <w:rFonts w:ascii="宋体" w:hAnsi="宋体"/>
          <w:bCs/>
          <w:caps/>
          <w:szCs w:val="21"/>
        </w:rPr>
        <w:fldChar w:fldCharType="separate"/>
      </w:r>
      <w:r>
        <w:rPr>
          <w:rFonts w:hint="eastAsia" w:eastAsia="黑体"/>
          <w:szCs w:val="20"/>
        </w:rPr>
        <w:t>22.2 发包人违约</w:t>
      </w:r>
      <w:r>
        <w:tab/>
      </w:r>
      <w:r>
        <w:fldChar w:fldCharType="begin"/>
      </w:r>
      <w:r>
        <w:instrText xml:space="preserve"> PAGEREF _Toc16160 </w:instrText>
      </w:r>
      <w:r>
        <w:fldChar w:fldCharType="separate"/>
      </w:r>
      <w:r>
        <w:t>87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_Toc22799 </w:instrText>
      </w:r>
      <w:r>
        <w:rPr>
          <w:rFonts w:ascii="宋体" w:hAnsi="宋体"/>
          <w:bCs/>
          <w:caps/>
          <w:szCs w:val="21"/>
        </w:rPr>
        <w:fldChar w:fldCharType="separate"/>
      </w:r>
      <w:r>
        <w:rPr>
          <w:rFonts w:hint="eastAsia" w:eastAsia="黑体"/>
          <w:szCs w:val="20"/>
        </w:rPr>
        <w:t>22.3 第三人造成的违约</w:t>
      </w:r>
      <w:r>
        <w:tab/>
      </w:r>
      <w:r>
        <w:fldChar w:fldCharType="begin"/>
      </w:r>
      <w:r>
        <w:instrText xml:space="preserve"> PAGEREF _Toc22799 </w:instrText>
      </w:r>
      <w:r>
        <w:fldChar w:fldCharType="separate"/>
      </w:r>
      <w:r>
        <w:t>88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_Toc23489 </w:instrText>
      </w:r>
      <w:r>
        <w:rPr>
          <w:rFonts w:ascii="宋体" w:hAnsi="宋体"/>
          <w:bCs/>
          <w:caps/>
          <w:szCs w:val="21"/>
        </w:rPr>
        <w:fldChar w:fldCharType="separate"/>
      </w:r>
      <w:r>
        <w:t xml:space="preserve">23. </w:t>
      </w:r>
      <w:r>
        <w:rPr>
          <w:rFonts w:hint="eastAsia"/>
        </w:rPr>
        <w:t>索赔</w:t>
      </w:r>
      <w:r>
        <w:tab/>
      </w:r>
      <w:r>
        <w:fldChar w:fldCharType="begin"/>
      </w:r>
      <w:r>
        <w:instrText xml:space="preserve"> PAGEREF _Toc23489 </w:instrText>
      </w:r>
      <w:r>
        <w:fldChar w:fldCharType="separate"/>
      </w:r>
      <w:r>
        <w:t>88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_Toc24473 </w:instrText>
      </w:r>
      <w:r>
        <w:rPr>
          <w:rFonts w:ascii="宋体" w:hAnsi="宋体"/>
          <w:bCs/>
          <w:caps/>
          <w:szCs w:val="21"/>
        </w:rPr>
        <w:fldChar w:fldCharType="separate"/>
      </w:r>
      <w:r>
        <w:rPr>
          <w:rFonts w:hint="eastAsia" w:eastAsia="黑体"/>
          <w:szCs w:val="20"/>
        </w:rPr>
        <w:t>23.1 承包人索赔的提出</w:t>
      </w:r>
      <w:r>
        <w:tab/>
      </w:r>
      <w:r>
        <w:fldChar w:fldCharType="begin"/>
      </w:r>
      <w:r>
        <w:instrText xml:space="preserve"> PAGEREF _Toc24473 </w:instrText>
      </w:r>
      <w:r>
        <w:fldChar w:fldCharType="separate"/>
      </w:r>
      <w:r>
        <w:t>88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_Toc30710 </w:instrText>
      </w:r>
      <w:r>
        <w:rPr>
          <w:rFonts w:ascii="宋体" w:hAnsi="宋体"/>
          <w:bCs/>
          <w:caps/>
          <w:szCs w:val="21"/>
        </w:rPr>
        <w:fldChar w:fldCharType="separate"/>
      </w:r>
      <w:r>
        <w:rPr>
          <w:rFonts w:hint="eastAsia" w:eastAsia="黑体"/>
          <w:szCs w:val="20"/>
        </w:rPr>
        <w:t>23.2 承包人索赔处理程序</w:t>
      </w:r>
      <w:r>
        <w:tab/>
      </w:r>
      <w:r>
        <w:fldChar w:fldCharType="begin"/>
      </w:r>
      <w:r>
        <w:instrText xml:space="preserve"> PAGEREF _Toc30710 </w:instrText>
      </w:r>
      <w:r>
        <w:fldChar w:fldCharType="separate"/>
      </w:r>
      <w:r>
        <w:t>88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_Toc11296 </w:instrText>
      </w:r>
      <w:r>
        <w:rPr>
          <w:rFonts w:ascii="宋体" w:hAnsi="宋体"/>
          <w:bCs/>
          <w:caps/>
          <w:szCs w:val="21"/>
        </w:rPr>
        <w:fldChar w:fldCharType="separate"/>
      </w:r>
      <w:r>
        <w:rPr>
          <w:rFonts w:hint="eastAsia" w:eastAsia="黑体"/>
          <w:szCs w:val="20"/>
        </w:rPr>
        <w:t>23.3 承包人提出索赔的期限</w:t>
      </w:r>
      <w:r>
        <w:tab/>
      </w:r>
      <w:r>
        <w:fldChar w:fldCharType="begin"/>
      </w:r>
      <w:r>
        <w:instrText xml:space="preserve"> PAGEREF _Toc11296 </w:instrText>
      </w:r>
      <w:r>
        <w:fldChar w:fldCharType="separate"/>
      </w:r>
      <w:r>
        <w:t>88</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_Toc7442 </w:instrText>
      </w:r>
      <w:r>
        <w:rPr>
          <w:rFonts w:ascii="宋体" w:hAnsi="宋体"/>
          <w:bCs/>
          <w:caps/>
          <w:szCs w:val="21"/>
        </w:rPr>
        <w:fldChar w:fldCharType="separate"/>
      </w:r>
      <w:r>
        <w:rPr>
          <w:rFonts w:hint="eastAsia" w:eastAsia="黑体"/>
          <w:szCs w:val="20"/>
        </w:rPr>
        <w:t>23.4 发包人的索赔</w:t>
      </w:r>
      <w:r>
        <w:tab/>
      </w:r>
      <w:r>
        <w:fldChar w:fldCharType="begin"/>
      </w:r>
      <w:r>
        <w:instrText xml:space="preserve"> PAGEREF _Toc7442 </w:instrText>
      </w:r>
      <w:r>
        <w:fldChar w:fldCharType="separate"/>
      </w:r>
      <w:r>
        <w:t>88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_Toc21081 </w:instrText>
      </w:r>
      <w:r>
        <w:rPr>
          <w:rFonts w:ascii="宋体" w:hAnsi="宋体"/>
          <w:bCs/>
          <w:caps/>
          <w:szCs w:val="21"/>
        </w:rPr>
        <w:fldChar w:fldCharType="separate"/>
      </w:r>
      <w:r>
        <w:t xml:space="preserve">24. </w:t>
      </w:r>
      <w:r>
        <w:rPr>
          <w:rFonts w:hint="eastAsia"/>
        </w:rPr>
        <w:t>争议的解决</w:t>
      </w:r>
      <w:r>
        <w:tab/>
      </w:r>
      <w:r>
        <w:fldChar w:fldCharType="begin"/>
      </w:r>
      <w:r>
        <w:instrText xml:space="preserve"> PAGEREF _Toc21081 </w:instrText>
      </w:r>
      <w:r>
        <w:fldChar w:fldCharType="separate"/>
      </w:r>
      <w:r>
        <w:t>89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_Toc18656 </w:instrText>
      </w:r>
      <w:r>
        <w:rPr>
          <w:rFonts w:ascii="宋体" w:hAnsi="宋体"/>
          <w:bCs/>
          <w:caps/>
          <w:szCs w:val="21"/>
        </w:rPr>
        <w:fldChar w:fldCharType="separate"/>
      </w:r>
      <w:r>
        <w:rPr>
          <w:rFonts w:hint="eastAsia" w:eastAsia="黑体"/>
          <w:szCs w:val="20"/>
        </w:rPr>
        <w:t>24.1 争议的解决方式</w:t>
      </w:r>
      <w:r>
        <w:tab/>
      </w:r>
      <w:r>
        <w:fldChar w:fldCharType="begin"/>
      </w:r>
      <w:r>
        <w:instrText xml:space="preserve"> PAGEREF _Toc18656 </w:instrText>
      </w:r>
      <w:r>
        <w:fldChar w:fldCharType="separate"/>
      </w:r>
      <w:r>
        <w:t>89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_Toc22054 </w:instrText>
      </w:r>
      <w:r>
        <w:rPr>
          <w:rFonts w:ascii="宋体" w:hAnsi="宋体"/>
          <w:bCs/>
          <w:caps/>
          <w:szCs w:val="21"/>
        </w:rPr>
        <w:fldChar w:fldCharType="separate"/>
      </w:r>
      <w:r>
        <w:rPr>
          <w:rFonts w:hint="eastAsia" w:eastAsia="黑体"/>
          <w:szCs w:val="20"/>
        </w:rPr>
        <w:t>24.2 友好解决</w:t>
      </w:r>
      <w:r>
        <w:tab/>
      </w:r>
      <w:r>
        <w:fldChar w:fldCharType="begin"/>
      </w:r>
      <w:r>
        <w:instrText xml:space="preserve"> PAGEREF _Toc22054 </w:instrText>
      </w:r>
      <w:r>
        <w:fldChar w:fldCharType="separate"/>
      </w:r>
      <w:r>
        <w:t>89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_Toc32754 </w:instrText>
      </w:r>
      <w:r>
        <w:rPr>
          <w:rFonts w:ascii="宋体" w:hAnsi="宋体"/>
          <w:bCs/>
          <w:caps/>
          <w:szCs w:val="21"/>
        </w:rPr>
        <w:fldChar w:fldCharType="separate"/>
      </w:r>
      <w:r>
        <w:rPr>
          <w:rFonts w:hint="eastAsia" w:eastAsia="黑体"/>
          <w:szCs w:val="20"/>
        </w:rPr>
        <w:t>24.3 争议评审</w:t>
      </w:r>
      <w:r>
        <w:tab/>
      </w:r>
      <w:r>
        <w:fldChar w:fldCharType="begin"/>
      </w:r>
      <w:r>
        <w:instrText xml:space="preserve"> PAGEREF _Toc32754 </w:instrText>
      </w:r>
      <w:r>
        <w:fldChar w:fldCharType="separate"/>
      </w:r>
      <w:r>
        <w:t>89</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_Toc24869 </w:instrText>
      </w:r>
      <w:r>
        <w:rPr>
          <w:rFonts w:ascii="宋体" w:hAnsi="宋体"/>
          <w:bCs/>
          <w:caps/>
          <w:szCs w:val="21"/>
        </w:rPr>
        <w:fldChar w:fldCharType="separate"/>
      </w:r>
      <w:r>
        <w:rPr>
          <w:rFonts w:hint="eastAsia" w:eastAsia="黑体"/>
          <w:szCs w:val="20"/>
        </w:rPr>
        <w:t>24.4 仲裁</w:t>
      </w:r>
      <w:r>
        <w:tab/>
      </w:r>
      <w:r>
        <w:fldChar w:fldCharType="begin"/>
      </w:r>
      <w:r>
        <w:instrText xml:space="preserve"> PAGEREF _Toc24869 </w:instrText>
      </w:r>
      <w:r>
        <w:fldChar w:fldCharType="separate"/>
      </w:r>
      <w:r>
        <w:t>90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_Toc26490 </w:instrText>
      </w:r>
      <w:r>
        <w:rPr>
          <w:rFonts w:ascii="宋体" w:hAnsi="宋体"/>
          <w:bCs/>
          <w:caps/>
          <w:szCs w:val="21"/>
        </w:rPr>
        <w:fldChar w:fldCharType="separate"/>
      </w:r>
      <w:r>
        <w:rPr>
          <w:rFonts w:hint="eastAsia"/>
        </w:rPr>
        <w:t>第2节 专用合同条款</w:t>
      </w:r>
      <w:r>
        <w:tab/>
      </w:r>
      <w:r>
        <w:fldChar w:fldCharType="begin"/>
      </w:r>
      <w:r>
        <w:instrText xml:space="preserve"> PAGEREF _Toc26490 </w:instrText>
      </w:r>
      <w:r>
        <w:fldChar w:fldCharType="separate"/>
      </w:r>
      <w:r>
        <w:t>91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_Toc17822 </w:instrText>
      </w:r>
      <w:r>
        <w:rPr>
          <w:rFonts w:ascii="宋体" w:hAnsi="宋体"/>
          <w:bCs/>
          <w:caps/>
          <w:szCs w:val="21"/>
        </w:rPr>
        <w:fldChar w:fldCharType="separate"/>
      </w:r>
      <w:r>
        <w:rPr>
          <w:rFonts w:hint="eastAsia"/>
        </w:rPr>
        <w:t>1. 一般约定</w:t>
      </w:r>
      <w:r>
        <w:tab/>
      </w:r>
      <w:r>
        <w:fldChar w:fldCharType="begin"/>
      </w:r>
      <w:r>
        <w:instrText xml:space="preserve"> PAGEREF _Toc17822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_Toc19192 </w:instrText>
      </w:r>
      <w:r>
        <w:rPr>
          <w:rFonts w:ascii="宋体" w:hAnsi="宋体"/>
          <w:bCs/>
          <w:caps/>
          <w:szCs w:val="21"/>
        </w:rPr>
        <w:fldChar w:fldCharType="separate"/>
      </w:r>
      <w:r>
        <w:rPr>
          <w:rFonts w:eastAsia="黑体"/>
          <w:szCs w:val="20"/>
        </w:rPr>
        <w:t xml:space="preserve">1.1 </w:t>
      </w:r>
      <w:r>
        <w:rPr>
          <w:rFonts w:hint="eastAsia" w:eastAsia="黑体"/>
          <w:szCs w:val="20"/>
        </w:rPr>
        <w:t>词语定义</w:t>
      </w:r>
      <w:r>
        <w:tab/>
      </w:r>
      <w:r>
        <w:fldChar w:fldCharType="begin"/>
      </w:r>
      <w:r>
        <w:instrText xml:space="preserve"> PAGEREF _Toc19192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_Toc16901 </w:instrText>
      </w:r>
      <w:r>
        <w:rPr>
          <w:rFonts w:ascii="宋体" w:hAnsi="宋体"/>
          <w:bCs/>
          <w:caps/>
          <w:szCs w:val="21"/>
        </w:rPr>
        <w:fldChar w:fldCharType="separate"/>
      </w:r>
      <w:r>
        <w:rPr>
          <w:rFonts w:hint="eastAsia" w:eastAsia="黑体"/>
          <w:szCs w:val="20"/>
        </w:rPr>
        <w:t>1.4 合同文件的优先顺序</w:t>
      </w:r>
      <w:r>
        <w:tab/>
      </w:r>
      <w:r>
        <w:fldChar w:fldCharType="begin"/>
      </w:r>
      <w:r>
        <w:instrText xml:space="preserve"> PAGEREF _Toc16901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_Toc21565 </w:instrText>
      </w:r>
      <w:r>
        <w:rPr>
          <w:rFonts w:ascii="宋体" w:hAnsi="宋体"/>
          <w:bCs/>
          <w:caps/>
          <w:szCs w:val="21"/>
        </w:rPr>
        <w:fldChar w:fldCharType="separate"/>
      </w:r>
      <w:r>
        <w:rPr>
          <w:rFonts w:hint="eastAsia" w:ascii="黑体" w:hAnsi="黑体" w:eastAsia="黑体"/>
          <w:szCs w:val="20"/>
        </w:rPr>
        <w:t>1.7 联络</w:t>
      </w:r>
      <w:r>
        <w:tab/>
      </w:r>
      <w:r>
        <w:fldChar w:fldCharType="begin"/>
      </w:r>
      <w:r>
        <w:instrText xml:space="preserve"> PAGEREF _Toc21565 </w:instrText>
      </w:r>
      <w:r>
        <w:fldChar w:fldCharType="separate"/>
      </w:r>
      <w:r>
        <w:t>91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_Toc20843 </w:instrText>
      </w:r>
      <w:r>
        <w:rPr>
          <w:rFonts w:ascii="宋体" w:hAnsi="宋体"/>
          <w:bCs/>
          <w:caps/>
          <w:szCs w:val="21"/>
        </w:rPr>
        <w:fldChar w:fldCharType="separate"/>
      </w:r>
      <w:r>
        <w:rPr>
          <w:rFonts w:hint="eastAsia"/>
        </w:rPr>
        <w:t>2. 发包人义务</w:t>
      </w:r>
      <w:r>
        <w:tab/>
      </w:r>
      <w:r>
        <w:fldChar w:fldCharType="begin"/>
      </w:r>
      <w:r>
        <w:instrText xml:space="preserve"> PAGEREF _Toc20843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_Toc12431 </w:instrText>
      </w:r>
      <w:r>
        <w:rPr>
          <w:rFonts w:ascii="宋体" w:hAnsi="宋体"/>
          <w:bCs/>
          <w:caps/>
          <w:szCs w:val="21"/>
        </w:rPr>
        <w:fldChar w:fldCharType="separate"/>
      </w:r>
      <w:r>
        <w:rPr>
          <w:rFonts w:hint="eastAsia" w:eastAsia="黑体"/>
          <w:szCs w:val="20"/>
        </w:rPr>
        <w:t>2.3</w:t>
      </w:r>
      <w:r>
        <w:rPr>
          <w:rFonts w:eastAsia="黑体"/>
          <w:szCs w:val="20"/>
        </w:rPr>
        <w:t xml:space="preserve"> </w:t>
      </w:r>
      <w:r>
        <w:rPr>
          <w:rFonts w:hint="eastAsia" w:eastAsia="黑体"/>
          <w:szCs w:val="20"/>
        </w:rPr>
        <w:t>提供施工场地</w:t>
      </w:r>
      <w:r>
        <w:tab/>
      </w:r>
      <w:r>
        <w:fldChar w:fldCharType="begin"/>
      </w:r>
      <w:r>
        <w:instrText xml:space="preserve"> PAGEREF _Toc12431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_Toc30863 </w:instrText>
      </w:r>
      <w:r>
        <w:rPr>
          <w:rFonts w:ascii="宋体" w:hAnsi="宋体"/>
          <w:bCs/>
          <w:caps/>
          <w:szCs w:val="21"/>
        </w:rPr>
        <w:fldChar w:fldCharType="separate"/>
      </w:r>
      <w:r>
        <w:rPr>
          <w:rFonts w:hint="eastAsia" w:eastAsia="黑体"/>
          <w:szCs w:val="20"/>
        </w:rPr>
        <w:t>2.8 其它义务</w:t>
      </w:r>
      <w:r>
        <w:tab/>
      </w:r>
      <w:r>
        <w:fldChar w:fldCharType="begin"/>
      </w:r>
      <w:r>
        <w:instrText xml:space="preserve"> PAGEREF _Toc30863 </w:instrText>
      </w:r>
      <w:r>
        <w:fldChar w:fldCharType="separate"/>
      </w:r>
      <w:r>
        <w:t>91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_Toc29686 </w:instrText>
      </w:r>
      <w:r>
        <w:rPr>
          <w:rFonts w:ascii="宋体" w:hAnsi="宋体"/>
          <w:bCs/>
          <w:caps/>
          <w:szCs w:val="21"/>
        </w:rPr>
        <w:fldChar w:fldCharType="separate"/>
      </w:r>
      <w:r>
        <w:rPr>
          <w:rFonts w:hint="eastAsia"/>
        </w:rPr>
        <w:t>3. 监理人</w:t>
      </w:r>
      <w:r>
        <w:tab/>
      </w:r>
      <w:r>
        <w:fldChar w:fldCharType="begin"/>
      </w:r>
      <w:r>
        <w:instrText xml:space="preserve"> PAGEREF _Toc29686 </w:instrText>
      </w:r>
      <w:r>
        <w:fldChar w:fldCharType="separate"/>
      </w:r>
      <w:r>
        <w:t>91</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_Toc15479 </w:instrText>
      </w:r>
      <w:r>
        <w:rPr>
          <w:rFonts w:ascii="宋体" w:hAnsi="宋体"/>
          <w:bCs/>
          <w:caps/>
          <w:szCs w:val="21"/>
        </w:rPr>
        <w:fldChar w:fldCharType="separate"/>
      </w:r>
      <w:r>
        <w:rPr>
          <w:rFonts w:hint="eastAsia" w:eastAsia="黑体"/>
          <w:szCs w:val="20"/>
        </w:rPr>
        <w:t>3.1 监理人的职责和权力</w:t>
      </w:r>
      <w:r>
        <w:tab/>
      </w:r>
      <w:r>
        <w:fldChar w:fldCharType="begin"/>
      </w:r>
      <w:r>
        <w:instrText xml:space="preserve"> PAGEREF _Toc15479 </w:instrText>
      </w:r>
      <w:r>
        <w:fldChar w:fldCharType="separate"/>
      </w:r>
      <w:r>
        <w:t>91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_Toc21505 </w:instrText>
      </w:r>
      <w:r>
        <w:rPr>
          <w:rFonts w:ascii="宋体" w:hAnsi="宋体"/>
          <w:bCs/>
          <w:caps/>
          <w:szCs w:val="21"/>
        </w:rPr>
        <w:fldChar w:fldCharType="separate"/>
      </w:r>
      <w:r>
        <w:rPr>
          <w:rFonts w:hint="eastAsia"/>
        </w:rPr>
        <w:t>4. 承包人</w:t>
      </w:r>
      <w:r>
        <w:tab/>
      </w:r>
      <w:r>
        <w:fldChar w:fldCharType="begin"/>
      </w:r>
      <w:r>
        <w:instrText xml:space="preserve"> PAGEREF _Toc21505 </w:instrText>
      </w:r>
      <w:r>
        <w:fldChar w:fldCharType="separate"/>
      </w:r>
      <w:r>
        <w:t>92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_Toc5806 </w:instrText>
      </w:r>
      <w:r>
        <w:rPr>
          <w:rFonts w:ascii="宋体" w:hAnsi="宋体"/>
          <w:bCs/>
          <w:caps/>
          <w:szCs w:val="21"/>
        </w:rPr>
        <w:fldChar w:fldCharType="separate"/>
      </w:r>
      <w:r>
        <w:rPr>
          <w:rFonts w:hint="eastAsia" w:eastAsia="黑体"/>
          <w:szCs w:val="20"/>
        </w:rPr>
        <w:t>4.1</w:t>
      </w:r>
      <w:r>
        <w:rPr>
          <w:rFonts w:eastAsia="黑体"/>
          <w:szCs w:val="20"/>
        </w:rPr>
        <w:t xml:space="preserve"> </w:t>
      </w:r>
      <w:r>
        <w:rPr>
          <w:rFonts w:hint="eastAsia" w:eastAsia="黑体"/>
          <w:szCs w:val="20"/>
        </w:rPr>
        <w:t>承包人的一般义务</w:t>
      </w:r>
      <w:r>
        <w:tab/>
      </w:r>
      <w:r>
        <w:fldChar w:fldCharType="begin"/>
      </w:r>
      <w:r>
        <w:instrText xml:space="preserve"> PAGEREF _Toc5806 </w:instrText>
      </w:r>
      <w:r>
        <w:fldChar w:fldCharType="separate"/>
      </w:r>
      <w:r>
        <w:t>92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_Toc23927 </w:instrText>
      </w:r>
      <w:r>
        <w:rPr>
          <w:rFonts w:ascii="宋体" w:hAnsi="宋体"/>
          <w:bCs/>
          <w:caps/>
          <w:szCs w:val="21"/>
        </w:rPr>
        <w:fldChar w:fldCharType="separate"/>
      </w:r>
      <w:r>
        <w:rPr>
          <w:rFonts w:hint="eastAsia" w:eastAsia="黑体"/>
          <w:szCs w:val="20"/>
        </w:rPr>
        <w:t>4.3 分包</w:t>
      </w:r>
      <w:r>
        <w:tab/>
      </w:r>
      <w:r>
        <w:fldChar w:fldCharType="begin"/>
      </w:r>
      <w:r>
        <w:instrText xml:space="preserve"> PAGEREF _Toc23927 </w:instrText>
      </w:r>
      <w:r>
        <w:fldChar w:fldCharType="separate"/>
      </w:r>
      <w:r>
        <w:t>92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_Toc7325 </w:instrText>
      </w:r>
      <w:r>
        <w:rPr>
          <w:rFonts w:ascii="宋体" w:hAnsi="宋体"/>
          <w:bCs/>
          <w:caps/>
          <w:szCs w:val="21"/>
        </w:rPr>
        <w:fldChar w:fldCharType="separate"/>
      </w:r>
      <w:r>
        <w:rPr>
          <w:rFonts w:eastAsia="黑体"/>
          <w:szCs w:val="20"/>
        </w:rPr>
        <w:t>4</w:t>
      </w:r>
      <w:r>
        <w:rPr>
          <w:rFonts w:hint="eastAsia" w:eastAsia="黑体"/>
          <w:szCs w:val="20"/>
        </w:rPr>
        <w:t>.</w:t>
      </w:r>
      <w:r>
        <w:rPr>
          <w:rFonts w:eastAsia="黑体"/>
          <w:szCs w:val="20"/>
        </w:rPr>
        <w:t xml:space="preserve">11 </w:t>
      </w:r>
      <w:r>
        <w:rPr>
          <w:rFonts w:hint="eastAsia" w:eastAsia="黑体"/>
          <w:szCs w:val="20"/>
        </w:rPr>
        <w:t>不利物质条件</w:t>
      </w:r>
      <w:r>
        <w:tab/>
      </w:r>
      <w:r>
        <w:fldChar w:fldCharType="begin"/>
      </w:r>
      <w:r>
        <w:instrText xml:space="preserve"> PAGEREF _Toc7325 </w:instrText>
      </w:r>
      <w:r>
        <w:fldChar w:fldCharType="separate"/>
      </w:r>
      <w:r>
        <w:t>92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_Toc9429 </w:instrText>
      </w:r>
      <w:r>
        <w:rPr>
          <w:rFonts w:ascii="宋体" w:hAnsi="宋体"/>
          <w:bCs/>
          <w:caps/>
          <w:szCs w:val="21"/>
        </w:rPr>
        <w:fldChar w:fldCharType="separate"/>
      </w:r>
      <w:r>
        <w:rPr>
          <w:rFonts w:hint="eastAsia"/>
        </w:rPr>
        <w:t>5. 材料和工程设备</w:t>
      </w:r>
      <w:r>
        <w:tab/>
      </w:r>
      <w:r>
        <w:fldChar w:fldCharType="begin"/>
      </w:r>
      <w:r>
        <w:instrText xml:space="preserve"> PAGEREF _Toc9429 </w:instrText>
      </w:r>
      <w:r>
        <w:fldChar w:fldCharType="separate"/>
      </w:r>
      <w:r>
        <w:t>92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_Toc31394 </w:instrText>
      </w:r>
      <w:r>
        <w:rPr>
          <w:rFonts w:ascii="宋体" w:hAnsi="宋体"/>
          <w:bCs/>
          <w:caps/>
          <w:szCs w:val="21"/>
        </w:rPr>
        <w:fldChar w:fldCharType="separate"/>
      </w:r>
      <w:r>
        <w:rPr>
          <w:rFonts w:eastAsia="黑体"/>
          <w:szCs w:val="20"/>
        </w:rPr>
        <w:t>5</w:t>
      </w:r>
      <w:r>
        <w:rPr>
          <w:rFonts w:hint="eastAsia" w:eastAsia="黑体"/>
          <w:szCs w:val="20"/>
        </w:rPr>
        <w:t>.</w:t>
      </w:r>
      <w:r>
        <w:rPr>
          <w:rFonts w:eastAsia="黑体"/>
          <w:szCs w:val="20"/>
        </w:rPr>
        <w:t>2</w:t>
      </w:r>
      <w:r>
        <w:rPr>
          <w:rFonts w:hint="eastAsia" w:eastAsia="黑体"/>
          <w:szCs w:val="20"/>
        </w:rPr>
        <w:t xml:space="preserve"> 发包人提供的材料和工程设备</w:t>
      </w:r>
      <w:r>
        <w:tab/>
      </w:r>
      <w:r>
        <w:fldChar w:fldCharType="begin"/>
      </w:r>
      <w:r>
        <w:instrText xml:space="preserve"> PAGEREF _Toc31394 </w:instrText>
      </w:r>
      <w:r>
        <w:fldChar w:fldCharType="separate"/>
      </w:r>
      <w:r>
        <w:t>92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_Toc12173 </w:instrText>
      </w:r>
      <w:r>
        <w:rPr>
          <w:rFonts w:ascii="宋体" w:hAnsi="宋体"/>
          <w:bCs/>
          <w:caps/>
          <w:szCs w:val="21"/>
        </w:rPr>
        <w:fldChar w:fldCharType="separate"/>
      </w:r>
      <w:r>
        <w:rPr>
          <w:rFonts w:hint="eastAsia"/>
        </w:rPr>
        <w:t>6. 施工设备和临时设施</w:t>
      </w:r>
      <w:r>
        <w:tab/>
      </w:r>
      <w:r>
        <w:fldChar w:fldCharType="begin"/>
      </w:r>
      <w:r>
        <w:instrText xml:space="preserve"> PAGEREF _Toc12173 </w:instrText>
      </w:r>
      <w:r>
        <w:fldChar w:fldCharType="separate"/>
      </w:r>
      <w:r>
        <w:t>92</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_Toc10439 </w:instrText>
      </w:r>
      <w:r>
        <w:rPr>
          <w:rFonts w:ascii="宋体" w:hAnsi="宋体"/>
          <w:bCs/>
          <w:caps/>
          <w:szCs w:val="21"/>
        </w:rPr>
        <w:fldChar w:fldCharType="separate"/>
      </w:r>
      <w:r>
        <w:rPr>
          <w:rFonts w:hint="eastAsia" w:eastAsia="黑体"/>
          <w:szCs w:val="20"/>
        </w:rPr>
        <w:t>6.2 发包人提供的施工设备和临时设施</w:t>
      </w:r>
      <w:r>
        <w:tab/>
      </w:r>
      <w:r>
        <w:fldChar w:fldCharType="begin"/>
      </w:r>
      <w:r>
        <w:instrText xml:space="preserve"> PAGEREF _Toc10439 </w:instrText>
      </w:r>
      <w:r>
        <w:fldChar w:fldCharType="separate"/>
      </w:r>
      <w:r>
        <w:t>92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_Toc1115 </w:instrText>
      </w:r>
      <w:r>
        <w:rPr>
          <w:rFonts w:ascii="宋体" w:hAnsi="宋体"/>
          <w:bCs/>
          <w:caps/>
          <w:szCs w:val="21"/>
        </w:rPr>
        <w:fldChar w:fldCharType="separate"/>
      </w:r>
      <w:r>
        <w:rPr>
          <w:rFonts w:hint="eastAsia"/>
        </w:rPr>
        <w:t>7. 交通运输</w:t>
      </w:r>
      <w:r>
        <w:tab/>
      </w:r>
      <w:r>
        <w:fldChar w:fldCharType="begin"/>
      </w:r>
      <w:r>
        <w:instrText xml:space="preserve"> PAGEREF _Toc1115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_Toc11848 </w:instrText>
      </w:r>
      <w:r>
        <w:rPr>
          <w:rFonts w:ascii="宋体" w:hAnsi="宋体"/>
          <w:bCs/>
          <w:caps/>
          <w:szCs w:val="21"/>
        </w:rPr>
        <w:fldChar w:fldCharType="separate"/>
      </w:r>
      <w:r>
        <w:rPr>
          <w:rFonts w:hint="eastAsia" w:eastAsia="黑体"/>
          <w:szCs w:val="20"/>
        </w:rPr>
        <w:t>7.</w:t>
      </w:r>
      <w:r>
        <w:rPr>
          <w:rFonts w:eastAsia="黑体"/>
          <w:szCs w:val="20"/>
        </w:rPr>
        <w:t>1</w:t>
      </w:r>
      <w:r>
        <w:rPr>
          <w:rFonts w:hint="eastAsia" w:eastAsia="黑体"/>
          <w:szCs w:val="20"/>
        </w:rPr>
        <w:t xml:space="preserve"> 道路通行权和场外设施</w:t>
      </w:r>
      <w:r>
        <w:tab/>
      </w:r>
      <w:r>
        <w:fldChar w:fldCharType="begin"/>
      </w:r>
      <w:r>
        <w:instrText xml:space="preserve"> PAGEREF _Toc11848 </w:instrText>
      </w:r>
      <w:r>
        <w:fldChar w:fldCharType="separate"/>
      </w:r>
      <w:r>
        <w:t>93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_Toc818 </w:instrText>
      </w:r>
      <w:r>
        <w:rPr>
          <w:rFonts w:ascii="宋体" w:hAnsi="宋体"/>
          <w:bCs/>
          <w:caps/>
          <w:szCs w:val="21"/>
        </w:rPr>
        <w:fldChar w:fldCharType="separate"/>
      </w:r>
      <w:r>
        <w:rPr>
          <w:rFonts w:hint="eastAsia"/>
        </w:rPr>
        <w:t>8. 测量放线</w:t>
      </w:r>
      <w:r>
        <w:tab/>
      </w:r>
      <w:r>
        <w:fldChar w:fldCharType="begin"/>
      </w:r>
      <w:r>
        <w:instrText xml:space="preserve"> PAGEREF _Toc818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_Toc12883 </w:instrText>
      </w:r>
      <w:r>
        <w:rPr>
          <w:rFonts w:ascii="宋体" w:hAnsi="宋体"/>
          <w:bCs/>
          <w:caps/>
          <w:szCs w:val="21"/>
        </w:rPr>
        <w:fldChar w:fldCharType="separate"/>
      </w:r>
      <w:r>
        <w:rPr>
          <w:rFonts w:hint="eastAsia" w:eastAsia="黑体"/>
          <w:szCs w:val="20"/>
        </w:rPr>
        <w:t>8.1 施工控制网</w:t>
      </w:r>
      <w:r>
        <w:tab/>
      </w:r>
      <w:r>
        <w:fldChar w:fldCharType="begin"/>
      </w:r>
      <w:r>
        <w:instrText xml:space="preserve"> PAGEREF _Toc12883 </w:instrText>
      </w:r>
      <w:r>
        <w:fldChar w:fldCharType="separate"/>
      </w:r>
      <w:r>
        <w:t>93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_Toc27013 </w:instrText>
      </w:r>
      <w:r>
        <w:rPr>
          <w:rFonts w:ascii="宋体" w:hAnsi="宋体"/>
          <w:bCs/>
          <w:caps/>
          <w:szCs w:val="21"/>
        </w:rPr>
        <w:fldChar w:fldCharType="separate"/>
      </w:r>
      <w:r>
        <w:rPr>
          <w:rFonts w:hint="eastAsia"/>
        </w:rPr>
        <w:t>9. 施工安全、治安保卫和环境保护</w:t>
      </w:r>
      <w:r>
        <w:tab/>
      </w:r>
      <w:r>
        <w:fldChar w:fldCharType="begin"/>
      </w:r>
      <w:r>
        <w:instrText xml:space="preserve"> PAGEREF _Toc27013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_Toc19356 </w:instrText>
      </w:r>
      <w:r>
        <w:rPr>
          <w:rFonts w:ascii="宋体" w:hAnsi="宋体"/>
          <w:bCs/>
          <w:caps/>
          <w:szCs w:val="21"/>
        </w:rPr>
        <w:fldChar w:fldCharType="separate"/>
      </w:r>
      <w:r>
        <w:rPr>
          <w:rFonts w:hint="eastAsia" w:eastAsia="黑体"/>
          <w:szCs w:val="20"/>
        </w:rPr>
        <w:t>9.1 发包人的施工安全责任</w:t>
      </w:r>
      <w:r>
        <w:tab/>
      </w:r>
      <w:r>
        <w:fldChar w:fldCharType="begin"/>
      </w:r>
      <w:r>
        <w:instrText xml:space="preserve"> PAGEREF _Toc19356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_Toc19971 </w:instrText>
      </w:r>
      <w:r>
        <w:rPr>
          <w:rFonts w:ascii="宋体" w:hAnsi="宋体"/>
          <w:bCs/>
          <w:caps/>
          <w:szCs w:val="21"/>
        </w:rPr>
        <w:fldChar w:fldCharType="separate"/>
      </w:r>
      <w:r>
        <w:rPr>
          <w:rFonts w:hint="eastAsia" w:eastAsia="黑体"/>
          <w:szCs w:val="20"/>
        </w:rPr>
        <w:t>9.2 承包人的施工安全责任</w:t>
      </w:r>
      <w:r>
        <w:tab/>
      </w:r>
      <w:r>
        <w:fldChar w:fldCharType="begin"/>
      </w:r>
      <w:r>
        <w:instrText xml:space="preserve"> PAGEREF _Toc19971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_Toc19900 </w:instrText>
      </w:r>
      <w:r>
        <w:rPr>
          <w:rFonts w:ascii="宋体" w:hAnsi="宋体"/>
          <w:bCs/>
          <w:caps/>
          <w:szCs w:val="21"/>
        </w:rPr>
        <w:fldChar w:fldCharType="separate"/>
      </w:r>
      <w:r>
        <w:rPr>
          <w:rFonts w:hint="eastAsia" w:eastAsia="黑体"/>
          <w:szCs w:val="20"/>
        </w:rPr>
        <w:t>9.7 文明工地</w:t>
      </w:r>
      <w:r>
        <w:tab/>
      </w:r>
      <w:r>
        <w:fldChar w:fldCharType="begin"/>
      </w:r>
      <w:r>
        <w:instrText xml:space="preserve"> PAGEREF _Toc19900 </w:instrText>
      </w:r>
      <w:r>
        <w:fldChar w:fldCharType="separate"/>
      </w:r>
      <w:r>
        <w:t>93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_Toc30456 </w:instrText>
      </w:r>
      <w:r>
        <w:rPr>
          <w:rFonts w:ascii="宋体" w:hAnsi="宋体"/>
          <w:bCs/>
          <w:caps/>
          <w:szCs w:val="21"/>
        </w:rPr>
        <w:fldChar w:fldCharType="separate"/>
      </w:r>
      <w:r>
        <w:rPr>
          <w:rFonts w:hint="eastAsia"/>
        </w:rPr>
        <w:t>11. 开工和竣工（完工）</w:t>
      </w:r>
      <w:r>
        <w:tab/>
      </w:r>
      <w:r>
        <w:fldChar w:fldCharType="begin"/>
      </w:r>
      <w:r>
        <w:instrText xml:space="preserve"> PAGEREF _Toc30456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_Toc2684 </w:instrText>
      </w:r>
      <w:r>
        <w:rPr>
          <w:rFonts w:ascii="宋体" w:hAnsi="宋体"/>
          <w:bCs/>
          <w:caps/>
          <w:szCs w:val="21"/>
        </w:rPr>
        <w:fldChar w:fldCharType="separate"/>
      </w:r>
      <w:r>
        <w:rPr>
          <w:rFonts w:hint="eastAsia" w:eastAsia="黑体"/>
          <w:szCs w:val="20"/>
        </w:rPr>
        <w:t>11.4 异常恶劣的气候条件</w:t>
      </w:r>
      <w:r>
        <w:tab/>
      </w:r>
      <w:r>
        <w:fldChar w:fldCharType="begin"/>
      </w:r>
      <w:r>
        <w:instrText xml:space="preserve"> PAGEREF _Toc2684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_Toc18676 </w:instrText>
      </w:r>
      <w:r>
        <w:rPr>
          <w:rFonts w:ascii="宋体" w:hAnsi="宋体"/>
          <w:bCs/>
          <w:caps/>
          <w:szCs w:val="21"/>
        </w:rPr>
        <w:fldChar w:fldCharType="separate"/>
      </w:r>
      <w:r>
        <w:rPr>
          <w:rFonts w:hint="eastAsia" w:eastAsia="黑体"/>
          <w:szCs w:val="20"/>
        </w:rPr>
        <w:t>11.5 承包人工期延误</w:t>
      </w:r>
      <w:r>
        <w:tab/>
      </w:r>
      <w:r>
        <w:fldChar w:fldCharType="begin"/>
      </w:r>
      <w:r>
        <w:instrText xml:space="preserve"> PAGEREF _Toc18676 </w:instrText>
      </w:r>
      <w:r>
        <w:fldChar w:fldCharType="separate"/>
      </w:r>
      <w:r>
        <w:t>93</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_Toc28278 </w:instrText>
      </w:r>
      <w:r>
        <w:rPr>
          <w:rFonts w:ascii="宋体" w:hAnsi="宋体"/>
          <w:bCs/>
          <w:caps/>
          <w:szCs w:val="21"/>
        </w:rPr>
        <w:fldChar w:fldCharType="separate"/>
      </w:r>
      <w:r>
        <w:rPr>
          <w:rFonts w:hint="eastAsia" w:eastAsia="黑体"/>
          <w:szCs w:val="20"/>
        </w:rPr>
        <w:t>11.6 工期提前</w:t>
      </w:r>
      <w:r>
        <w:tab/>
      </w:r>
      <w:r>
        <w:fldChar w:fldCharType="begin"/>
      </w:r>
      <w:r>
        <w:instrText xml:space="preserve"> PAGEREF _Toc28278 </w:instrText>
      </w:r>
      <w:r>
        <w:fldChar w:fldCharType="separate"/>
      </w:r>
      <w:r>
        <w:t>94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_Toc14179 </w:instrText>
      </w:r>
      <w:r>
        <w:rPr>
          <w:rFonts w:ascii="宋体" w:hAnsi="宋体"/>
          <w:bCs/>
          <w:caps/>
          <w:szCs w:val="21"/>
        </w:rPr>
        <w:fldChar w:fldCharType="separate"/>
      </w:r>
      <w:r>
        <w:rPr>
          <w:rFonts w:hint="eastAsia"/>
        </w:rPr>
        <w:t>12. 暂停施工</w:t>
      </w:r>
      <w:r>
        <w:tab/>
      </w:r>
      <w:r>
        <w:fldChar w:fldCharType="begin"/>
      </w:r>
      <w:r>
        <w:instrText xml:space="preserve"> PAGEREF _Toc14179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_Toc23471 </w:instrText>
      </w:r>
      <w:r>
        <w:rPr>
          <w:rFonts w:ascii="宋体" w:hAnsi="宋体"/>
          <w:bCs/>
          <w:caps/>
          <w:szCs w:val="21"/>
        </w:rPr>
        <w:fldChar w:fldCharType="separate"/>
      </w:r>
      <w:r>
        <w:rPr>
          <w:rFonts w:hint="eastAsia" w:eastAsia="黑体"/>
          <w:szCs w:val="20"/>
        </w:rPr>
        <w:t>12.1 承包人暂停施工的责任</w:t>
      </w:r>
      <w:r>
        <w:tab/>
      </w:r>
      <w:r>
        <w:fldChar w:fldCharType="begin"/>
      </w:r>
      <w:r>
        <w:instrText xml:space="preserve"> PAGEREF _Toc23471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_Toc12098 </w:instrText>
      </w:r>
      <w:r>
        <w:rPr>
          <w:rFonts w:ascii="宋体" w:hAnsi="宋体"/>
          <w:bCs/>
          <w:caps/>
          <w:szCs w:val="21"/>
        </w:rPr>
        <w:fldChar w:fldCharType="separate"/>
      </w:r>
      <w:r>
        <w:rPr>
          <w:rFonts w:hint="eastAsia" w:eastAsia="黑体"/>
          <w:szCs w:val="20"/>
        </w:rPr>
        <w:t>12.2 发包人暂停施工的责任</w:t>
      </w:r>
      <w:r>
        <w:tab/>
      </w:r>
      <w:r>
        <w:fldChar w:fldCharType="begin"/>
      </w:r>
      <w:r>
        <w:instrText xml:space="preserve"> PAGEREF _Toc12098 </w:instrText>
      </w:r>
      <w:r>
        <w:fldChar w:fldCharType="separate"/>
      </w:r>
      <w:r>
        <w:t>94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_Toc31257 </w:instrText>
      </w:r>
      <w:r>
        <w:rPr>
          <w:rFonts w:ascii="宋体" w:hAnsi="宋体"/>
          <w:bCs/>
          <w:caps/>
          <w:szCs w:val="21"/>
        </w:rPr>
        <w:fldChar w:fldCharType="separate"/>
      </w:r>
      <w:r>
        <w:rPr>
          <w:rFonts w:hint="eastAsia"/>
        </w:rPr>
        <w:t>13. 工程质量</w:t>
      </w:r>
      <w:r>
        <w:tab/>
      </w:r>
      <w:r>
        <w:fldChar w:fldCharType="begin"/>
      </w:r>
      <w:r>
        <w:instrText xml:space="preserve"> PAGEREF _Toc31257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_Toc29712 </w:instrText>
      </w:r>
      <w:r>
        <w:rPr>
          <w:rFonts w:ascii="宋体" w:hAnsi="宋体"/>
          <w:bCs/>
          <w:caps/>
          <w:szCs w:val="21"/>
        </w:rPr>
        <w:fldChar w:fldCharType="separate"/>
      </w:r>
      <w:r>
        <w:rPr>
          <w:rFonts w:hint="eastAsia" w:eastAsia="黑体"/>
          <w:szCs w:val="20"/>
        </w:rPr>
        <w:t>13.7 质量评定</w:t>
      </w:r>
      <w:r>
        <w:tab/>
      </w:r>
      <w:r>
        <w:fldChar w:fldCharType="begin"/>
      </w:r>
      <w:r>
        <w:instrText xml:space="preserve"> PAGEREF _Toc29712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_Toc13605 </w:instrText>
      </w:r>
      <w:r>
        <w:rPr>
          <w:rFonts w:ascii="宋体" w:hAnsi="宋体"/>
          <w:bCs/>
          <w:caps/>
          <w:szCs w:val="21"/>
        </w:rPr>
        <w:fldChar w:fldCharType="separate"/>
      </w:r>
      <w:r>
        <w:rPr>
          <w:rFonts w:hint="eastAsia" w:eastAsia="黑体"/>
          <w:szCs w:val="20"/>
        </w:rPr>
        <w:t>13.8 质量事故处理</w:t>
      </w:r>
      <w:r>
        <w:tab/>
      </w:r>
      <w:r>
        <w:fldChar w:fldCharType="begin"/>
      </w:r>
      <w:r>
        <w:instrText xml:space="preserve"> PAGEREF _Toc13605 </w:instrText>
      </w:r>
      <w:r>
        <w:fldChar w:fldCharType="separate"/>
      </w:r>
      <w:r>
        <w:t>94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_Toc27049 </w:instrText>
      </w:r>
      <w:r>
        <w:rPr>
          <w:rFonts w:ascii="宋体" w:hAnsi="宋体"/>
          <w:bCs/>
          <w:caps/>
          <w:szCs w:val="21"/>
        </w:rPr>
        <w:fldChar w:fldCharType="separate"/>
      </w:r>
      <w:r>
        <w:t xml:space="preserve">14. </w:t>
      </w:r>
      <w:r>
        <w:rPr>
          <w:rFonts w:hint="eastAsia"/>
        </w:rPr>
        <w:t>试验和检验</w:t>
      </w:r>
      <w:r>
        <w:tab/>
      </w:r>
      <w:r>
        <w:fldChar w:fldCharType="begin"/>
      </w:r>
      <w:r>
        <w:instrText xml:space="preserve"> PAGEREF _Toc27049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_Toc5826 </w:instrText>
      </w:r>
      <w:r>
        <w:rPr>
          <w:rFonts w:ascii="宋体" w:hAnsi="宋体"/>
          <w:bCs/>
          <w:caps/>
          <w:szCs w:val="21"/>
        </w:rPr>
        <w:fldChar w:fldCharType="separate"/>
      </w:r>
      <w:r>
        <w:rPr>
          <w:rFonts w:hint="eastAsia" w:eastAsia="黑体"/>
          <w:szCs w:val="20"/>
        </w:rPr>
        <w:t>14.1 材料、工程设备和工程的试验和检验</w:t>
      </w:r>
      <w:r>
        <w:tab/>
      </w:r>
      <w:r>
        <w:fldChar w:fldCharType="begin"/>
      </w:r>
      <w:r>
        <w:instrText xml:space="preserve"> PAGEREF _Toc5826 </w:instrText>
      </w:r>
      <w:r>
        <w:fldChar w:fldCharType="separate"/>
      </w:r>
      <w:r>
        <w:t>94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_Toc22969 </w:instrText>
      </w:r>
      <w:r>
        <w:rPr>
          <w:rFonts w:ascii="宋体" w:hAnsi="宋体"/>
          <w:bCs/>
          <w:caps/>
          <w:szCs w:val="21"/>
        </w:rPr>
        <w:fldChar w:fldCharType="separate"/>
      </w:r>
      <w:r>
        <w:rPr>
          <w:rFonts w:hint="eastAsia"/>
        </w:rPr>
        <w:t>15. 变更</w:t>
      </w:r>
      <w:r>
        <w:tab/>
      </w:r>
      <w:r>
        <w:fldChar w:fldCharType="begin"/>
      </w:r>
      <w:r>
        <w:instrText xml:space="preserve"> PAGEREF _Toc22969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_Toc29568 </w:instrText>
      </w:r>
      <w:r>
        <w:rPr>
          <w:rFonts w:ascii="宋体" w:hAnsi="宋体"/>
          <w:bCs/>
          <w:caps/>
          <w:szCs w:val="21"/>
        </w:rPr>
        <w:fldChar w:fldCharType="separate"/>
      </w:r>
      <w:r>
        <w:rPr>
          <w:rFonts w:hint="eastAsia" w:eastAsia="黑体"/>
          <w:szCs w:val="20"/>
        </w:rPr>
        <w:t>15.1 变更的范围和内容</w:t>
      </w:r>
      <w:r>
        <w:tab/>
      </w:r>
      <w:r>
        <w:fldChar w:fldCharType="begin"/>
      </w:r>
      <w:r>
        <w:instrText xml:space="preserve"> PAGEREF _Toc29568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_Toc31192 </w:instrText>
      </w:r>
      <w:r>
        <w:rPr>
          <w:rFonts w:ascii="宋体" w:hAnsi="宋体"/>
          <w:bCs/>
          <w:caps/>
          <w:szCs w:val="21"/>
        </w:rPr>
        <w:fldChar w:fldCharType="separate"/>
      </w:r>
      <w:r>
        <w:rPr>
          <w:rFonts w:hint="eastAsia" w:eastAsia="黑体"/>
          <w:szCs w:val="20"/>
        </w:rPr>
        <w:t>15.5 承包人的合理化建议</w:t>
      </w:r>
      <w:r>
        <w:tab/>
      </w:r>
      <w:r>
        <w:fldChar w:fldCharType="begin"/>
      </w:r>
      <w:r>
        <w:instrText xml:space="preserve"> PAGEREF _Toc31192 </w:instrText>
      </w:r>
      <w:r>
        <w:fldChar w:fldCharType="separate"/>
      </w:r>
      <w:r>
        <w:t>94</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_Toc14518 </w:instrText>
      </w:r>
      <w:r>
        <w:rPr>
          <w:rFonts w:ascii="宋体" w:hAnsi="宋体"/>
          <w:bCs/>
          <w:caps/>
          <w:szCs w:val="21"/>
        </w:rPr>
        <w:fldChar w:fldCharType="separate"/>
      </w:r>
      <w:r>
        <w:rPr>
          <w:rFonts w:hint="eastAsia" w:eastAsia="黑体"/>
          <w:szCs w:val="20"/>
        </w:rPr>
        <w:t>15.8 暂估价</w:t>
      </w:r>
      <w:r>
        <w:tab/>
      </w:r>
      <w:r>
        <w:fldChar w:fldCharType="begin"/>
      </w:r>
      <w:r>
        <w:instrText xml:space="preserve"> PAGEREF _Toc14518 </w:instrText>
      </w:r>
      <w:r>
        <w:fldChar w:fldCharType="separate"/>
      </w:r>
      <w:r>
        <w:t>95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_Toc24476 </w:instrText>
      </w:r>
      <w:r>
        <w:rPr>
          <w:rFonts w:ascii="宋体" w:hAnsi="宋体"/>
          <w:bCs/>
          <w:caps/>
          <w:szCs w:val="21"/>
        </w:rPr>
        <w:fldChar w:fldCharType="separate"/>
      </w:r>
      <w:r>
        <w:rPr>
          <w:rFonts w:hint="eastAsia"/>
        </w:rPr>
        <w:t>16. 价格调整</w:t>
      </w:r>
      <w:r>
        <w:tab/>
      </w:r>
      <w:r>
        <w:fldChar w:fldCharType="begin"/>
      </w:r>
      <w:r>
        <w:instrText xml:space="preserve"> PAGEREF _Toc24476 </w:instrText>
      </w:r>
      <w:r>
        <w:fldChar w:fldCharType="separate"/>
      </w:r>
      <w:r>
        <w:t>95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_Toc29908 </w:instrText>
      </w:r>
      <w:r>
        <w:rPr>
          <w:rFonts w:ascii="宋体" w:hAnsi="宋体"/>
          <w:bCs/>
          <w:caps/>
          <w:szCs w:val="21"/>
        </w:rPr>
        <w:fldChar w:fldCharType="separate"/>
      </w:r>
      <w:r>
        <w:rPr>
          <w:rFonts w:hint="eastAsia" w:eastAsia="黑体"/>
          <w:szCs w:val="20"/>
        </w:rPr>
        <w:t>16.1 物价波动引起的价格调整</w:t>
      </w:r>
      <w:r>
        <w:tab/>
      </w:r>
      <w:r>
        <w:fldChar w:fldCharType="begin"/>
      </w:r>
      <w:r>
        <w:instrText xml:space="preserve"> PAGEREF _Toc29908 </w:instrText>
      </w:r>
      <w:r>
        <w:fldChar w:fldCharType="separate"/>
      </w:r>
      <w:r>
        <w:t>95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_Toc14882 </w:instrText>
      </w:r>
      <w:r>
        <w:rPr>
          <w:rFonts w:ascii="宋体" w:hAnsi="宋体"/>
          <w:bCs/>
          <w:caps/>
          <w:szCs w:val="21"/>
        </w:rPr>
        <w:fldChar w:fldCharType="separate"/>
      </w:r>
      <w:r>
        <w:rPr>
          <w:rFonts w:hint="eastAsia"/>
        </w:rPr>
        <w:t>17. 计量与支付</w:t>
      </w:r>
      <w:r>
        <w:tab/>
      </w:r>
      <w:r>
        <w:fldChar w:fldCharType="begin"/>
      </w:r>
      <w:r>
        <w:instrText xml:space="preserve"> PAGEREF _Toc14882 </w:instrText>
      </w:r>
      <w:r>
        <w:fldChar w:fldCharType="separate"/>
      </w:r>
      <w:r>
        <w:t>95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_Toc13129 </w:instrText>
      </w:r>
      <w:r>
        <w:rPr>
          <w:rFonts w:ascii="宋体" w:hAnsi="宋体"/>
          <w:bCs/>
          <w:caps/>
          <w:szCs w:val="21"/>
        </w:rPr>
        <w:fldChar w:fldCharType="separate"/>
      </w:r>
      <w:r>
        <w:rPr>
          <w:rFonts w:hint="eastAsia" w:eastAsia="黑体"/>
          <w:szCs w:val="20"/>
        </w:rPr>
        <w:t>17.2 预付款</w:t>
      </w:r>
      <w:r>
        <w:tab/>
      </w:r>
      <w:r>
        <w:fldChar w:fldCharType="begin"/>
      </w:r>
      <w:r>
        <w:instrText xml:space="preserve"> PAGEREF _Toc13129 </w:instrText>
      </w:r>
      <w:r>
        <w:fldChar w:fldCharType="separate"/>
      </w:r>
      <w:r>
        <w:t>95</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_Toc9425 </w:instrText>
      </w:r>
      <w:r>
        <w:rPr>
          <w:rFonts w:ascii="宋体" w:hAnsi="宋体"/>
          <w:bCs/>
          <w:caps/>
          <w:szCs w:val="21"/>
        </w:rPr>
        <w:fldChar w:fldCharType="separate"/>
      </w:r>
      <w:r>
        <w:rPr>
          <w:rFonts w:eastAsia="黑体"/>
          <w:szCs w:val="20"/>
        </w:rPr>
        <w:t>17</w:t>
      </w:r>
      <w:r>
        <w:rPr>
          <w:rFonts w:hint="eastAsia" w:eastAsia="黑体"/>
          <w:szCs w:val="20"/>
        </w:rPr>
        <w:t>.</w:t>
      </w:r>
      <w:r>
        <w:rPr>
          <w:rFonts w:eastAsia="黑体"/>
          <w:szCs w:val="20"/>
        </w:rPr>
        <w:t>4</w:t>
      </w:r>
      <w:r>
        <w:rPr>
          <w:rFonts w:hint="eastAsia" w:eastAsia="黑体"/>
          <w:szCs w:val="20"/>
        </w:rPr>
        <w:t xml:space="preserve"> 质量保证金</w:t>
      </w:r>
      <w:r>
        <w:tab/>
      </w:r>
      <w:r>
        <w:fldChar w:fldCharType="begin"/>
      </w:r>
      <w:r>
        <w:instrText xml:space="preserve"> PAGEREF _Toc9425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_Toc20651 </w:instrText>
      </w:r>
      <w:r>
        <w:rPr>
          <w:rFonts w:ascii="宋体" w:hAnsi="宋体"/>
          <w:bCs/>
          <w:caps/>
          <w:szCs w:val="21"/>
        </w:rPr>
        <w:fldChar w:fldCharType="separate"/>
      </w:r>
      <w:r>
        <w:rPr>
          <w:rFonts w:hint="eastAsia" w:eastAsia="黑体"/>
          <w:szCs w:val="20"/>
        </w:rPr>
        <w:t>17.5 竣工（完工）结算</w:t>
      </w:r>
      <w:r>
        <w:tab/>
      </w:r>
      <w:r>
        <w:fldChar w:fldCharType="begin"/>
      </w:r>
      <w:r>
        <w:instrText xml:space="preserve"> PAGEREF _Toc20651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_Toc17782 </w:instrText>
      </w:r>
      <w:r>
        <w:rPr>
          <w:rFonts w:ascii="宋体" w:hAnsi="宋体"/>
          <w:bCs/>
          <w:caps/>
          <w:szCs w:val="21"/>
        </w:rPr>
        <w:fldChar w:fldCharType="separate"/>
      </w:r>
      <w:r>
        <w:rPr>
          <w:rFonts w:hint="eastAsia" w:eastAsia="黑体"/>
          <w:szCs w:val="20"/>
        </w:rPr>
        <w:t>17.6 最终结清</w:t>
      </w:r>
      <w:r>
        <w:tab/>
      </w:r>
      <w:r>
        <w:fldChar w:fldCharType="begin"/>
      </w:r>
      <w:r>
        <w:instrText xml:space="preserve"> PAGEREF _Toc17782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_Toc20735 </w:instrText>
      </w:r>
      <w:r>
        <w:rPr>
          <w:rFonts w:ascii="宋体" w:hAnsi="宋体"/>
          <w:bCs/>
          <w:caps/>
          <w:szCs w:val="21"/>
        </w:rPr>
        <w:fldChar w:fldCharType="separate"/>
      </w:r>
      <w:r>
        <w:rPr>
          <w:rFonts w:hint="eastAsia" w:eastAsia="黑体"/>
          <w:szCs w:val="20"/>
        </w:rPr>
        <w:t>17.7 竣工财务决算</w:t>
      </w:r>
      <w:r>
        <w:tab/>
      </w:r>
      <w:r>
        <w:fldChar w:fldCharType="begin"/>
      </w:r>
      <w:r>
        <w:instrText xml:space="preserve"> PAGEREF _Toc20735 </w:instrText>
      </w:r>
      <w:r>
        <w:fldChar w:fldCharType="separate"/>
      </w:r>
      <w:r>
        <w:t>96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_Toc14300 </w:instrText>
      </w:r>
      <w:r>
        <w:rPr>
          <w:rFonts w:ascii="宋体" w:hAnsi="宋体"/>
          <w:bCs/>
          <w:caps/>
          <w:szCs w:val="21"/>
        </w:rPr>
        <w:fldChar w:fldCharType="separate"/>
      </w:r>
      <w:r>
        <w:rPr>
          <w:rFonts w:hint="eastAsia"/>
        </w:rPr>
        <w:t>18. 竣工验收（验收）</w:t>
      </w:r>
      <w:r>
        <w:tab/>
      </w:r>
      <w:r>
        <w:fldChar w:fldCharType="begin"/>
      </w:r>
      <w:r>
        <w:instrText xml:space="preserve"> PAGEREF _Toc14300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_Toc20813 </w:instrText>
      </w:r>
      <w:r>
        <w:rPr>
          <w:rFonts w:ascii="宋体" w:hAnsi="宋体"/>
          <w:bCs/>
          <w:caps/>
          <w:szCs w:val="21"/>
        </w:rPr>
        <w:fldChar w:fldCharType="separate"/>
      </w:r>
      <w:r>
        <w:rPr>
          <w:rFonts w:hint="eastAsia" w:eastAsia="黑体"/>
          <w:szCs w:val="20"/>
        </w:rPr>
        <w:t>18.1 验收工作分类</w:t>
      </w:r>
      <w:r>
        <w:tab/>
      </w:r>
      <w:r>
        <w:fldChar w:fldCharType="begin"/>
      </w:r>
      <w:r>
        <w:instrText xml:space="preserve"> PAGEREF _Toc20813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_Toc7057 </w:instrText>
      </w:r>
      <w:r>
        <w:rPr>
          <w:rFonts w:ascii="宋体" w:hAnsi="宋体"/>
          <w:bCs/>
          <w:caps/>
          <w:szCs w:val="21"/>
        </w:rPr>
        <w:fldChar w:fldCharType="separate"/>
      </w:r>
      <w:r>
        <w:rPr>
          <w:rFonts w:hint="eastAsia" w:eastAsia="黑体"/>
          <w:szCs w:val="20"/>
        </w:rPr>
        <w:t>18.2 分部工程验收</w:t>
      </w:r>
      <w:r>
        <w:tab/>
      </w:r>
      <w:r>
        <w:fldChar w:fldCharType="begin"/>
      </w:r>
      <w:r>
        <w:instrText xml:space="preserve"> PAGEREF _Toc7057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_Toc14064 </w:instrText>
      </w:r>
      <w:r>
        <w:rPr>
          <w:rFonts w:ascii="宋体" w:hAnsi="宋体"/>
          <w:bCs/>
          <w:caps/>
          <w:szCs w:val="21"/>
        </w:rPr>
        <w:fldChar w:fldCharType="separate"/>
      </w:r>
      <w:r>
        <w:rPr>
          <w:rFonts w:hint="eastAsia" w:eastAsia="黑体"/>
          <w:szCs w:val="20"/>
        </w:rPr>
        <w:t>18.3 单位工程验收</w:t>
      </w:r>
      <w:r>
        <w:tab/>
      </w:r>
      <w:r>
        <w:fldChar w:fldCharType="begin"/>
      </w:r>
      <w:r>
        <w:instrText xml:space="preserve"> PAGEREF _Toc14064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_Toc31871 </w:instrText>
      </w:r>
      <w:r>
        <w:rPr>
          <w:rFonts w:ascii="宋体" w:hAnsi="宋体"/>
          <w:bCs/>
          <w:caps/>
          <w:szCs w:val="21"/>
        </w:rPr>
        <w:fldChar w:fldCharType="separate"/>
      </w:r>
      <w:r>
        <w:rPr>
          <w:rFonts w:hint="eastAsia" w:eastAsia="黑体"/>
          <w:szCs w:val="20"/>
        </w:rPr>
        <w:t>18.5 阶段验收</w:t>
      </w:r>
      <w:r>
        <w:tab/>
      </w:r>
      <w:r>
        <w:fldChar w:fldCharType="begin"/>
      </w:r>
      <w:r>
        <w:instrText xml:space="preserve"> PAGEREF _Toc31871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_Toc4670 </w:instrText>
      </w:r>
      <w:r>
        <w:rPr>
          <w:rFonts w:ascii="宋体" w:hAnsi="宋体"/>
          <w:bCs/>
          <w:caps/>
          <w:szCs w:val="21"/>
        </w:rPr>
        <w:fldChar w:fldCharType="separate"/>
      </w:r>
      <w:r>
        <w:rPr>
          <w:rFonts w:hint="eastAsia" w:eastAsia="黑体"/>
          <w:szCs w:val="20"/>
        </w:rPr>
        <w:t>18.6 专项验收</w:t>
      </w:r>
      <w:r>
        <w:tab/>
      </w:r>
      <w:r>
        <w:fldChar w:fldCharType="begin"/>
      </w:r>
      <w:r>
        <w:instrText xml:space="preserve"> PAGEREF _Toc4670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_Toc21874 </w:instrText>
      </w:r>
      <w:r>
        <w:rPr>
          <w:rFonts w:ascii="宋体" w:hAnsi="宋体"/>
          <w:bCs/>
          <w:caps/>
          <w:szCs w:val="21"/>
        </w:rPr>
        <w:fldChar w:fldCharType="separate"/>
      </w:r>
      <w:r>
        <w:rPr>
          <w:rFonts w:hint="eastAsia" w:eastAsia="黑体"/>
          <w:szCs w:val="20"/>
        </w:rPr>
        <w:t>18.7 竣工验收</w:t>
      </w:r>
      <w:r>
        <w:tab/>
      </w:r>
      <w:r>
        <w:fldChar w:fldCharType="begin"/>
      </w:r>
      <w:r>
        <w:instrText xml:space="preserve"> PAGEREF _Toc21874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_Toc6001 </w:instrText>
      </w:r>
      <w:r>
        <w:rPr>
          <w:rFonts w:ascii="宋体" w:hAnsi="宋体"/>
          <w:bCs/>
          <w:caps/>
          <w:szCs w:val="21"/>
        </w:rPr>
        <w:fldChar w:fldCharType="separate"/>
      </w:r>
      <w:r>
        <w:rPr>
          <w:rFonts w:hint="eastAsia" w:eastAsia="黑体"/>
          <w:szCs w:val="20"/>
        </w:rPr>
        <w:t>18.8 施工期运行</w:t>
      </w:r>
      <w:r>
        <w:tab/>
      </w:r>
      <w:r>
        <w:fldChar w:fldCharType="begin"/>
      </w:r>
      <w:r>
        <w:instrText xml:space="preserve"> PAGEREF _Toc6001 </w:instrText>
      </w:r>
      <w:r>
        <w:fldChar w:fldCharType="separate"/>
      </w:r>
      <w:r>
        <w:t>96</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_Toc9170 </w:instrText>
      </w:r>
      <w:r>
        <w:rPr>
          <w:rFonts w:ascii="宋体" w:hAnsi="宋体"/>
          <w:bCs/>
          <w:caps/>
          <w:szCs w:val="21"/>
        </w:rPr>
        <w:fldChar w:fldCharType="separate"/>
      </w:r>
      <w:r>
        <w:rPr>
          <w:rFonts w:hint="eastAsia" w:eastAsia="黑体"/>
          <w:szCs w:val="20"/>
        </w:rPr>
        <w:t>18.9 试运行</w:t>
      </w:r>
      <w:r>
        <w:tab/>
      </w:r>
      <w:r>
        <w:fldChar w:fldCharType="begin"/>
      </w:r>
      <w:r>
        <w:instrText xml:space="preserve"> PAGEREF _Toc9170 </w:instrText>
      </w:r>
      <w:r>
        <w:fldChar w:fldCharType="separate"/>
      </w:r>
      <w:r>
        <w:t>97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_Toc26631 </w:instrText>
      </w:r>
      <w:r>
        <w:rPr>
          <w:rFonts w:ascii="宋体" w:hAnsi="宋体"/>
          <w:bCs/>
          <w:caps/>
          <w:szCs w:val="21"/>
        </w:rPr>
        <w:fldChar w:fldCharType="separate"/>
      </w:r>
      <w:r>
        <w:rPr>
          <w:rFonts w:hint="eastAsia"/>
        </w:rPr>
        <w:t>19. 缺陷责任与保修责任</w:t>
      </w:r>
      <w:r>
        <w:tab/>
      </w:r>
      <w:r>
        <w:fldChar w:fldCharType="begin"/>
      </w:r>
      <w:r>
        <w:instrText xml:space="preserve"> PAGEREF _Toc26631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_Toc32270 </w:instrText>
      </w:r>
      <w:r>
        <w:rPr>
          <w:rFonts w:ascii="宋体" w:hAnsi="宋体"/>
          <w:bCs/>
          <w:caps/>
          <w:szCs w:val="21"/>
        </w:rPr>
        <w:fldChar w:fldCharType="separate"/>
      </w:r>
      <w:r>
        <w:rPr>
          <w:rFonts w:hint="eastAsia" w:eastAsia="黑体"/>
          <w:szCs w:val="20"/>
        </w:rPr>
        <w:t>19.1 缺陷责任期（工程质量保修期）的起算时间</w:t>
      </w:r>
      <w:r>
        <w:tab/>
      </w:r>
      <w:r>
        <w:fldChar w:fldCharType="begin"/>
      </w:r>
      <w:r>
        <w:instrText xml:space="preserve"> PAGEREF _Toc32270 </w:instrText>
      </w:r>
      <w:r>
        <w:fldChar w:fldCharType="separate"/>
      </w:r>
      <w:r>
        <w:t>97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_Toc30704 </w:instrText>
      </w:r>
      <w:r>
        <w:rPr>
          <w:rFonts w:ascii="宋体" w:hAnsi="宋体"/>
          <w:bCs/>
          <w:caps/>
          <w:szCs w:val="21"/>
        </w:rPr>
        <w:fldChar w:fldCharType="separate"/>
      </w:r>
      <w:r>
        <w:rPr>
          <w:rFonts w:hint="eastAsia"/>
        </w:rPr>
        <w:t>20. 保险</w:t>
      </w:r>
      <w:r>
        <w:tab/>
      </w:r>
      <w:r>
        <w:fldChar w:fldCharType="begin"/>
      </w:r>
      <w:r>
        <w:instrText xml:space="preserve"> PAGEREF _Toc30704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_Toc27285 </w:instrText>
      </w:r>
      <w:r>
        <w:rPr>
          <w:rFonts w:ascii="宋体" w:hAnsi="宋体"/>
          <w:bCs/>
          <w:caps/>
          <w:szCs w:val="21"/>
        </w:rPr>
        <w:fldChar w:fldCharType="separate"/>
      </w:r>
      <w:r>
        <w:rPr>
          <w:rFonts w:hint="eastAsia" w:eastAsia="黑体"/>
          <w:szCs w:val="20"/>
        </w:rPr>
        <w:t>20.1 工程保险</w:t>
      </w:r>
      <w:r>
        <w:tab/>
      </w:r>
      <w:r>
        <w:fldChar w:fldCharType="begin"/>
      </w:r>
      <w:r>
        <w:instrText xml:space="preserve"> PAGEREF _Toc27285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_Toc30009 </w:instrText>
      </w:r>
      <w:r>
        <w:rPr>
          <w:rFonts w:ascii="宋体" w:hAnsi="宋体"/>
          <w:bCs/>
          <w:caps/>
          <w:szCs w:val="21"/>
        </w:rPr>
        <w:fldChar w:fldCharType="separate"/>
      </w:r>
      <w:r>
        <w:rPr>
          <w:rFonts w:hint="eastAsia" w:eastAsia="黑体"/>
          <w:szCs w:val="20"/>
        </w:rPr>
        <w:t>20.6 对各项保险的一般要求</w:t>
      </w:r>
      <w:r>
        <w:tab/>
      </w:r>
      <w:r>
        <w:fldChar w:fldCharType="begin"/>
      </w:r>
      <w:r>
        <w:instrText xml:space="preserve"> PAGEREF _Toc30009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_Toc25414 </w:instrText>
      </w:r>
      <w:r>
        <w:rPr>
          <w:rFonts w:ascii="宋体" w:hAnsi="宋体"/>
          <w:bCs/>
          <w:caps/>
          <w:szCs w:val="21"/>
        </w:rPr>
        <w:fldChar w:fldCharType="separate"/>
      </w:r>
      <w:r>
        <w:rPr>
          <w:rFonts w:hint="eastAsia" w:eastAsia="黑体"/>
          <w:szCs w:val="20"/>
        </w:rPr>
        <w:t>20.4 第三者责任险</w:t>
      </w:r>
      <w:r>
        <w:tab/>
      </w:r>
      <w:r>
        <w:fldChar w:fldCharType="begin"/>
      </w:r>
      <w:r>
        <w:instrText xml:space="preserve"> PAGEREF _Toc25414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_Toc3616 </w:instrText>
      </w:r>
      <w:r>
        <w:rPr>
          <w:rFonts w:ascii="宋体" w:hAnsi="宋体"/>
          <w:bCs/>
          <w:caps/>
          <w:szCs w:val="21"/>
        </w:rPr>
        <w:fldChar w:fldCharType="separate"/>
      </w:r>
      <w:r>
        <w:rPr>
          <w:rFonts w:hint="eastAsia" w:eastAsia="黑体"/>
          <w:szCs w:val="20"/>
        </w:rPr>
        <w:t>20.5 其他保险</w:t>
      </w:r>
      <w:r>
        <w:tab/>
      </w:r>
      <w:r>
        <w:fldChar w:fldCharType="begin"/>
      </w:r>
      <w:r>
        <w:instrText xml:space="preserve"> PAGEREF _Toc3616 </w:instrText>
      </w:r>
      <w:r>
        <w:fldChar w:fldCharType="separate"/>
      </w:r>
      <w:r>
        <w:t>97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_Toc4548 </w:instrText>
      </w:r>
      <w:r>
        <w:rPr>
          <w:rFonts w:ascii="宋体" w:hAnsi="宋体"/>
          <w:bCs/>
          <w:caps/>
          <w:szCs w:val="21"/>
        </w:rPr>
        <w:fldChar w:fldCharType="separate"/>
      </w:r>
      <w:r>
        <w:t>2</w:t>
      </w:r>
      <w:r>
        <w:rPr>
          <w:rFonts w:hint="eastAsia"/>
        </w:rPr>
        <w:t>4. 争议的解决</w:t>
      </w:r>
      <w:r>
        <w:tab/>
      </w:r>
      <w:r>
        <w:fldChar w:fldCharType="begin"/>
      </w:r>
      <w:r>
        <w:instrText xml:space="preserve"> PAGEREF _Toc4548 </w:instrText>
      </w:r>
      <w:r>
        <w:fldChar w:fldCharType="separate"/>
      </w:r>
      <w:r>
        <w:t>97</w:t>
      </w:r>
      <w:r>
        <w:fldChar w:fldCharType="end"/>
      </w:r>
      <w:r>
        <w:rPr>
          <w:rFonts w:ascii="宋体" w:hAnsi="宋体"/>
          <w:bCs/>
          <w:caps/>
          <w:color w:val="auto"/>
          <w:szCs w:val="21"/>
        </w:rPr>
        <w:fldChar w:fldCharType="end"/>
      </w:r>
    </w:p>
    <w:p>
      <w:pPr>
        <w:pStyle w:val="27"/>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_Toc4272 </w:instrText>
      </w:r>
      <w:r>
        <w:rPr>
          <w:rFonts w:ascii="宋体" w:hAnsi="宋体"/>
          <w:bCs/>
          <w:caps/>
          <w:szCs w:val="21"/>
        </w:rPr>
        <w:fldChar w:fldCharType="separate"/>
      </w:r>
      <w:r>
        <w:rPr>
          <w:rFonts w:hint="eastAsia" w:eastAsia="黑体"/>
          <w:szCs w:val="20"/>
        </w:rPr>
        <w:t>24.1 争议的解决方式</w:t>
      </w:r>
      <w:r>
        <w:tab/>
      </w:r>
      <w:r>
        <w:fldChar w:fldCharType="begin"/>
      </w:r>
      <w:r>
        <w:instrText xml:space="preserve"> PAGEREF _Toc4272 </w:instrText>
      </w:r>
      <w:r>
        <w:fldChar w:fldCharType="separate"/>
      </w:r>
      <w:r>
        <w:t>97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_Toc29462 </w:instrText>
      </w:r>
      <w:r>
        <w:rPr>
          <w:rFonts w:ascii="宋体" w:hAnsi="宋体"/>
          <w:bCs/>
          <w:caps/>
          <w:szCs w:val="21"/>
        </w:rPr>
        <w:fldChar w:fldCharType="separate"/>
      </w:r>
      <w:r>
        <w:rPr>
          <w:rFonts w:hint="eastAsia"/>
        </w:rPr>
        <w:t>第3节 合同附件格式</w:t>
      </w:r>
      <w:r>
        <w:tab/>
      </w:r>
      <w:r>
        <w:fldChar w:fldCharType="begin"/>
      </w:r>
      <w:r>
        <w:instrText xml:space="preserve"> PAGEREF _Toc29462 </w:instrText>
      </w:r>
      <w:r>
        <w:fldChar w:fldCharType="separate"/>
      </w:r>
      <w:r>
        <w:t>98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_Toc30807 </w:instrText>
      </w:r>
      <w:r>
        <w:rPr>
          <w:rFonts w:ascii="宋体" w:hAnsi="宋体"/>
          <w:bCs/>
          <w:caps/>
          <w:szCs w:val="21"/>
        </w:rPr>
        <w:fldChar w:fldCharType="separate"/>
      </w:r>
      <w:r>
        <w:rPr>
          <w:rFonts w:hint="eastAsia"/>
        </w:rPr>
        <w:t>附件一：合同协议书</w:t>
      </w:r>
      <w:r>
        <w:tab/>
      </w:r>
      <w:r>
        <w:fldChar w:fldCharType="begin"/>
      </w:r>
      <w:r>
        <w:instrText xml:space="preserve"> PAGEREF _Toc30807 </w:instrText>
      </w:r>
      <w:r>
        <w:fldChar w:fldCharType="separate"/>
      </w:r>
      <w:r>
        <w:t>98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_Toc17772 </w:instrText>
      </w:r>
      <w:r>
        <w:rPr>
          <w:rFonts w:ascii="宋体" w:hAnsi="宋体"/>
          <w:bCs/>
          <w:caps/>
          <w:szCs w:val="21"/>
        </w:rPr>
        <w:fldChar w:fldCharType="separate"/>
      </w:r>
      <w:r>
        <w:rPr>
          <w:rFonts w:hint="eastAsia"/>
        </w:rPr>
        <w:t>附件二：履约担保</w:t>
      </w:r>
      <w:r>
        <w:tab/>
      </w:r>
      <w:r>
        <w:fldChar w:fldCharType="begin"/>
      </w:r>
      <w:r>
        <w:instrText xml:space="preserve"> PAGEREF _Toc17772 </w:instrText>
      </w:r>
      <w:r>
        <w:fldChar w:fldCharType="separate"/>
      </w:r>
      <w:r>
        <w:t>99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_Toc24853 </w:instrText>
      </w:r>
      <w:r>
        <w:rPr>
          <w:rFonts w:ascii="宋体" w:hAnsi="宋体"/>
          <w:bCs/>
          <w:caps/>
          <w:szCs w:val="21"/>
        </w:rPr>
        <w:fldChar w:fldCharType="separate"/>
      </w:r>
      <w:r>
        <w:rPr>
          <w:rFonts w:hint="eastAsia"/>
        </w:rPr>
        <w:t>附件三：</w:t>
      </w:r>
      <w:r>
        <w:t>预付款</w:t>
      </w:r>
      <w:r>
        <w:rPr>
          <w:rFonts w:hint="eastAsia"/>
        </w:rPr>
        <w:t>担</w:t>
      </w:r>
      <w:r>
        <w:t>保函</w:t>
      </w:r>
      <w:r>
        <w:tab/>
      </w:r>
      <w:r>
        <w:fldChar w:fldCharType="begin"/>
      </w:r>
      <w:r>
        <w:instrText xml:space="preserve"> PAGEREF _Toc24853 </w:instrText>
      </w:r>
      <w:r>
        <w:fldChar w:fldCharType="separate"/>
      </w:r>
      <w:r>
        <w:t>100</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_Toc30991 </w:instrText>
      </w:r>
      <w:r>
        <w:rPr>
          <w:rFonts w:ascii="宋体" w:hAnsi="宋体"/>
          <w:bCs w:val="0"/>
          <w:caps w:val="0"/>
          <w:szCs w:val="21"/>
        </w:rPr>
        <w:fldChar w:fldCharType="separate"/>
      </w:r>
      <w:r>
        <w:rPr>
          <w:rFonts w:hint="eastAsia" w:ascii="黑体" w:hAnsi="黑体" w:eastAsia="黑体"/>
          <w:bCs/>
        </w:rPr>
        <w:t>第五章  工程量清单</w:t>
      </w:r>
      <w:r>
        <w:tab/>
      </w:r>
      <w:r>
        <w:fldChar w:fldCharType="begin"/>
      </w:r>
      <w:r>
        <w:instrText xml:space="preserve"> PAGEREF _Toc30991 </w:instrText>
      </w:r>
      <w:r>
        <w:fldChar w:fldCharType="separate"/>
      </w:r>
      <w:r>
        <w:t>101</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_Toc21812 </w:instrText>
      </w:r>
      <w:r>
        <w:rPr>
          <w:rFonts w:ascii="宋体" w:hAnsi="宋体"/>
          <w:bCs/>
          <w:caps/>
          <w:szCs w:val="21"/>
        </w:rPr>
        <w:fldChar w:fldCharType="separate"/>
      </w:r>
      <w:r>
        <w:rPr>
          <w:rFonts w:hint="eastAsia"/>
        </w:rPr>
        <w:t>1. 工程量清单说明</w:t>
      </w:r>
      <w:r>
        <w:tab/>
      </w:r>
      <w:r>
        <w:fldChar w:fldCharType="begin"/>
      </w:r>
      <w:r>
        <w:instrText xml:space="preserve"> PAGEREF _Toc21812 </w:instrText>
      </w:r>
      <w:r>
        <w:fldChar w:fldCharType="separate"/>
      </w:r>
      <w:r>
        <w:t>101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_Toc26046 </w:instrText>
      </w:r>
      <w:r>
        <w:rPr>
          <w:rFonts w:ascii="宋体" w:hAnsi="宋体"/>
          <w:bCs/>
          <w:caps/>
          <w:szCs w:val="21"/>
        </w:rPr>
        <w:fldChar w:fldCharType="separate"/>
      </w:r>
      <w:r>
        <w:rPr>
          <w:rFonts w:hint="eastAsia"/>
        </w:rPr>
        <w:t>2. 投标报价说明</w:t>
      </w:r>
      <w:r>
        <w:tab/>
      </w:r>
      <w:r>
        <w:fldChar w:fldCharType="begin"/>
      </w:r>
      <w:r>
        <w:instrText xml:space="preserve"> PAGEREF _Toc26046 </w:instrText>
      </w:r>
      <w:r>
        <w:fldChar w:fldCharType="separate"/>
      </w:r>
      <w:r>
        <w:t>101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_Toc20902 </w:instrText>
      </w:r>
      <w:r>
        <w:rPr>
          <w:rFonts w:ascii="宋体" w:hAnsi="宋体"/>
          <w:bCs/>
          <w:caps/>
          <w:szCs w:val="21"/>
        </w:rPr>
        <w:fldChar w:fldCharType="separate"/>
      </w:r>
      <w:r>
        <w:rPr>
          <w:rFonts w:hint="eastAsia"/>
        </w:rPr>
        <w:t>2.1 工程量清单报价表组成</w:t>
      </w:r>
      <w:r>
        <w:tab/>
      </w:r>
      <w:r>
        <w:fldChar w:fldCharType="begin"/>
      </w:r>
      <w:r>
        <w:instrText xml:space="preserve"> PAGEREF _Toc20902 </w:instrText>
      </w:r>
      <w:r>
        <w:fldChar w:fldCharType="separate"/>
      </w:r>
      <w:r>
        <w:t>101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_Toc20487 </w:instrText>
      </w:r>
      <w:r>
        <w:rPr>
          <w:rFonts w:ascii="宋体" w:hAnsi="宋体"/>
          <w:bCs/>
          <w:caps/>
          <w:szCs w:val="21"/>
        </w:rPr>
        <w:fldChar w:fldCharType="separate"/>
      </w:r>
      <w:r>
        <w:rPr>
          <w:rFonts w:hint="eastAsia"/>
        </w:rPr>
        <w:t>2.2 工程量清单报价表填写规定</w:t>
      </w:r>
      <w:r>
        <w:tab/>
      </w:r>
      <w:r>
        <w:fldChar w:fldCharType="begin"/>
      </w:r>
      <w:r>
        <w:instrText xml:space="preserve"> PAGEREF _Toc20487 </w:instrText>
      </w:r>
      <w:r>
        <w:fldChar w:fldCharType="separate"/>
      </w:r>
      <w:r>
        <w:t>102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_Toc32388 </w:instrText>
      </w:r>
      <w:r>
        <w:rPr>
          <w:rFonts w:ascii="宋体" w:hAnsi="宋体"/>
          <w:bCs/>
          <w:caps/>
          <w:szCs w:val="21"/>
        </w:rPr>
        <w:fldChar w:fldCharType="separate"/>
      </w:r>
      <w:r>
        <w:rPr>
          <w:rFonts w:hint="eastAsia"/>
        </w:rPr>
        <w:t>3. 投标报价</w:t>
      </w:r>
      <w:r>
        <w:tab/>
      </w:r>
      <w:r>
        <w:fldChar w:fldCharType="begin"/>
      </w:r>
      <w:r>
        <w:instrText xml:space="preserve"> PAGEREF _Toc32388 </w:instrText>
      </w:r>
      <w:r>
        <w:fldChar w:fldCharType="separate"/>
      </w:r>
      <w:r>
        <w:t>104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_Toc26209 </w:instrText>
      </w:r>
      <w:r>
        <w:rPr>
          <w:rFonts w:ascii="宋体" w:hAnsi="宋体"/>
          <w:bCs/>
          <w:caps/>
          <w:szCs w:val="21"/>
        </w:rPr>
        <w:fldChar w:fldCharType="separate"/>
      </w:r>
      <w:r>
        <w:rPr>
          <w:rFonts w:hint="eastAsia" w:ascii="宋体" w:hAnsi="宋体"/>
          <w:szCs w:val="28"/>
        </w:rPr>
        <w:t>3.1 投标总价</w:t>
      </w:r>
      <w:r>
        <w:tab/>
      </w:r>
      <w:r>
        <w:fldChar w:fldCharType="begin"/>
      </w:r>
      <w:r>
        <w:instrText xml:space="preserve"> PAGEREF _Toc26209 </w:instrText>
      </w:r>
      <w:r>
        <w:fldChar w:fldCharType="separate"/>
      </w:r>
      <w:r>
        <w:t>104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_Toc17466 </w:instrText>
      </w:r>
      <w:r>
        <w:rPr>
          <w:rFonts w:ascii="宋体" w:hAnsi="宋体"/>
          <w:bCs/>
          <w:caps/>
          <w:szCs w:val="21"/>
        </w:rPr>
        <w:fldChar w:fldCharType="separate"/>
      </w:r>
      <w:r>
        <w:rPr>
          <w:rFonts w:hint="eastAsia" w:ascii="宋体" w:hAnsi="宋体"/>
          <w:szCs w:val="28"/>
        </w:rPr>
        <w:t>3.2 工程项目总价表</w:t>
      </w:r>
      <w:r>
        <w:tab/>
      </w:r>
      <w:r>
        <w:fldChar w:fldCharType="begin"/>
      </w:r>
      <w:r>
        <w:instrText xml:space="preserve"> PAGEREF _Toc17466 </w:instrText>
      </w:r>
      <w:r>
        <w:fldChar w:fldCharType="separate"/>
      </w:r>
      <w:r>
        <w:t>105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_Toc23567 </w:instrText>
      </w:r>
      <w:r>
        <w:rPr>
          <w:rFonts w:ascii="宋体" w:hAnsi="宋体"/>
          <w:bCs/>
          <w:caps/>
          <w:szCs w:val="21"/>
        </w:rPr>
        <w:fldChar w:fldCharType="separate"/>
      </w:r>
      <w:r>
        <w:rPr>
          <w:rFonts w:hint="eastAsia" w:ascii="宋体" w:hAnsi="宋体"/>
          <w:szCs w:val="28"/>
        </w:rPr>
        <w:t>3.3 分类分项工程量清单计价表</w:t>
      </w:r>
      <w:r>
        <w:tab/>
      </w:r>
      <w:r>
        <w:fldChar w:fldCharType="begin"/>
      </w:r>
      <w:r>
        <w:instrText xml:space="preserve"> PAGEREF _Toc23567 </w:instrText>
      </w:r>
      <w:r>
        <w:fldChar w:fldCharType="separate"/>
      </w:r>
      <w:r>
        <w:t>106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_Toc27494 </w:instrText>
      </w:r>
      <w:r>
        <w:rPr>
          <w:rFonts w:ascii="宋体" w:hAnsi="宋体"/>
          <w:bCs/>
          <w:caps/>
          <w:szCs w:val="21"/>
        </w:rPr>
        <w:fldChar w:fldCharType="separate"/>
      </w:r>
      <w:r>
        <w:rPr>
          <w:rFonts w:hint="eastAsia" w:ascii="宋体" w:hAnsi="宋体"/>
          <w:szCs w:val="28"/>
        </w:rPr>
        <w:t>3.4 措施项目清单计价表</w:t>
      </w:r>
      <w:r>
        <w:tab/>
      </w:r>
      <w:r>
        <w:fldChar w:fldCharType="begin"/>
      </w:r>
      <w:r>
        <w:instrText xml:space="preserve"> PAGEREF _Toc27494 </w:instrText>
      </w:r>
      <w:r>
        <w:fldChar w:fldCharType="separate"/>
      </w:r>
      <w:r>
        <w:t>107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_Toc14349 </w:instrText>
      </w:r>
      <w:r>
        <w:rPr>
          <w:rFonts w:ascii="宋体" w:hAnsi="宋体"/>
          <w:bCs/>
          <w:caps/>
          <w:szCs w:val="21"/>
        </w:rPr>
        <w:fldChar w:fldCharType="separate"/>
      </w:r>
      <w:r>
        <w:rPr>
          <w:rFonts w:hint="eastAsia" w:ascii="宋体" w:hAnsi="宋体"/>
          <w:szCs w:val="28"/>
        </w:rPr>
        <w:t>3.5 其他项目清单计价表</w:t>
      </w:r>
      <w:r>
        <w:tab/>
      </w:r>
      <w:r>
        <w:fldChar w:fldCharType="begin"/>
      </w:r>
      <w:r>
        <w:instrText xml:space="preserve"> PAGEREF _Toc14349 </w:instrText>
      </w:r>
      <w:r>
        <w:fldChar w:fldCharType="separate"/>
      </w:r>
      <w:r>
        <w:t>108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_Toc9343 </w:instrText>
      </w:r>
      <w:r>
        <w:rPr>
          <w:rFonts w:ascii="宋体" w:hAnsi="宋体"/>
          <w:bCs/>
          <w:caps/>
          <w:szCs w:val="21"/>
        </w:rPr>
        <w:fldChar w:fldCharType="separate"/>
      </w:r>
      <w:r>
        <w:rPr>
          <w:rFonts w:hint="eastAsia" w:ascii="宋体" w:hAnsi="宋体"/>
          <w:szCs w:val="28"/>
        </w:rPr>
        <w:t>3.6 计日工项目计价表</w:t>
      </w:r>
      <w:r>
        <w:tab/>
      </w:r>
      <w:r>
        <w:fldChar w:fldCharType="begin"/>
      </w:r>
      <w:r>
        <w:instrText xml:space="preserve"> PAGEREF _Toc9343 </w:instrText>
      </w:r>
      <w:r>
        <w:fldChar w:fldCharType="separate"/>
      </w:r>
      <w:r>
        <w:t>109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_Toc24741 </w:instrText>
      </w:r>
      <w:r>
        <w:rPr>
          <w:rFonts w:ascii="宋体" w:hAnsi="宋体"/>
          <w:bCs/>
          <w:caps/>
          <w:szCs w:val="21"/>
        </w:rPr>
        <w:fldChar w:fldCharType="separate"/>
      </w:r>
      <w:r>
        <w:rPr>
          <w:rFonts w:hint="eastAsia" w:ascii="宋体" w:hAnsi="宋体"/>
          <w:szCs w:val="28"/>
        </w:rPr>
        <w:t>3.7 工程单价汇总表</w:t>
      </w:r>
      <w:r>
        <w:tab/>
      </w:r>
      <w:r>
        <w:fldChar w:fldCharType="begin"/>
      </w:r>
      <w:r>
        <w:instrText xml:space="preserve"> PAGEREF _Toc24741 </w:instrText>
      </w:r>
      <w:r>
        <w:fldChar w:fldCharType="separate"/>
      </w:r>
      <w:r>
        <w:t>110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_Toc32174 </w:instrText>
      </w:r>
      <w:r>
        <w:rPr>
          <w:rFonts w:ascii="宋体" w:hAnsi="宋体"/>
          <w:bCs/>
          <w:caps/>
          <w:szCs w:val="21"/>
        </w:rPr>
        <w:fldChar w:fldCharType="separate"/>
      </w:r>
      <w:r>
        <w:rPr>
          <w:rFonts w:hint="eastAsia" w:ascii="宋体" w:hAnsi="宋体"/>
          <w:szCs w:val="28"/>
        </w:rPr>
        <w:t>3.8 工程单价费(税)率汇总表</w:t>
      </w:r>
      <w:r>
        <w:tab/>
      </w:r>
      <w:r>
        <w:fldChar w:fldCharType="begin"/>
      </w:r>
      <w:r>
        <w:instrText xml:space="preserve"> PAGEREF _Toc32174 </w:instrText>
      </w:r>
      <w:r>
        <w:fldChar w:fldCharType="separate"/>
      </w:r>
      <w:r>
        <w:t>111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_Toc16519 </w:instrText>
      </w:r>
      <w:r>
        <w:rPr>
          <w:rFonts w:ascii="宋体" w:hAnsi="宋体"/>
          <w:bCs/>
          <w:caps/>
          <w:szCs w:val="21"/>
        </w:rPr>
        <w:fldChar w:fldCharType="separate"/>
      </w:r>
      <w:r>
        <w:rPr>
          <w:rFonts w:hint="eastAsia" w:ascii="宋体" w:hAnsi="宋体"/>
          <w:szCs w:val="28"/>
        </w:rPr>
        <w:t>3.9 投标人生产电、风、水、砂石基础单价汇总表</w:t>
      </w:r>
      <w:r>
        <w:tab/>
      </w:r>
      <w:r>
        <w:fldChar w:fldCharType="begin"/>
      </w:r>
      <w:r>
        <w:instrText xml:space="preserve"> PAGEREF _Toc16519 </w:instrText>
      </w:r>
      <w:r>
        <w:fldChar w:fldCharType="separate"/>
      </w:r>
      <w:r>
        <w:t>112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_Toc1835 </w:instrText>
      </w:r>
      <w:r>
        <w:rPr>
          <w:rFonts w:ascii="宋体" w:hAnsi="宋体"/>
          <w:bCs/>
          <w:caps/>
          <w:szCs w:val="21"/>
        </w:rPr>
        <w:fldChar w:fldCharType="separate"/>
      </w:r>
      <w:r>
        <w:rPr>
          <w:rFonts w:hint="eastAsia" w:ascii="宋体" w:hAnsi="宋体"/>
          <w:szCs w:val="28"/>
        </w:rPr>
        <w:t>3.10 投标人生产混凝土配合比材料费表</w:t>
      </w:r>
      <w:r>
        <w:tab/>
      </w:r>
      <w:r>
        <w:fldChar w:fldCharType="begin"/>
      </w:r>
      <w:r>
        <w:instrText xml:space="preserve"> PAGEREF _Toc1835 </w:instrText>
      </w:r>
      <w:r>
        <w:fldChar w:fldCharType="separate"/>
      </w:r>
      <w:r>
        <w:t>113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_Toc16008 </w:instrText>
      </w:r>
      <w:r>
        <w:rPr>
          <w:rFonts w:ascii="宋体" w:hAnsi="宋体"/>
          <w:bCs/>
          <w:caps/>
          <w:szCs w:val="21"/>
        </w:rPr>
        <w:fldChar w:fldCharType="separate"/>
      </w:r>
      <w:r>
        <w:rPr>
          <w:rFonts w:hint="eastAsia" w:ascii="宋体" w:hAnsi="宋体"/>
          <w:szCs w:val="28"/>
        </w:rPr>
        <w:t>3.11 招标人供应材料价格汇总表</w:t>
      </w:r>
      <w:r>
        <w:tab/>
      </w:r>
      <w:r>
        <w:fldChar w:fldCharType="begin"/>
      </w:r>
      <w:r>
        <w:instrText xml:space="preserve"> PAGEREF _Toc16008 </w:instrText>
      </w:r>
      <w:r>
        <w:fldChar w:fldCharType="separate"/>
      </w:r>
      <w:r>
        <w:t>114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_Toc9157 </w:instrText>
      </w:r>
      <w:r>
        <w:rPr>
          <w:rFonts w:ascii="宋体" w:hAnsi="宋体"/>
          <w:bCs/>
          <w:caps/>
          <w:szCs w:val="21"/>
        </w:rPr>
        <w:fldChar w:fldCharType="separate"/>
      </w:r>
      <w:r>
        <w:rPr>
          <w:rFonts w:hint="eastAsia" w:ascii="宋体" w:hAnsi="宋体"/>
          <w:szCs w:val="28"/>
        </w:rPr>
        <w:t>3.12 投标人自行采购主要材料预算价格汇总表</w:t>
      </w:r>
      <w:r>
        <w:tab/>
      </w:r>
      <w:r>
        <w:fldChar w:fldCharType="begin"/>
      </w:r>
      <w:r>
        <w:instrText xml:space="preserve"> PAGEREF _Toc9157 </w:instrText>
      </w:r>
      <w:r>
        <w:fldChar w:fldCharType="separate"/>
      </w:r>
      <w:r>
        <w:t>115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_Toc2691 </w:instrText>
      </w:r>
      <w:r>
        <w:rPr>
          <w:rFonts w:ascii="宋体" w:hAnsi="宋体"/>
          <w:bCs/>
          <w:caps/>
          <w:szCs w:val="21"/>
        </w:rPr>
        <w:fldChar w:fldCharType="separate"/>
      </w:r>
      <w:r>
        <w:rPr>
          <w:rFonts w:hint="eastAsia" w:ascii="宋体" w:hAnsi="宋体"/>
          <w:szCs w:val="28"/>
        </w:rPr>
        <w:t>3.13 招标人提供施工机械台时(班)费汇总表</w:t>
      </w:r>
      <w:r>
        <w:tab/>
      </w:r>
      <w:r>
        <w:fldChar w:fldCharType="begin"/>
      </w:r>
      <w:r>
        <w:instrText xml:space="preserve"> PAGEREF _Toc2691 </w:instrText>
      </w:r>
      <w:r>
        <w:fldChar w:fldCharType="separate"/>
      </w:r>
      <w:r>
        <w:t>116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_Toc10648 </w:instrText>
      </w:r>
      <w:r>
        <w:rPr>
          <w:rFonts w:ascii="宋体" w:hAnsi="宋体"/>
          <w:bCs/>
          <w:caps/>
          <w:szCs w:val="21"/>
        </w:rPr>
        <w:fldChar w:fldCharType="separate"/>
      </w:r>
      <w:r>
        <w:rPr>
          <w:rFonts w:hint="eastAsia" w:ascii="宋体" w:hAnsi="宋体"/>
          <w:szCs w:val="28"/>
        </w:rPr>
        <w:t>3.14 投标人自备施工机械台时(班)费汇总表</w:t>
      </w:r>
      <w:r>
        <w:tab/>
      </w:r>
      <w:r>
        <w:fldChar w:fldCharType="begin"/>
      </w:r>
      <w:r>
        <w:instrText xml:space="preserve"> PAGEREF _Toc10648 </w:instrText>
      </w:r>
      <w:r>
        <w:fldChar w:fldCharType="separate"/>
      </w:r>
      <w:r>
        <w:t>117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_Toc20062 </w:instrText>
      </w:r>
      <w:r>
        <w:rPr>
          <w:rFonts w:ascii="宋体" w:hAnsi="宋体"/>
          <w:bCs/>
          <w:caps/>
          <w:szCs w:val="21"/>
        </w:rPr>
        <w:fldChar w:fldCharType="separate"/>
      </w:r>
      <w:r>
        <w:rPr>
          <w:rFonts w:hint="eastAsia" w:ascii="宋体" w:hAnsi="宋体"/>
          <w:szCs w:val="28"/>
        </w:rPr>
        <w:t>3.15 总价项目分类分项工程分解表</w:t>
      </w:r>
      <w:r>
        <w:tab/>
      </w:r>
      <w:r>
        <w:fldChar w:fldCharType="begin"/>
      </w:r>
      <w:r>
        <w:instrText xml:space="preserve"> PAGEREF _Toc20062 </w:instrText>
      </w:r>
      <w:r>
        <w:fldChar w:fldCharType="separate"/>
      </w:r>
      <w:r>
        <w:t>118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_Toc9773 </w:instrText>
      </w:r>
      <w:r>
        <w:rPr>
          <w:rFonts w:ascii="宋体" w:hAnsi="宋体"/>
          <w:bCs/>
          <w:caps/>
          <w:szCs w:val="21"/>
        </w:rPr>
        <w:fldChar w:fldCharType="separate"/>
      </w:r>
      <w:r>
        <w:rPr>
          <w:rFonts w:hint="eastAsia" w:ascii="宋体" w:hAnsi="宋体"/>
          <w:szCs w:val="28"/>
        </w:rPr>
        <w:t>3.16 工程单价计算表</w:t>
      </w:r>
      <w:r>
        <w:tab/>
      </w:r>
      <w:r>
        <w:fldChar w:fldCharType="begin"/>
      </w:r>
      <w:r>
        <w:instrText xml:space="preserve"> PAGEREF _Toc9773 </w:instrText>
      </w:r>
      <w:r>
        <w:fldChar w:fldCharType="separate"/>
      </w:r>
      <w:r>
        <w:t>119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_Toc10190 </w:instrText>
      </w:r>
      <w:r>
        <w:rPr>
          <w:rFonts w:ascii="宋体" w:hAnsi="宋体"/>
          <w:bCs/>
          <w:caps/>
          <w:szCs w:val="21"/>
        </w:rPr>
        <w:fldChar w:fldCharType="separate"/>
      </w:r>
      <w:r>
        <w:rPr>
          <w:rFonts w:hint="eastAsia" w:ascii="宋体" w:hAnsi="宋体"/>
          <w:szCs w:val="28"/>
        </w:rPr>
        <w:t>3.17 人工费单价汇总表</w:t>
      </w:r>
      <w:r>
        <w:tab/>
      </w:r>
      <w:r>
        <w:fldChar w:fldCharType="begin"/>
      </w:r>
      <w:r>
        <w:instrText xml:space="preserve"> PAGEREF _Toc10190 </w:instrText>
      </w:r>
      <w:r>
        <w:fldChar w:fldCharType="separate"/>
      </w:r>
      <w:r>
        <w:t>121</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_Toc13678 </w:instrText>
      </w:r>
      <w:r>
        <w:rPr>
          <w:rFonts w:ascii="宋体" w:hAnsi="宋体"/>
          <w:bCs w:val="0"/>
          <w:caps w:val="0"/>
          <w:szCs w:val="21"/>
        </w:rPr>
        <w:fldChar w:fldCharType="separate"/>
      </w:r>
      <w:r>
        <w:rPr>
          <w:rFonts w:hint="eastAsia" w:ascii="黑体" w:hAnsi="黑体" w:eastAsia="黑体"/>
          <w:bCs/>
        </w:rPr>
        <w:t>第五章  工程量清单</w:t>
      </w:r>
      <w:r>
        <w:tab/>
      </w:r>
      <w:r>
        <w:fldChar w:fldCharType="begin"/>
      </w:r>
      <w:r>
        <w:instrText xml:space="preserve"> PAGEREF _Toc13678 </w:instrText>
      </w:r>
      <w:r>
        <w:fldChar w:fldCharType="separate"/>
      </w:r>
      <w:r>
        <w:t>122</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_Toc3067 </w:instrText>
      </w:r>
      <w:r>
        <w:rPr>
          <w:rFonts w:ascii="宋体" w:hAnsi="宋体"/>
          <w:bCs/>
          <w:caps/>
          <w:szCs w:val="21"/>
        </w:rPr>
        <w:fldChar w:fldCharType="separate"/>
      </w:r>
      <w:r>
        <w:rPr>
          <w:rFonts w:hint="eastAsia"/>
        </w:rPr>
        <w:t>1. 工程量清单说明</w:t>
      </w:r>
      <w:r>
        <w:tab/>
      </w:r>
      <w:r>
        <w:fldChar w:fldCharType="begin"/>
      </w:r>
      <w:r>
        <w:instrText xml:space="preserve"> PAGEREF _Toc3067 </w:instrText>
      </w:r>
      <w:r>
        <w:fldChar w:fldCharType="separate"/>
      </w:r>
      <w:r>
        <w:t>122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_Toc9532 </w:instrText>
      </w:r>
      <w:r>
        <w:rPr>
          <w:rFonts w:ascii="宋体" w:hAnsi="宋体"/>
          <w:bCs/>
          <w:caps/>
          <w:szCs w:val="21"/>
        </w:rPr>
        <w:fldChar w:fldCharType="separate"/>
      </w:r>
      <w:r>
        <w:rPr>
          <w:rFonts w:hint="eastAsia"/>
        </w:rPr>
        <w:t>2. 投标报价说明</w:t>
      </w:r>
      <w:r>
        <w:tab/>
      </w:r>
      <w:r>
        <w:fldChar w:fldCharType="begin"/>
      </w:r>
      <w:r>
        <w:instrText xml:space="preserve"> PAGEREF _Toc9532 </w:instrText>
      </w:r>
      <w:r>
        <w:fldChar w:fldCharType="separate"/>
      </w:r>
      <w:r>
        <w:t>122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_Toc28973 </w:instrText>
      </w:r>
      <w:r>
        <w:rPr>
          <w:rFonts w:ascii="宋体" w:hAnsi="宋体"/>
          <w:bCs/>
          <w:caps/>
          <w:szCs w:val="21"/>
        </w:rPr>
        <w:fldChar w:fldCharType="separate"/>
      </w:r>
      <w:r>
        <w:rPr>
          <w:rFonts w:hint="eastAsia"/>
        </w:rPr>
        <w:t>2.1 工程量清单报价表组成</w:t>
      </w:r>
      <w:r>
        <w:tab/>
      </w:r>
      <w:r>
        <w:fldChar w:fldCharType="begin"/>
      </w:r>
      <w:r>
        <w:instrText xml:space="preserve"> PAGEREF _Toc28973 </w:instrText>
      </w:r>
      <w:r>
        <w:fldChar w:fldCharType="separate"/>
      </w:r>
      <w:r>
        <w:t>122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_Toc15084 </w:instrText>
      </w:r>
      <w:r>
        <w:rPr>
          <w:rFonts w:ascii="宋体" w:hAnsi="宋体"/>
          <w:bCs/>
          <w:caps/>
          <w:szCs w:val="21"/>
        </w:rPr>
        <w:fldChar w:fldCharType="separate"/>
      </w:r>
      <w:r>
        <w:rPr>
          <w:rFonts w:hint="eastAsia"/>
        </w:rPr>
        <w:t>2.2 工程量清单报价表填写规定</w:t>
      </w:r>
      <w:r>
        <w:tab/>
      </w:r>
      <w:r>
        <w:fldChar w:fldCharType="begin"/>
      </w:r>
      <w:r>
        <w:instrText xml:space="preserve"> PAGEREF _Toc15084 </w:instrText>
      </w:r>
      <w:r>
        <w:fldChar w:fldCharType="separate"/>
      </w:r>
      <w:r>
        <w:t>122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_Toc20817 </w:instrText>
      </w:r>
      <w:r>
        <w:rPr>
          <w:rFonts w:ascii="宋体" w:hAnsi="宋体"/>
          <w:bCs/>
          <w:caps/>
          <w:szCs w:val="21"/>
        </w:rPr>
        <w:fldChar w:fldCharType="separate"/>
      </w:r>
      <w:r>
        <w:rPr>
          <w:rFonts w:hint="eastAsia" w:eastAsia="黑体" w:cs="宋体"/>
          <w:szCs w:val="20"/>
        </w:rPr>
        <w:t>3. 投标报价</w:t>
      </w:r>
      <w:r>
        <w:tab/>
      </w:r>
      <w:r>
        <w:fldChar w:fldCharType="begin"/>
      </w:r>
      <w:r>
        <w:instrText xml:space="preserve"> PAGEREF _Toc20817 </w:instrText>
      </w:r>
      <w:r>
        <w:fldChar w:fldCharType="separate"/>
      </w:r>
      <w:r>
        <w:t>125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_Toc18517 </w:instrText>
      </w:r>
      <w:r>
        <w:rPr>
          <w:rFonts w:ascii="宋体" w:hAnsi="宋体"/>
          <w:bCs/>
          <w:caps/>
          <w:szCs w:val="21"/>
        </w:rPr>
        <w:fldChar w:fldCharType="separate"/>
      </w:r>
      <w:r>
        <w:rPr>
          <w:rFonts w:hint="eastAsia" w:ascii="宋体" w:hAnsi="宋体"/>
          <w:szCs w:val="28"/>
        </w:rPr>
        <w:t>3.1 投标总价</w:t>
      </w:r>
      <w:r>
        <w:tab/>
      </w:r>
      <w:r>
        <w:fldChar w:fldCharType="begin"/>
      </w:r>
      <w:r>
        <w:instrText xml:space="preserve"> PAGEREF _Toc18517 </w:instrText>
      </w:r>
      <w:r>
        <w:fldChar w:fldCharType="separate"/>
      </w:r>
      <w:r>
        <w:t>125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_Toc31876 </w:instrText>
      </w:r>
      <w:r>
        <w:rPr>
          <w:rFonts w:ascii="宋体" w:hAnsi="宋体"/>
          <w:bCs/>
          <w:caps/>
          <w:szCs w:val="21"/>
        </w:rPr>
        <w:fldChar w:fldCharType="separate"/>
      </w:r>
      <w:r>
        <w:rPr>
          <w:rFonts w:hint="eastAsia" w:ascii="宋体" w:hAnsi="宋体"/>
          <w:szCs w:val="28"/>
        </w:rPr>
        <w:t>3.2 工程项目总价表</w:t>
      </w:r>
      <w:r>
        <w:tab/>
      </w:r>
      <w:r>
        <w:fldChar w:fldCharType="begin"/>
      </w:r>
      <w:r>
        <w:instrText xml:space="preserve"> PAGEREF _Toc31876 </w:instrText>
      </w:r>
      <w:r>
        <w:fldChar w:fldCharType="separate"/>
      </w:r>
      <w:r>
        <w:t>126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_Toc4406 </w:instrText>
      </w:r>
      <w:r>
        <w:rPr>
          <w:rFonts w:ascii="宋体" w:hAnsi="宋体"/>
          <w:bCs/>
          <w:caps/>
          <w:szCs w:val="21"/>
        </w:rPr>
        <w:fldChar w:fldCharType="separate"/>
      </w:r>
      <w:r>
        <w:rPr>
          <w:rFonts w:hint="eastAsia" w:ascii="宋体" w:hAnsi="宋体"/>
          <w:szCs w:val="28"/>
        </w:rPr>
        <w:t>3.3 分组工程量清单报价表</w:t>
      </w:r>
      <w:r>
        <w:tab/>
      </w:r>
      <w:r>
        <w:fldChar w:fldCharType="begin"/>
      </w:r>
      <w:r>
        <w:instrText xml:space="preserve"> PAGEREF _Toc4406 </w:instrText>
      </w:r>
      <w:r>
        <w:fldChar w:fldCharType="separate"/>
      </w:r>
      <w:r>
        <w:t>127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_Toc2189 </w:instrText>
      </w:r>
      <w:r>
        <w:rPr>
          <w:rFonts w:ascii="宋体" w:hAnsi="宋体"/>
          <w:bCs/>
          <w:caps/>
          <w:szCs w:val="21"/>
        </w:rPr>
        <w:fldChar w:fldCharType="separate"/>
      </w:r>
      <w:r>
        <w:rPr>
          <w:rFonts w:hint="eastAsia" w:ascii="宋体" w:hAnsi="宋体"/>
          <w:szCs w:val="28"/>
        </w:rPr>
        <w:t>3.4 计日工项目价报表</w:t>
      </w:r>
      <w:r>
        <w:tab/>
      </w:r>
      <w:r>
        <w:fldChar w:fldCharType="begin"/>
      </w:r>
      <w:r>
        <w:instrText xml:space="preserve"> PAGEREF _Toc2189 </w:instrText>
      </w:r>
      <w:r>
        <w:fldChar w:fldCharType="separate"/>
      </w:r>
      <w:r>
        <w:t>128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_Toc26285 </w:instrText>
      </w:r>
      <w:r>
        <w:rPr>
          <w:rFonts w:ascii="宋体" w:hAnsi="宋体"/>
          <w:bCs/>
          <w:caps/>
          <w:szCs w:val="21"/>
        </w:rPr>
        <w:fldChar w:fldCharType="separate"/>
      </w:r>
      <w:r>
        <w:rPr>
          <w:rFonts w:hint="eastAsia" w:ascii="宋体" w:hAnsi="宋体"/>
          <w:szCs w:val="28"/>
        </w:rPr>
        <w:t>3.5 工程单价汇总表</w:t>
      </w:r>
      <w:r>
        <w:tab/>
      </w:r>
      <w:r>
        <w:fldChar w:fldCharType="begin"/>
      </w:r>
      <w:r>
        <w:instrText xml:space="preserve"> PAGEREF _Toc26285 </w:instrText>
      </w:r>
      <w:r>
        <w:fldChar w:fldCharType="separate"/>
      </w:r>
      <w:r>
        <w:t>129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_Toc4751 </w:instrText>
      </w:r>
      <w:r>
        <w:rPr>
          <w:rFonts w:ascii="宋体" w:hAnsi="宋体"/>
          <w:bCs/>
          <w:caps/>
          <w:szCs w:val="21"/>
        </w:rPr>
        <w:fldChar w:fldCharType="separate"/>
      </w:r>
      <w:r>
        <w:rPr>
          <w:rFonts w:hint="eastAsia" w:ascii="宋体" w:hAnsi="宋体"/>
          <w:szCs w:val="28"/>
        </w:rPr>
        <w:t>3.6 工程单价费(税)率汇总表</w:t>
      </w:r>
      <w:r>
        <w:tab/>
      </w:r>
      <w:r>
        <w:fldChar w:fldCharType="begin"/>
      </w:r>
      <w:r>
        <w:instrText xml:space="preserve"> PAGEREF _Toc4751 </w:instrText>
      </w:r>
      <w:r>
        <w:fldChar w:fldCharType="separate"/>
      </w:r>
      <w:r>
        <w:t>130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_Toc17430 </w:instrText>
      </w:r>
      <w:r>
        <w:rPr>
          <w:rFonts w:ascii="宋体" w:hAnsi="宋体"/>
          <w:bCs/>
          <w:caps/>
          <w:szCs w:val="21"/>
        </w:rPr>
        <w:fldChar w:fldCharType="separate"/>
      </w:r>
      <w:r>
        <w:rPr>
          <w:rFonts w:hint="eastAsia" w:ascii="宋体" w:hAnsi="宋体"/>
          <w:szCs w:val="28"/>
        </w:rPr>
        <w:t>3.7 投标人生产电、风、水、砂石基础单价汇总表</w:t>
      </w:r>
      <w:r>
        <w:tab/>
      </w:r>
      <w:r>
        <w:fldChar w:fldCharType="begin"/>
      </w:r>
      <w:r>
        <w:instrText xml:space="preserve"> PAGEREF _Toc17430 </w:instrText>
      </w:r>
      <w:r>
        <w:fldChar w:fldCharType="separate"/>
      </w:r>
      <w:r>
        <w:t>131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_Toc14381 </w:instrText>
      </w:r>
      <w:r>
        <w:rPr>
          <w:rFonts w:ascii="宋体" w:hAnsi="宋体"/>
          <w:bCs/>
          <w:caps/>
          <w:szCs w:val="21"/>
        </w:rPr>
        <w:fldChar w:fldCharType="separate"/>
      </w:r>
      <w:r>
        <w:rPr>
          <w:rFonts w:hint="eastAsia" w:ascii="宋体" w:hAnsi="宋体"/>
          <w:szCs w:val="28"/>
        </w:rPr>
        <w:t>3.8 投标人生产混凝土配合比材料费表</w:t>
      </w:r>
      <w:r>
        <w:tab/>
      </w:r>
      <w:r>
        <w:fldChar w:fldCharType="begin"/>
      </w:r>
      <w:r>
        <w:instrText xml:space="preserve"> PAGEREF _Toc14381 </w:instrText>
      </w:r>
      <w:r>
        <w:fldChar w:fldCharType="separate"/>
      </w:r>
      <w:r>
        <w:t>132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_Toc2390 </w:instrText>
      </w:r>
      <w:r>
        <w:rPr>
          <w:rFonts w:ascii="宋体" w:hAnsi="宋体"/>
          <w:bCs/>
          <w:caps/>
          <w:szCs w:val="21"/>
        </w:rPr>
        <w:fldChar w:fldCharType="separate"/>
      </w:r>
      <w:r>
        <w:rPr>
          <w:rFonts w:hint="eastAsia" w:ascii="宋体" w:hAnsi="宋体"/>
          <w:szCs w:val="28"/>
        </w:rPr>
        <w:t>3.9 招标人供应材料价格汇总表</w:t>
      </w:r>
      <w:r>
        <w:tab/>
      </w:r>
      <w:r>
        <w:fldChar w:fldCharType="begin"/>
      </w:r>
      <w:r>
        <w:instrText xml:space="preserve"> PAGEREF _Toc2390 </w:instrText>
      </w:r>
      <w:r>
        <w:fldChar w:fldCharType="separate"/>
      </w:r>
      <w:r>
        <w:t>133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_Toc30528 </w:instrText>
      </w:r>
      <w:r>
        <w:rPr>
          <w:rFonts w:ascii="宋体" w:hAnsi="宋体"/>
          <w:bCs/>
          <w:caps/>
          <w:szCs w:val="21"/>
        </w:rPr>
        <w:fldChar w:fldCharType="separate"/>
      </w:r>
      <w:r>
        <w:rPr>
          <w:rFonts w:hint="eastAsia" w:ascii="宋体" w:hAnsi="宋体"/>
          <w:szCs w:val="28"/>
        </w:rPr>
        <w:t>3.10 投标人自行采购主要材料预算价格汇总表</w:t>
      </w:r>
      <w:r>
        <w:tab/>
      </w:r>
      <w:r>
        <w:fldChar w:fldCharType="begin"/>
      </w:r>
      <w:r>
        <w:instrText xml:space="preserve"> PAGEREF _Toc30528 </w:instrText>
      </w:r>
      <w:r>
        <w:fldChar w:fldCharType="separate"/>
      </w:r>
      <w:r>
        <w:t>134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_Toc3142 </w:instrText>
      </w:r>
      <w:r>
        <w:rPr>
          <w:rFonts w:ascii="宋体" w:hAnsi="宋体"/>
          <w:bCs/>
          <w:caps/>
          <w:szCs w:val="21"/>
        </w:rPr>
        <w:fldChar w:fldCharType="separate"/>
      </w:r>
      <w:r>
        <w:rPr>
          <w:rFonts w:hint="eastAsia" w:ascii="宋体" w:hAnsi="宋体"/>
          <w:szCs w:val="28"/>
        </w:rPr>
        <w:t>3.11 招标人提供施工机械台时(班)费用汇总表</w:t>
      </w:r>
      <w:r>
        <w:tab/>
      </w:r>
      <w:r>
        <w:fldChar w:fldCharType="begin"/>
      </w:r>
      <w:r>
        <w:instrText xml:space="preserve"> PAGEREF _Toc3142 </w:instrText>
      </w:r>
      <w:r>
        <w:fldChar w:fldCharType="separate"/>
      </w:r>
      <w:r>
        <w:t>135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_Toc26647 </w:instrText>
      </w:r>
      <w:r>
        <w:rPr>
          <w:rFonts w:ascii="宋体" w:hAnsi="宋体"/>
          <w:bCs/>
          <w:caps/>
          <w:szCs w:val="21"/>
        </w:rPr>
        <w:fldChar w:fldCharType="separate"/>
      </w:r>
      <w:r>
        <w:rPr>
          <w:rFonts w:hint="eastAsia" w:ascii="宋体" w:hAnsi="宋体"/>
          <w:szCs w:val="28"/>
        </w:rPr>
        <w:t>3.12 投标人自备施工机械台时(班)费汇总表</w:t>
      </w:r>
      <w:r>
        <w:tab/>
      </w:r>
      <w:r>
        <w:fldChar w:fldCharType="begin"/>
      </w:r>
      <w:r>
        <w:instrText xml:space="preserve"> PAGEREF _Toc26647 </w:instrText>
      </w:r>
      <w:r>
        <w:fldChar w:fldCharType="separate"/>
      </w:r>
      <w:r>
        <w:t>136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_Toc7785 </w:instrText>
      </w:r>
      <w:r>
        <w:rPr>
          <w:rFonts w:ascii="宋体" w:hAnsi="宋体"/>
          <w:bCs/>
          <w:caps/>
          <w:szCs w:val="21"/>
        </w:rPr>
        <w:fldChar w:fldCharType="separate"/>
      </w:r>
      <w:r>
        <w:rPr>
          <w:rFonts w:hint="eastAsia" w:ascii="宋体" w:hAnsi="宋体"/>
          <w:szCs w:val="28"/>
        </w:rPr>
        <w:t>3.13 总价项目分解表</w:t>
      </w:r>
      <w:r>
        <w:tab/>
      </w:r>
      <w:r>
        <w:fldChar w:fldCharType="begin"/>
      </w:r>
      <w:r>
        <w:instrText xml:space="preserve"> PAGEREF _Toc7785 </w:instrText>
      </w:r>
      <w:r>
        <w:fldChar w:fldCharType="separate"/>
      </w:r>
      <w:r>
        <w:t>137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_Toc3798 </w:instrText>
      </w:r>
      <w:r>
        <w:rPr>
          <w:rFonts w:ascii="宋体" w:hAnsi="宋体"/>
          <w:bCs/>
          <w:caps/>
          <w:szCs w:val="21"/>
        </w:rPr>
        <w:fldChar w:fldCharType="separate"/>
      </w:r>
      <w:r>
        <w:rPr>
          <w:rFonts w:hint="eastAsia" w:ascii="宋体" w:hAnsi="宋体"/>
          <w:szCs w:val="32"/>
        </w:rPr>
        <w:t>3.14 工程</w:t>
      </w:r>
      <w:r>
        <w:rPr>
          <w:rFonts w:hint="eastAsia" w:ascii="宋体" w:hAnsi="宋体"/>
          <w:szCs w:val="28"/>
        </w:rPr>
        <w:t>单价</w:t>
      </w:r>
      <w:r>
        <w:rPr>
          <w:rFonts w:hint="eastAsia" w:ascii="宋体" w:hAnsi="宋体"/>
          <w:szCs w:val="32"/>
        </w:rPr>
        <w:t>计算表</w:t>
      </w:r>
      <w:r>
        <w:tab/>
      </w:r>
      <w:r>
        <w:fldChar w:fldCharType="begin"/>
      </w:r>
      <w:r>
        <w:instrText xml:space="preserve"> PAGEREF _Toc3798 </w:instrText>
      </w:r>
      <w:r>
        <w:fldChar w:fldCharType="separate"/>
      </w:r>
      <w:r>
        <w:t>138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_Toc29013 </w:instrText>
      </w:r>
      <w:r>
        <w:rPr>
          <w:rFonts w:ascii="宋体" w:hAnsi="宋体"/>
          <w:bCs/>
          <w:caps/>
          <w:szCs w:val="21"/>
        </w:rPr>
        <w:fldChar w:fldCharType="separate"/>
      </w:r>
      <w:r>
        <w:rPr>
          <w:rFonts w:hint="eastAsia" w:ascii="宋体" w:hAnsi="宋体"/>
          <w:szCs w:val="28"/>
        </w:rPr>
        <w:t>3.15 人工费单价汇总表</w:t>
      </w:r>
      <w:r>
        <w:tab/>
      </w:r>
      <w:r>
        <w:fldChar w:fldCharType="begin"/>
      </w:r>
      <w:r>
        <w:instrText xml:space="preserve"> PAGEREF _Toc29013 </w:instrText>
      </w:r>
      <w:r>
        <w:fldChar w:fldCharType="separate"/>
      </w:r>
      <w:r>
        <w:t>140</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_Toc9394 </w:instrText>
      </w:r>
      <w:r>
        <w:rPr>
          <w:rFonts w:ascii="宋体" w:hAnsi="宋体"/>
          <w:bCs w:val="0"/>
          <w:caps w:val="0"/>
          <w:szCs w:val="21"/>
        </w:rPr>
        <w:fldChar w:fldCharType="separate"/>
      </w:r>
      <w:r>
        <w:rPr>
          <w:rFonts w:hint="eastAsia" w:ascii="黑体" w:hAnsi="黑体" w:eastAsia="黑体"/>
          <w:bCs/>
          <w:szCs w:val="36"/>
        </w:rPr>
        <w:t>第  二  卷</w:t>
      </w:r>
      <w:r>
        <w:tab/>
      </w:r>
      <w:r>
        <w:fldChar w:fldCharType="begin"/>
      </w:r>
      <w:r>
        <w:instrText xml:space="preserve"> PAGEREF _Toc9394 </w:instrText>
      </w:r>
      <w:r>
        <w:fldChar w:fldCharType="separate"/>
      </w:r>
      <w:r>
        <w:t>141</w:t>
      </w:r>
      <w:r>
        <w:fldChar w:fldCharType="end"/>
      </w:r>
      <w:r>
        <w:rPr>
          <w:rFonts w:ascii="宋体" w:hAnsi="宋体"/>
          <w:bCs w:val="0"/>
          <w:caps w:val="0"/>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_Toc22399 </w:instrText>
      </w:r>
      <w:r>
        <w:rPr>
          <w:rFonts w:ascii="宋体" w:hAnsi="宋体"/>
          <w:bCs w:val="0"/>
          <w:caps w:val="0"/>
          <w:szCs w:val="21"/>
        </w:rPr>
        <w:fldChar w:fldCharType="separate"/>
      </w:r>
      <w:r>
        <w:rPr>
          <w:rFonts w:hint="eastAsia" w:ascii="黑体" w:hAnsi="黑体" w:eastAsia="黑体"/>
          <w:bCs/>
        </w:rPr>
        <w:t>第六章 图纸（招标图纸）</w:t>
      </w:r>
      <w:r>
        <w:tab/>
      </w:r>
      <w:r>
        <w:fldChar w:fldCharType="begin"/>
      </w:r>
      <w:r>
        <w:instrText xml:space="preserve"> PAGEREF _Toc22399 </w:instrText>
      </w:r>
      <w:r>
        <w:fldChar w:fldCharType="separate"/>
      </w:r>
      <w:r>
        <w:t>142</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_Toc22 </w:instrText>
      </w:r>
      <w:r>
        <w:rPr>
          <w:rFonts w:ascii="宋体" w:hAnsi="宋体"/>
          <w:bCs/>
          <w:caps/>
          <w:szCs w:val="21"/>
        </w:rPr>
        <w:fldChar w:fldCharType="separate"/>
      </w:r>
      <w:r>
        <w:rPr>
          <w:rFonts w:hint="eastAsia"/>
        </w:rPr>
        <w:t>1. 招标图纸组成</w:t>
      </w:r>
      <w:r>
        <w:tab/>
      </w:r>
      <w:r>
        <w:fldChar w:fldCharType="begin"/>
      </w:r>
      <w:r>
        <w:instrText xml:space="preserve"> PAGEREF _Toc22 </w:instrText>
      </w:r>
      <w:r>
        <w:fldChar w:fldCharType="separate"/>
      </w:r>
      <w:r>
        <w:t>142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_Toc3144 </w:instrText>
      </w:r>
      <w:r>
        <w:rPr>
          <w:rFonts w:ascii="宋体" w:hAnsi="宋体"/>
          <w:bCs/>
          <w:caps/>
          <w:szCs w:val="21"/>
        </w:rPr>
        <w:fldChar w:fldCharType="separate"/>
      </w:r>
      <w:r>
        <w:rPr>
          <w:rFonts w:hint="eastAsia"/>
        </w:rPr>
        <w:t>2. 招标图纸的编绘</w:t>
      </w:r>
      <w:r>
        <w:tab/>
      </w:r>
      <w:r>
        <w:fldChar w:fldCharType="begin"/>
      </w:r>
      <w:r>
        <w:instrText xml:space="preserve"> PAGEREF _Toc3144 </w:instrText>
      </w:r>
      <w:r>
        <w:fldChar w:fldCharType="separate"/>
      </w:r>
      <w:r>
        <w:t>142</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_Toc15099 </w:instrText>
      </w:r>
      <w:r>
        <w:rPr>
          <w:rFonts w:ascii="宋体" w:hAnsi="宋体"/>
          <w:bCs/>
          <w:caps/>
          <w:szCs w:val="21"/>
        </w:rPr>
        <w:fldChar w:fldCharType="separate"/>
      </w:r>
      <w:r>
        <w:rPr>
          <w:rFonts w:hint="eastAsia"/>
        </w:rPr>
        <w:t>3. 图纸目录</w:t>
      </w:r>
      <w:r>
        <w:tab/>
      </w:r>
      <w:r>
        <w:fldChar w:fldCharType="begin"/>
      </w:r>
      <w:r>
        <w:instrText xml:space="preserve"> PAGEREF _Toc15099 </w:instrText>
      </w:r>
      <w:r>
        <w:fldChar w:fldCharType="separate"/>
      </w:r>
      <w:r>
        <w:t>144</w:t>
      </w:r>
      <w:r>
        <w:fldChar w:fldCharType="end"/>
      </w:r>
      <w:r>
        <w:rPr>
          <w:rFonts w:ascii="宋体" w:hAnsi="宋体"/>
          <w:bCs/>
          <w:caps/>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_Toc17783 </w:instrText>
      </w:r>
      <w:r>
        <w:rPr>
          <w:rFonts w:ascii="宋体" w:hAnsi="宋体"/>
          <w:bCs w:val="0"/>
          <w:caps w:val="0"/>
          <w:szCs w:val="21"/>
        </w:rPr>
        <w:fldChar w:fldCharType="separate"/>
      </w:r>
      <w:r>
        <w:rPr>
          <w:rFonts w:hint="eastAsia" w:ascii="黑体" w:hAnsi="黑体" w:eastAsia="黑体"/>
          <w:bCs/>
          <w:szCs w:val="36"/>
        </w:rPr>
        <w:t>第 三 卷</w:t>
      </w:r>
      <w:r>
        <w:tab/>
      </w:r>
      <w:r>
        <w:fldChar w:fldCharType="begin"/>
      </w:r>
      <w:r>
        <w:instrText xml:space="preserve"> PAGEREF _Toc17783 </w:instrText>
      </w:r>
      <w:r>
        <w:fldChar w:fldCharType="separate"/>
      </w:r>
      <w:r>
        <w:t>145</w:t>
      </w:r>
      <w:r>
        <w:fldChar w:fldCharType="end"/>
      </w:r>
      <w:r>
        <w:rPr>
          <w:rFonts w:ascii="宋体" w:hAnsi="宋体"/>
          <w:bCs w:val="0"/>
          <w:caps w:val="0"/>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_Toc28921 </w:instrText>
      </w:r>
      <w:r>
        <w:rPr>
          <w:rFonts w:ascii="宋体" w:hAnsi="宋体"/>
          <w:bCs w:val="0"/>
          <w:caps w:val="0"/>
          <w:szCs w:val="21"/>
        </w:rPr>
        <w:fldChar w:fldCharType="separate"/>
      </w:r>
      <w:r>
        <w:rPr>
          <w:rFonts w:hint="eastAsia" w:ascii="黑体" w:hAnsi="黑体" w:eastAsia="黑体"/>
          <w:bCs/>
        </w:rPr>
        <w:t>第七章  技术标准和要求（合同技术条款）</w:t>
      </w:r>
      <w:r>
        <w:tab/>
      </w:r>
      <w:r>
        <w:fldChar w:fldCharType="begin"/>
      </w:r>
      <w:r>
        <w:instrText xml:space="preserve"> PAGEREF _Toc28921 </w:instrText>
      </w:r>
      <w:r>
        <w:fldChar w:fldCharType="separate"/>
      </w:r>
      <w:r>
        <w:t>146</w:t>
      </w:r>
      <w:r>
        <w:fldChar w:fldCharType="end"/>
      </w:r>
      <w:r>
        <w:rPr>
          <w:rFonts w:ascii="宋体" w:hAnsi="宋体"/>
          <w:bCs w:val="0"/>
          <w:caps w:val="0"/>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_Toc8582 </w:instrText>
      </w:r>
      <w:r>
        <w:rPr>
          <w:rFonts w:ascii="宋体" w:hAnsi="宋体"/>
          <w:bCs w:val="0"/>
          <w:caps w:val="0"/>
          <w:szCs w:val="21"/>
        </w:rPr>
        <w:fldChar w:fldCharType="separate"/>
      </w:r>
      <w:r>
        <w:rPr>
          <w:rFonts w:hint="eastAsia" w:ascii="黑体" w:hAnsi="黑体" w:eastAsia="黑体"/>
          <w:bCs/>
          <w:szCs w:val="36"/>
        </w:rPr>
        <w:t>第  四  卷</w:t>
      </w:r>
      <w:r>
        <w:tab/>
      </w:r>
      <w:r>
        <w:fldChar w:fldCharType="begin"/>
      </w:r>
      <w:r>
        <w:instrText xml:space="preserve"> PAGEREF _Toc8582 </w:instrText>
      </w:r>
      <w:r>
        <w:fldChar w:fldCharType="separate"/>
      </w:r>
      <w:r>
        <w:t>147</w:t>
      </w:r>
      <w:r>
        <w:fldChar w:fldCharType="end"/>
      </w:r>
      <w:r>
        <w:rPr>
          <w:rFonts w:ascii="宋体" w:hAnsi="宋体"/>
          <w:bCs w:val="0"/>
          <w:caps w:val="0"/>
          <w:color w:val="auto"/>
          <w:szCs w:val="21"/>
        </w:rPr>
        <w:fldChar w:fldCharType="end"/>
      </w:r>
    </w:p>
    <w:p>
      <w:pPr>
        <w:pStyle w:val="26"/>
        <w:tabs>
          <w:tab w:val="right" w:leader="dot" w:pos="9070"/>
        </w:tabs>
      </w:pPr>
      <w:r>
        <w:rPr>
          <w:rFonts w:ascii="宋体" w:hAnsi="宋体"/>
          <w:bCs w:val="0"/>
          <w:caps w:val="0"/>
          <w:color w:val="auto"/>
          <w:szCs w:val="21"/>
        </w:rPr>
        <w:fldChar w:fldCharType="begin"/>
      </w:r>
      <w:r>
        <w:rPr>
          <w:rFonts w:ascii="宋体" w:hAnsi="宋体"/>
          <w:bCs w:val="0"/>
          <w:caps w:val="0"/>
          <w:szCs w:val="21"/>
        </w:rPr>
        <w:instrText xml:space="preserve"> HYPERLINK \l _Toc31446 </w:instrText>
      </w:r>
      <w:r>
        <w:rPr>
          <w:rFonts w:ascii="宋体" w:hAnsi="宋体"/>
          <w:bCs w:val="0"/>
          <w:caps w:val="0"/>
          <w:szCs w:val="21"/>
        </w:rPr>
        <w:fldChar w:fldCharType="separate"/>
      </w:r>
      <w:r>
        <w:rPr>
          <w:rFonts w:hint="eastAsia" w:ascii="黑体" w:hAnsi="黑体" w:eastAsia="黑体"/>
          <w:bCs/>
        </w:rPr>
        <w:t>第八章  投标文件格式</w:t>
      </w:r>
      <w:r>
        <w:tab/>
      </w:r>
      <w:r>
        <w:fldChar w:fldCharType="begin"/>
      </w:r>
      <w:r>
        <w:instrText xml:space="preserve"> PAGEREF _Toc31446 </w:instrText>
      </w:r>
      <w:r>
        <w:fldChar w:fldCharType="separate"/>
      </w:r>
      <w:r>
        <w:t>148</w:t>
      </w:r>
      <w:r>
        <w:fldChar w:fldCharType="end"/>
      </w:r>
      <w:r>
        <w:rPr>
          <w:rFonts w:ascii="宋体" w:hAnsi="宋体"/>
          <w:bCs w:val="0"/>
          <w:caps w:val="0"/>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_Toc24947 </w:instrText>
      </w:r>
      <w:r>
        <w:rPr>
          <w:rFonts w:ascii="宋体" w:hAnsi="宋体"/>
          <w:bCs/>
          <w:caps/>
          <w:szCs w:val="21"/>
        </w:rPr>
        <w:fldChar w:fldCharType="separate"/>
      </w:r>
      <w:r>
        <w:rPr>
          <w:rFonts w:hint="eastAsia"/>
        </w:rPr>
        <w:t>目    录</w:t>
      </w:r>
      <w:r>
        <w:tab/>
      </w:r>
      <w:r>
        <w:fldChar w:fldCharType="begin"/>
      </w:r>
      <w:r>
        <w:instrText xml:space="preserve"> PAGEREF _Toc24947 </w:instrText>
      </w:r>
      <w:r>
        <w:fldChar w:fldCharType="separate"/>
      </w:r>
      <w:r>
        <w:t>149</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_Toc31650 </w:instrText>
      </w:r>
      <w:r>
        <w:rPr>
          <w:rFonts w:ascii="宋体" w:hAnsi="宋体"/>
          <w:bCs/>
          <w:caps/>
          <w:szCs w:val="21"/>
        </w:rPr>
        <w:fldChar w:fldCharType="separate"/>
      </w:r>
      <w:r>
        <w:t>一、投标函及投标函附录</w:t>
      </w:r>
      <w:r>
        <w:tab/>
      </w:r>
      <w:r>
        <w:fldChar w:fldCharType="begin"/>
      </w:r>
      <w:r>
        <w:instrText xml:space="preserve"> PAGEREF _Toc31650 </w:instrText>
      </w:r>
      <w:r>
        <w:fldChar w:fldCharType="separate"/>
      </w:r>
      <w:r>
        <w:t>150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_Toc4593 </w:instrText>
      </w:r>
      <w:r>
        <w:rPr>
          <w:rFonts w:ascii="宋体" w:hAnsi="宋体"/>
          <w:bCs/>
          <w:caps/>
          <w:szCs w:val="21"/>
        </w:rPr>
        <w:fldChar w:fldCharType="separate"/>
      </w:r>
      <w:r>
        <w:rPr>
          <w:rFonts w:eastAsia="黑体"/>
          <w:szCs w:val="23"/>
        </w:rPr>
        <w:t>（一）投标函</w:t>
      </w:r>
      <w:r>
        <w:tab/>
      </w:r>
      <w:r>
        <w:fldChar w:fldCharType="begin"/>
      </w:r>
      <w:r>
        <w:instrText xml:space="preserve"> PAGEREF _Toc4593 </w:instrText>
      </w:r>
      <w:r>
        <w:fldChar w:fldCharType="separate"/>
      </w:r>
      <w:r>
        <w:t>150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_Toc29601 </w:instrText>
      </w:r>
      <w:r>
        <w:rPr>
          <w:rFonts w:ascii="宋体" w:hAnsi="宋体"/>
          <w:bCs/>
          <w:caps/>
          <w:szCs w:val="21"/>
        </w:rPr>
        <w:fldChar w:fldCharType="separate"/>
      </w:r>
      <w:r>
        <w:rPr>
          <w:rFonts w:eastAsia="黑体"/>
          <w:szCs w:val="23"/>
        </w:rPr>
        <w:t>（二）投标函附录</w:t>
      </w:r>
      <w:r>
        <w:tab/>
      </w:r>
      <w:r>
        <w:fldChar w:fldCharType="begin"/>
      </w:r>
      <w:r>
        <w:instrText xml:space="preserve"> PAGEREF _Toc29601 </w:instrText>
      </w:r>
      <w:r>
        <w:fldChar w:fldCharType="separate"/>
      </w:r>
      <w:r>
        <w:t>151</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_Toc10020 </w:instrText>
      </w:r>
      <w:r>
        <w:rPr>
          <w:rFonts w:ascii="宋体" w:hAnsi="宋体"/>
          <w:bCs/>
          <w:caps/>
          <w:szCs w:val="21"/>
        </w:rPr>
        <w:fldChar w:fldCharType="separate"/>
      </w:r>
      <w:r>
        <w:t>二、法定代表人身份证明</w:t>
      </w:r>
      <w:r>
        <w:tab/>
      </w:r>
      <w:r>
        <w:fldChar w:fldCharType="begin"/>
      </w:r>
      <w:r>
        <w:instrText xml:space="preserve"> PAGEREF _Toc10020 </w:instrText>
      </w:r>
      <w:r>
        <w:fldChar w:fldCharType="separate"/>
      </w:r>
      <w:r>
        <w:t>153</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_Toc28562 </w:instrText>
      </w:r>
      <w:r>
        <w:rPr>
          <w:rFonts w:ascii="宋体" w:hAnsi="宋体"/>
          <w:bCs/>
          <w:caps/>
          <w:szCs w:val="21"/>
        </w:rPr>
        <w:fldChar w:fldCharType="separate"/>
      </w:r>
      <w:r>
        <w:rPr>
          <w:rFonts w:hint="eastAsia"/>
        </w:rPr>
        <w:t>三、联合体协议书</w:t>
      </w:r>
      <w:r>
        <w:tab/>
      </w:r>
      <w:r>
        <w:fldChar w:fldCharType="begin"/>
      </w:r>
      <w:r>
        <w:instrText xml:space="preserve"> PAGEREF _Toc28562 </w:instrText>
      </w:r>
      <w:r>
        <w:fldChar w:fldCharType="separate"/>
      </w:r>
      <w:r>
        <w:t>154</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_Toc26454 </w:instrText>
      </w:r>
      <w:r>
        <w:rPr>
          <w:rFonts w:ascii="宋体" w:hAnsi="宋体"/>
          <w:bCs/>
          <w:caps/>
          <w:szCs w:val="21"/>
        </w:rPr>
        <w:fldChar w:fldCharType="separate"/>
      </w:r>
      <w:r>
        <w:rPr>
          <w:rFonts w:hint="eastAsia"/>
        </w:rPr>
        <w:t>四、投标保证金</w:t>
      </w:r>
      <w:r>
        <w:tab/>
      </w:r>
      <w:r>
        <w:fldChar w:fldCharType="begin"/>
      </w:r>
      <w:r>
        <w:instrText xml:space="preserve"> PAGEREF _Toc26454 </w:instrText>
      </w:r>
      <w:r>
        <w:fldChar w:fldCharType="separate"/>
      </w:r>
      <w:r>
        <w:t>155</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_Toc24335 </w:instrText>
      </w:r>
      <w:r>
        <w:rPr>
          <w:rFonts w:ascii="宋体" w:hAnsi="宋体"/>
          <w:bCs/>
          <w:caps/>
          <w:szCs w:val="21"/>
        </w:rPr>
        <w:fldChar w:fldCharType="separate"/>
      </w:r>
      <w:r>
        <w:rPr>
          <w:rFonts w:hint="eastAsia"/>
        </w:rPr>
        <w:t>四、投标保证金</w:t>
      </w:r>
      <w:r>
        <w:rPr>
          <w:rFonts w:hint="eastAsia" w:ascii="黑体" w:hAnsi="宋体"/>
          <w:szCs w:val="28"/>
          <w:highlight w:val="yellow"/>
          <w:lang w:eastAsia="zh-CN"/>
        </w:rPr>
        <w:t>（保函）</w:t>
      </w:r>
      <w:r>
        <w:tab/>
      </w:r>
      <w:r>
        <w:fldChar w:fldCharType="begin"/>
      </w:r>
      <w:r>
        <w:instrText xml:space="preserve"> PAGEREF _Toc24335 </w:instrText>
      </w:r>
      <w:r>
        <w:fldChar w:fldCharType="separate"/>
      </w:r>
      <w:r>
        <w:t>156</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_Toc9288 </w:instrText>
      </w:r>
      <w:r>
        <w:rPr>
          <w:rFonts w:ascii="宋体" w:hAnsi="宋体"/>
          <w:bCs/>
          <w:caps/>
          <w:szCs w:val="21"/>
        </w:rPr>
        <w:fldChar w:fldCharType="separate"/>
      </w:r>
      <w:r>
        <w:rPr>
          <w:rFonts w:hint="eastAsia" w:ascii="宋体" w:hAnsi="宋体"/>
          <w:bCs/>
          <w:szCs w:val="21"/>
        </w:rPr>
        <w:t>五</w:t>
      </w:r>
      <w:r>
        <w:t>、施工组织设计</w:t>
      </w:r>
      <w:r>
        <w:tab/>
      </w:r>
      <w:r>
        <w:fldChar w:fldCharType="begin"/>
      </w:r>
      <w:r>
        <w:instrText xml:space="preserve"> PAGEREF _Toc9288 </w:instrText>
      </w:r>
      <w:r>
        <w:fldChar w:fldCharType="separate"/>
      </w:r>
      <w:r>
        <w:t>157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_Toc13087 </w:instrText>
      </w:r>
      <w:r>
        <w:rPr>
          <w:rFonts w:ascii="宋体" w:hAnsi="宋体"/>
          <w:bCs/>
          <w:caps/>
          <w:szCs w:val="21"/>
        </w:rPr>
        <w:fldChar w:fldCharType="separate"/>
      </w:r>
      <w:r>
        <w:rPr>
          <w:rFonts w:hint="eastAsia"/>
        </w:rPr>
        <w:t>六、</w:t>
      </w:r>
      <w:r>
        <w:t>项目管理机构</w:t>
      </w:r>
      <w:r>
        <w:tab/>
      </w:r>
      <w:r>
        <w:fldChar w:fldCharType="begin"/>
      </w:r>
      <w:r>
        <w:instrText xml:space="preserve"> PAGEREF _Toc13087 </w:instrText>
      </w:r>
      <w:r>
        <w:fldChar w:fldCharType="separate"/>
      </w:r>
      <w:r>
        <w:t>164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 </w:instrText>
      </w:r>
      <w:r>
        <w:rPr>
          <w:rFonts w:ascii="宋体" w:hAnsi="宋体"/>
          <w:bCs/>
          <w:caps/>
          <w:szCs w:val="21"/>
        </w:rPr>
        <w:fldChar w:fldCharType="separate"/>
      </w:r>
      <w:r>
        <w:rPr>
          <w:rFonts w:hint="eastAsia"/>
          <w:szCs w:val="28"/>
        </w:rPr>
        <w:t>（一）项目管理机构主要人员表</w:t>
      </w:r>
      <w:r>
        <w:tab/>
      </w:r>
      <w:r>
        <w:fldChar w:fldCharType="begin"/>
      </w:r>
      <w:r>
        <w:instrText xml:space="preserve"> PAGEREF _Toc7 </w:instrText>
      </w:r>
      <w:r>
        <w:fldChar w:fldCharType="separate"/>
      </w:r>
      <w:r>
        <w:t>164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_Toc11828 </w:instrText>
      </w:r>
      <w:r>
        <w:rPr>
          <w:rFonts w:ascii="宋体" w:hAnsi="宋体"/>
          <w:bCs/>
          <w:caps/>
          <w:szCs w:val="21"/>
        </w:rPr>
        <w:fldChar w:fldCharType="separate"/>
      </w:r>
      <w:r>
        <w:rPr>
          <w:rFonts w:hint="eastAsia"/>
          <w:szCs w:val="28"/>
        </w:rPr>
        <w:t>（二）项目经理简历表</w:t>
      </w:r>
      <w:r>
        <w:tab/>
      </w:r>
      <w:r>
        <w:fldChar w:fldCharType="begin"/>
      </w:r>
      <w:r>
        <w:instrText xml:space="preserve"> PAGEREF _Toc11828 </w:instrText>
      </w:r>
      <w:r>
        <w:fldChar w:fldCharType="separate"/>
      </w:r>
      <w:r>
        <w:t>165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_Toc8560 </w:instrText>
      </w:r>
      <w:r>
        <w:rPr>
          <w:rFonts w:ascii="宋体" w:hAnsi="宋体"/>
          <w:bCs/>
          <w:caps/>
          <w:szCs w:val="21"/>
        </w:rPr>
        <w:fldChar w:fldCharType="separate"/>
      </w:r>
      <w:r>
        <w:rPr>
          <w:rFonts w:hint="eastAsia"/>
          <w:szCs w:val="28"/>
        </w:rPr>
        <w:t>（三）拟任项目经理无在施项目的承诺书</w:t>
      </w:r>
      <w:r>
        <w:tab/>
      </w:r>
      <w:r>
        <w:fldChar w:fldCharType="begin"/>
      </w:r>
      <w:r>
        <w:instrText xml:space="preserve"> PAGEREF _Toc8560 </w:instrText>
      </w:r>
      <w:r>
        <w:fldChar w:fldCharType="separate"/>
      </w:r>
      <w:r>
        <w:t>166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_Toc22818 </w:instrText>
      </w:r>
      <w:r>
        <w:rPr>
          <w:rFonts w:ascii="宋体" w:hAnsi="宋体"/>
          <w:bCs/>
          <w:caps/>
          <w:szCs w:val="21"/>
        </w:rPr>
        <w:fldChar w:fldCharType="separate"/>
      </w:r>
      <w:r>
        <w:rPr>
          <w:rFonts w:hint="eastAsia"/>
          <w:szCs w:val="28"/>
        </w:rPr>
        <w:t>（四）项目技术负责人简历表</w:t>
      </w:r>
      <w:r>
        <w:tab/>
      </w:r>
      <w:r>
        <w:fldChar w:fldCharType="begin"/>
      </w:r>
      <w:r>
        <w:instrText xml:space="preserve"> PAGEREF _Toc22818 </w:instrText>
      </w:r>
      <w:r>
        <w:fldChar w:fldCharType="separate"/>
      </w:r>
      <w:r>
        <w:t>167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_Toc7622 </w:instrText>
      </w:r>
      <w:r>
        <w:rPr>
          <w:rFonts w:ascii="宋体" w:hAnsi="宋体"/>
          <w:bCs/>
          <w:caps/>
          <w:szCs w:val="21"/>
        </w:rPr>
        <w:fldChar w:fldCharType="separate"/>
      </w:r>
      <w:r>
        <w:rPr>
          <w:rFonts w:hint="eastAsia"/>
          <w:szCs w:val="28"/>
        </w:rPr>
        <w:t>（五）其他主要项目管理人员简历表</w:t>
      </w:r>
      <w:r>
        <w:tab/>
      </w:r>
      <w:r>
        <w:fldChar w:fldCharType="begin"/>
      </w:r>
      <w:r>
        <w:instrText xml:space="preserve"> PAGEREF _Toc7622 </w:instrText>
      </w:r>
      <w:r>
        <w:fldChar w:fldCharType="separate"/>
      </w:r>
      <w:r>
        <w:t>168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_Toc27868 </w:instrText>
      </w:r>
      <w:r>
        <w:rPr>
          <w:rFonts w:ascii="宋体" w:hAnsi="宋体"/>
          <w:bCs/>
          <w:caps/>
          <w:szCs w:val="21"/>
        </w:rPr>
        <w:fldChar w:fldCharType="separate"/>
      </w:r>
      <w:r>
        <w:rPr>
          <w:rFonts w:hint="eastAsia"/>
          <w:szCs w:val="28"/>
        </w:rPr>
        <w:t>（六）</w:t>
      </w:r>
      <w:r>
        <w:rPr>
          <w:szCs w:val="28"/>
        </w:rPr>
        <w:t>投标人</w:t>
      </w:r>
      <w:r>
        <w:rPr>
          <w:rFonts w:hint="eastAsia"/>
          <w:szCs w:val="28"/>
        </w:rPr>
        <w:t>承诺书</w:t>
      </w:r>
      <w:r>
        <w:tab/>
      </w:r>
      <w:r>
        <w:fldChar w:fldCharType="begin"/>
      </w:r>
      <w:r>
        <w:instrText xml:space="preserve"> PAGEREF _Toc27868 </w:instrText>
      </w:r>
      <w:r>
        <w:fldChar w:fldCharType="separate"/>
      </w:r>
      <w:r>
        <w:t>169</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_Toc18439 </w:instrText>
      </w:r>
      <w:r>
        <w:rPr>
          <w:rFonts w:ascii="宋体" w:hAnsi="宋体"/>
          <w:bCs/>
          <w:caps/>
          <w:szCs w:val="21"/>
        </w:rPr>
        <w:fldChar w:fldCharType="separate"/>
      </w:r>
      <w:r>
        <w:rPr>
          <w:rFonts w:hint="eastAsia"/>
        </w:rPr>
        <w:t>七</w:t>
      </w:r>
      <w:r>
        <w:t>、已标价工程量清单</w:t>
      </w:r>
      <w:r>
        <w:tab/>
      </w:r>
      <w:r>
        <w:fldChar w:fldCharType="begin"/>
      </w:r>
      <w:r>
        <w:instrText xml:space="preserve"> PAGEREF _Toc18439 </w:instrText>
      </w:r>
      <w:r>
        <w:fldChar w:fldCharType="separate"/>
      </w:r>
      <w:r>
        <w:t>170</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_Toc16113 </w:instrText>
      </w:r>
      <w:r>
        <w:rPr>
          <w:rFonts w:ascii="宋体" w:hAnsi="宋体"/>
          <w:bCs/>
          <w:caps/>
          <w:szCs w:val="21"/>
        </w:rPr>
        <w:fldChar w:fldCharType="separate"/>
      </w:r>
      <w:r>
        <w:rPr>
          <w:rFonts w:hint="eastAsia"/>
        </w:rPr>
        <w:t>八、资格审查资料</w:t>
      </w:r>
      <w:r>
        <w:tab/>
      </w:r>
      <w:r>
        <w:fldChar w:fldCharType="begin"/>
      </w:r>
      <w:r>
        <w:instrText xml:space="preserve"> PAGEREF _Toc16113 </w:instrText>
      </w:r>
      <w:r>
        <w:fldChar w:fldCharType="separate"/>
      </w:r>
      <w:r>
        <w:t>172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_Toc23525 </w:instrText>
      </w:r>
      <w:r>
        <w:rPr>
          <w:rFonts w:ascii="宋体" w:hAnsi="宋体"/>
          <w:bCs/>
          <w:caps/>
          <w:szCs w:val="21"/>
        </w:rPr>
        <w:fldChar w:fldCharType="separate"/>
      </w:r>
      <w:r>
        <w:rPr>
          <w:rFonts w:hint="eastAsia"/>
          <w:szCs w:val="24"/>
        </w:rPr>
        <w:t>（一）投标人基本情况表</w:t>
      </w:r>
      <w:r>
        <w:tab/>
      </w:r>
      <w:r>
        <w:fldChar w:fldCharType="begin"/>
      </w:r>
      <w:r>
        <w:instrText xml:space="preserve"> PAGEREF _Toc23525 </w:instrText>
      </w:r>
      <w:r>
        <w:fldChar w:fldCharType="separate"/>
      </w:r>
      <w:r>
        <w:t>172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_Toc28449 </w:instrText>
      </w:r>
      <w:r>
        <w:rPr>
          <w:rFonts w:ascii="宋体" w:hAnsi="宋体"/>
          <w:bCs/>
          <w:caps/>
          <w:szCs w:val="21"/>
        </w:rPr>
        <w:fldChar w:fldCharType="separate"/>
      </w:r>
      <w:r>
        <w:rPr>
          <w:rFonts w:hint="eastAsia"/>
          <w:szCs w:val="24"/>
        </w:rPr>
        <w:t>（二）投标人信用信誉情况</w:t>
      </w:r>
      <w:r>
        <w:tab/>
      </w:r>
      <w:r>
        <w:fldChar w:fldCharType="begin"/>
      </w:r>
      <w:r>
        <w:instrText xml:space="preserve"> PAGEREF _Toc28449 </w:instrText>
      </w:r>
      <w:r>
        <w:fldChar w:fldCharType="separate"/>
      </w:r>
      <w:r>
        <w:t>173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_Toc27024 </w:instrText>
      </w:r>
      <w:r>
        <w:rPr>
          <w:rFonts w:ascii="宋体" w:hAnsi="宋体"/>
          <w:bCs/>
          <w:caps/>
          <w:szCs w:val="21"/>
        </w:rPr>
        <w:fldChar w:fldCharType="separate"/>
      </w:r>
      <w:r>
        <w:rPr>
          <w:rFonts w:hint="eastAsia"/>
          <w:szCs w:val="24"/>
        </w:rPr>
        <w:t>2-1 企业信誉声明</w:t>
      </w:r>
      <w:r>
        <w:tab/>
      </w:r>
      <w:r>
        <w:fldChar w:fldCharType="begin"/>
      </w:r>
      <w:r>
        <w:instrText xml:space="preserve"> PAGEREF _Toc27024 </w:instrText>
      </w:r>
      <w:r>
        <w:fldChar w:fldCharType="separate"/>
      </w:r>
      <w:r>
        <w:t>173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_Toc18061 </w:instrText>
      </w:r>
      <w:r>
        <w:rPr>
          <w:rFonts w:ascii="宋体" w:hAnsi="宋体"/>
          <w:bCs/>
          <w:caps/>
          <w:szCs w:val="21"/>
        </w:rPr>
        <w:fldChar w:fldCharType="separate"/>
      </w:r>
      <w:r>
        <w:rPr>
          <w:rFonts w:hint="eastAsia"/>
          <w:szCs w:val="24"/>
        </w:rPr>
        <w:t xml:space="preserve">2-2 </w:t>
      </w:r>
      <w:r>
        <w:rPr>
          <w:rFonts w:hint="eastAsia"/>
          <w:szCs w:val="21"/>
        </w:rPr>
        <w:t>严重违法失信企业</w:t>
      </w:r>
      <w:r>
        <w:rPr>
          <w:szCs w:val="24"/>
        </w:rPr>
        <w:t>查询结果</w:t>
      </w:r>
      <w:r>
        <w:tab/>
      </w:r>
      <w:r>
        <w:fldChar w:fldCharType="begin"/>
      </w:r>
      <w:r>
        <w:instrText xml:space="preserve"> PAGEREF _Toc18061 </w:instrText>
      </w:r>
      <w:r>
        <w:fldChar w:fldCharType="separate"/>
      </w:r>
      <w:r>
        <w:t>174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_Toc20652 </w:instrText>
      </w:r>
      <w:r>
        <w:rPr>
          <w:rFonts w:ascii="宋体" w:hAnsi="宋体"/>
          <w:bCs/>
          <w:caps/>
          <w:szCs w:val="21"/>
        </w:rPr>
        <w:fldChar w:fldCharType="separate"/>
      </w:r>
      <w:r>
        <w:rPr>
          <w:rFonts w:hint="eastAsia"/>
          <w:szCs w:val="24"/>
        </w:rPr>
        <w:t>2-3 失信被执行人</w:t>
      </w:r>
      <w:r>
        <w:rPr>
          <w:szCs w:val="24"/>
        </w:rPr>
        <w:t>查询结果</w:t>
      </w:r>
      <w:r>
        <w:tab/>
      </w:r>
      <w:r>
        <w:fldChar w:fldCharType="begin"/>
      </w:r>
      <w:r>
        <w:instrText xml:space="preserve"> PAGEREF _Toc20652 </w:instrText>
      </w:r>
      <w:r>
        <w:fldChar w:fldCharType="separate"/>
      </w:r>
      <w:r>
        <w:t>175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_Toc32061 </w:instrText>
      </w:r>
      <w:r>
        <w:rPr>
          <w:rFonts w:ascii="宋体" w:hAnsi="宋体"/>
          <w:bCs/>
          <w:caps/>
          <w:szCs w:val="21"/>
        </w:rPr>
        <w:fldChar w:fldCharType="separate"/>
      </w:r>
      <w:r>
        <w:rPr>
          <w:rFonts w:hint="eastAsia"/>
          <w:szCs w:val="24"/>
        </w:rPr>
        <w:t>2-4无行贿犯罪行为的声明</w:t>
      </w:r>
      <w:r>
        <w:tab/>
      </w:r>
      <w:r>
        <w:fldChar w:fldCharType="begin"/>
      </w:r>
      <w:r>
        <w:instrText xml:space="preserve"> PAGEREF _Toc32061 </w:instrText>
      </w:r>
      <w:r>
        <w:fldChar w:fldCharType="separate"/>
      </w:r>
      <w:r>
        <w:t>176</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_Toc19503 </w:instrText>
      </w:r>
      <w:r>
        <w:rPr>
          <w:rFonts w:ascii="宋体" w:hAnsi="宋体"/>
          <w:bCs/>
          <w:caps/>
          <w:szCs w:val="21"/>
        </w:rPr>
        <w:fldChar w:fldCharType="separate"/>
      </w:r>
      <w:r>
        <w:rPr>
          <w:rFonts w:hint="eastAsia"/>
          <w:szCs w:val="24"/>
        </w:rPr>
        <w:t xml:space="preserve">2-5 </w:t>
      </w:r>
      <w:r>
        <w:rPr>
          <w:szCs w:val="24"/>
        </w:rPr>
        <w:t>水利市场信用</w:t>
      </w:r>
      <w:r>
        <w:rPr>
          <w:rFonts w:hint="eastAsia"/>
          <w:szCs w:val="24"/>
        </w:rPr>
        <w:t>、</w:t>
      </w:r>
      <w:r>
        <w:rPr>
          <w:szCs w:val="24"/>
        </w:rPr>
        <w:t>安全生产标准化</w:t>
      </w:r>
      <w:r>
        <w:rPr>
          <w:rFonts w:hint="eastAsia"/>
          <w:szCs w:val="24"/>
        </w:rPr>
        <w:t>、获得奖励、管理体系认证、</w:t>
      </w:r>
      <w:r>
        <w:rPr>
          <w:szCs w:val="24"/>
        </w:rPr>
        <w:t>守合同重信用情况</w:t>
      </w:r>
      <w:r>
        <w:tab/>
      </w:r>
      <w:r>
        <w:fldChar w:fldCharType="begin"/>
      </w:r>
      <w:r>
        <w:instrText xml:space="preserve"> PAGEREF _Toc19503 </w:instrText>
      </w:r>
      <w:r>
        <w:fldChar w:fldCharType="separate"/>
      </w:r>
      <w:r>
        <w:t>177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_Toc284 </w:instrText>
      </w:r>
      <w:r>
        <w:rPr>
          <w:rFonts w:ascii="宋体" w:hAnsi="宋体"/>
          <w:bCs/>
          <w:caps/>
          <w:szCs w:val="21"/>
        </w:rPr>
        <w:fldChar w:fldCharType="separate"/>
      </w:r>
      <w:r>
        <w:rPr>
          <w:rFonts w:hint="eastAsia"/>
        </w:rPr>
        <w:t>1.</w:t>
      </w:r>
      <w:r>
        <w:t>水利市场信用</w:t>
      </w:r>
      <w:r>
        <w:rPr>
          <w:rFonts w:hint="eastAsia"/>
        </w:rPr>
        <w:t>情况</w:t>
      </w:r>
      <w:r>
        <w:tab/>
      </w:r>
      <w:r>
        <w:fldChar w:fldCharType="begin"/>
      </w:r>
      <w:r>
        <w:instrText xml:space="preserve"> PAGEREF _Toc284 </w:instrText>
      </w:r>
      <w:r>
        <w:fldChar w:fldCharType="separate"/>
      </w:r>
      <w:r>
        <w:t>177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_Toc24059 </w:instrText>
      </w:r>
      <w:r>
        <w:rPr>
          <w:rFonts w:ascii="宋体" w:hAnsi="宋体"/>
          <w:bCs/>
          <w:caps/>
          <w:szCs w:val="21"/>
        </w:rPr>
        <w:fldChar w:fldCharType="separate"/>
      </w:r>
      <w:r>
        <w:rPr>
          <w:rFonts w:hint="eastAsia"/>
        </w:rPr>
        <w:t>2.安全生产标准化情况</w:t>
      </w:r>
      <w:r>
        <w:tab/>
      </w:r>
      <w:r>
        <w:fldChar w:fldCharType="begin"/>
      </w:r>
      <w:r>
        <w:instrText xml:space="preserve"> PAGEREF _Toc24059 </w:instrText>
      </w:r>
      <w:r>
        <w:fldChar w:fldCharType="separate"/>
      </w:r>
      <w:r>
        <w:t>178</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_Toc29084 </w:instrText>
      </w:r>
      <w:r>
        <w:rPr>
          <w:rFonts w:ascii="宋体" w:hAnsi="宋体"/>
          <w:bCs/>
          <w:caps/>
          <w:szCs w:val="21"/>
        </w:rPr>
        <w:fldChar w:fldCharType="separate"/>
      </w:r>
      <w:r>
        <w:rPr>
          <w:rFonts w:hint="eastAsia"/>
        </w:rPr>
        <w:t>3.获得奖励</w:t>
      </w:r>
      <w:r>
        <w:t>情况</w:t>
      </w:r>
      <w:r>
        <w:tab/>
      </w:r>
      <w:r>
        <w:fldChar w:fldCharType="begin"/>
      </w:r>
      <w:r>
        <w:instrText xml:space="preserve"> PAGEREF _Toc29084 </w:instrText>
      </w:r>
      <w:r>
        <w:fldChar w:fldCharType="separate"/>
      </w:r>
      <w:r>
        <w:t>179</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_Toc23961 </w:instrText>
      </w:r>
      <w:r>
        <w:rPr>
          <w:rFonts w:ascii="宋体" w:hAnsi="宋体"/>
          <w:bCs/>
          <w:caps/>
          <w:szCs w:val="21"/>
        </w:rPr>
        <w:fldChar w:fldCharType="separate"/>
      </w:r>
      <w:r>
        <w:rPr>
          <w:rFonts w:hint="eastAsia"/>
        </w:rPr>
        <w:t>4.管理体系认证情况</w:t>
      </w:r>
      <w:r>
        <w:tab/>
      </w:r>
      <w:r>
        <w:fldChar w:fldCharType="begin"/>
      </w:r>
      <w:r>
        <w:instrText xml:space="preserve"> PAGEREF _Toc23961 </w:instrText>
      </w:r>
      <w:r>
        <w:fldChar w:fldCharType="separate"/>
      </w:r>
      <w:r>
        <w:t>180</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_Toc30000 </w:instrText>
      </w:r>
      <w:r>
        <w:rPr>
          <w:rFonts w:ascii="宋体" w:hAnsi="宋体"/>
          <w:bCs/>
          <w:caps/>
          <w:szCs w:val="21"/>
        </w:rPr>
        <w:fldChar w:fldCharType="separate"/>
      </w:r>
      <w:r>
        <w:rPr>
          <w:rFonts w:hint="eastAsia"/>
        </w:rPr>
        <w:t>5.</w:t>
      </w:r>
      <w:r>
        <w:t>守合同重信用情况</w:t>
      </w:r>
      <w:r>
        <w:tab/>
      </w:r>
      <w:r>
        <w:fldChar w:fldCharType="begin"/>
      </w:r>
      <w:r>
        <w:instrText xml:space="preserve"> PAGEREF _Toc30000 </w:instrText>
      </w:r>
      <w:r>
        <w:fldChar w:fldCharType="separate"/>
      </w:r>
      <w:r>
        <w:t>181</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_Toc32054 </w:instrText>
      </w:r>
      <w:r>
        <w:rPr>
          <w:rFonts w:ascii="宋体" w:hAnsi="宋体"/>
          <w:bCs/>
          <w:caps/>
          <w:szCs w:val="21"/>
        </w:rPr>
        <w:fldChar w:fldCharType="separate"/>
      </w:r>
      <w:r>
        <w:rPr>
          <w:rFonts w:hint="eastAsia"/>
          <w:szCs w:val="24"/>
        </w:rPr>
        <w:t>2-6 近3年发生的诉讼和仲裁情况表</w:t>
      </w:r>
      <w:r>
        <w:tab/>
      </w:r>
      <w:r>
        <w:fldChar w:fldCharType="begin"/>
      </w:r>
      <w:r>
        <w:instrText xml:space="preserve"> PAGEREF _Toc32054 </w:instrText>
      </w:r>
      <w:r>
        <w:fldChar w:fldCharType="separate"/>
      </w:r>
      <w:r>
        <w:t>182</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_Toc1074 </w:instrText>
      </w:r>
      <w:r>
        <w:rPr>
          <w:rFonts w:ascii="宋体" w:hAnsi="宋体"/>
          <w:bCs/>
          <w:caps/>
          <w:szCs w:val="21"/>
        </w:rPr>
        <w:fldChar w:fldCharType="separate"/>
      </w:r>
      <w:r>
        <w:rPr>
          <w:rFonts w:hint="eastAsia"/>
          <w:szCs w:val="24"/>
        </w:rPr>
        <w:t>（三）投标人财务状况</w:t>
      </w:r>
      <w:r>
        <w:tab/>
      </w:r>
      <w:r>
        <w:fldChar w:fldCharType="begin"/>
      </w:r>
      <w:r>
        <w:instrText xml:space="preserve"> PAGEREF _Toc1074 </w:instrText>
      </w:r>
      <w:r>
        <w:fldChar w:fldCharType="separate"/>
      </w:r>
      <w:r>
        <w:t>183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_Toc12234 </w:instrText>
      </w:r>
      <w:r>
        <w:rPr>
          <w:rFonts w:ascii="宋体" w:hAnsi="宋体"/>
          <w:bCs/>
          <w:caps/>
          <w:szCs w:val="21"/>
        </w:rPr>
        <w:fldChar w:fldCharType="separate"/>
      </w:r>
      <w:r>
        <w:rPr>
          <w:rFonts w:hint="eastAsia"/>
          <w:szCs w:val="24"/>
        </w:rPr>
        <w:t>3-1 近三年财务状况表</w:t>
      </w:r>
      <w:r>
        <w:tab/>
      </w:r>
      <w:r>
        <w:fldChar w:fldCharType="begin"/>
      </w:r>
      <w:r>
        <w:instrText xml:space="preserve"> PAGEREF _Toc12234 </w:instrText>
      </w:r>
      <w:r>
        <w:fldChar w:fldCharType="separate"/>
      </w:r>
      <w:r>
        <w:t>183</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_Toc21067 </w:instrText>
      </w:r>
      <w:r>
        <w:rPr>
          <w:rFonts w:ascii="宋体" w:hAnsi="宋体"/>
          <w:bCs/>
          <w:caps/>
          <w:szCs w:val="21"/>
        </w:rPr>
        <w:fldChar w:fldCharType="separate"/>
      </w:r>
      <w:r>
        <w:rPr>
          <w:rFonts w:hint="eastAsia"/>
          <w:szCs w:val="24"/>
        </w:rPr>
        <w:t>（四）投标人业绩情况</w:t>
      </w:r>
      <w:r>
        <w:tab/>
      </w:r>
      <w:r>
        <w:fldChar w:fldCharType="begin"/>
      </w:r>
      <w:r>
        <w:instrText xml:space="preserve"> PAGEREF _Toc21067 </w:instrText>
      </w:r>
      <w:r>
        <w:fldChar w:fldCharType="separate"/>
      </w:r>
      <w:r>
        <w:t>184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_Toc1563 </w:instrText>
      </w:r>
      <w:r>
        <w:rPr>
          <w:rFonts w:ascii="宋体" w:hAnsi="宋体"/>
          <w:bCs/>
          <w:caps/>
          <w:szCs w:val="21"/>
        </w:rPr>
        <w:fldChar w:fldCharType="separate"/>
      </w:r>
      <w:r>
        <w:rPr>
          <w:rFonts w:hint="eastAsia"/>
          <w:szCs w:val="24"/>
        </w:rPr>
        <w:t>4-1 近五年承接的同类工程情况</w:t>
      </w:r>
      <w:r>
        <w:tab/>
      </w:r>
      <w:r>
        <w:fldChar w:fldCharType="begin"/>
      </w:r>
      <w:r>
        <w:instrText xml:space="preserve"> PAGEREF _Toc1563 </w:instrText>
      </w:r>
      <w:r>
        <w:fldChar w:fldCharType="separate"/>
      </w:r>
      <w:r>
        <w:t>184</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_Toc14109 </w:instrText>
      </w:r>
      <w:r>
        <w:rPr>
          <w:rFonts w:ascii="宋体" w:hAnsi="宋体"/>
          <w:bCs/>
          <w:caps/>
          <w:szCs w:val="21"/>
        </w:rPr>
        <w:fldChar w:fldCharType="separate"/>
      </w:r>
      <w:r>
        <w:rPr>
          <w:rFonts w:hint="eastAsia"/>
          <w:szCs w:val="24"/>
        </w:rPr>
        <w:t>4-2 近五年承接的类似工程情况</w:t>
      </w:r>
      <w:r>
        <w:tab/>
      </w:r>
      <w:r>
        <w:fldChar w:fldCharType="begin"/>
      </w:r>
      <w:r>
        <w:instrText xml:space="preserve"> PAGEREF _Toc14109 </w:instrText>
      </w:r>
      <w:r>
        <w:fldChar w:fldCharType="separate"/>
      </w:r>
      <w:r>
        <w:t>185</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_Toc9074 </w:instrText>
      </w:r>
      <w:r>
        <w:rPr>
          <w:rFonts w:ascii="宋体" w:hAnsi="宋体"/>
          <w:bCs/>
          <w:caps/>
          <w:szCs w:val="21"/>
        </w:rPr>
        <w:fldChar w:fldCharType="separate"/>
      </w:r>
      <w:r>
        <w:rPr>
          <w:rFonts w:hint="eastAsia"/>
          <w:szCs w:val="24"/>
        </w:rPr>
        <w:t>（五）项目管理机构主要人员及简历</w:t>
      </w:r>
      <w:r>
        <w:tab/>
      </w:r>
      <w:r>
        <w:fldChar w:fldCharType="begin"/>
      </w:r>
      <w:r>
        <w:instrText xml:space="preserve"> PAGEREF _Toc9074 </w:instrText>
      </w:r>
      <w:r>
        <w:fldChar w:fldCharType="separate"/>
      </w:r>
      <w:r>
        <w:t>187</w:t>
      </w:r>
      <w:r>
        <w:fldChar w:fldCharType="end"/>
      </w:r>
      <w:r>
        <w:rPr>
          <w:rFonts w:ascii="宋体" w:hAnsi="宋体"/>
          <w:bCs/>
          <w:caps/>
          <w:color w:val="auto"/>
          <w:szCs w:val="21"/>
        </w:rPr>
        <w:fldChar w:fldCharType="end"/>
      </w:r>
    </w:p>
    <w:p>
      <w:pPr>
        <w:pStyle w:val="18"/>
        <w:tabs>
          <w:tab w:val="right" w:leader="dot" w:pos="9070"/>
          <w:tab w:val="clear" w:pos="9060"/>
        </w:tabs>
      </w:pPr>
      <w:r>
        <w:rPr>
          <w:rFonts w:ascii="宋体" w:hAnsi="宋体"/>
          <w:bCs/>
          <w:caps/>
          <w:color w:val="auto"/>
          <w:szCs w:val="21"/>
        </w:rPr>
        <w:fldChar w:fldCharType="begin"/>
      </w:r>
      <w:r>
        <w:rPr>
          <w:rFonts w:ascii="宋体" w:hAnsi="宋体"/>
          <w:bCs/>
          <w:caps/>
          <w:szCs w:val="21"/>
        </w:rPr>
        <w:instrText xml:space="preserve"> HYPERLINK \l _Toc29265 </w:instrText>
      </w:r>
      <w:r>
        <w:rPr>
          <w:rFonts w:ascii="宋体" w:hAnsi="宋体"/>
          <w:bCs/>
          <w:caps/>
          <w:szCs w:val="21"/>
        </w:rPr>
        <w:fldChar w:fldCharType="separate"/>
      </w:r>
      <w:r>
        <w:rPr>
          <w:rFonts w:hint="eastAsia"/>
          <w:szCs w:val="24"/>
        </w:rPr>
        <w:t>（六）拟投入主要施工设备情况</w:t>
      </w:r>
      <w:r>
        <w:tab/>
      </w:r>
      <w:r>
        <w:fldChar w:fldCharType="begin"/>
      </w:r>
      <w:r>
        <w:instrText xml:space="preserve"> PAGEREF _Toc29265 </w:instrText>
      </w:r>
      <w:r>
        <w:fldChar w:fldCharType="separate"/>
      </w:r>
      <w:r>
        <w:t>187</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_Toc21583 </w:instrText>
      </w:r>
      <w:r>
        <w:rPr>
          <w:rFonts w:ascii="宋体" w:hAnsi="宋体"/>
          <w:bCs/>
          <w:caps/>
          <w:szCs w:val="21"/>
        </w:rPr>
        <w:fldChar w:fldCharType="separate"/>
      </w:r>
      <w:r>
        <w:rPr>
          <w:rFonts w:hint="eastAsia"/>
        </w:rPr>
        <w:t>九、</w:t>
      </w:r>
      <w:r>
        <w:t>拟分包项目情况表</w:t>
      </w:r>
      <w:r>
        <w:tab/>
      </w:r>
      <w:r>
        <w:fldChar w:fldCharType="begin"/>
      </w:r>
      <w:r>
        <w:instrText xml:space="preserve"> PAGEREF _Toc21583 </w:instrText>
      </w:r>
      <w:r>
        <w:fldChar w:fldCharType="separate"/>
      </w:r>
      <w:r>
        <w:t>188</w:t>
      </w:r>
      <w:r>
        <w:fldChar w:fldCharType="end"/>
      </w:r>
      <w:r>
        <w:rPr>
          <w:rFonts w:ascii="宋体" w:hAnsi="宋体"/>
          <w:bCs/>
          <w:caps/>
          <w:color w:val="auto"/>
          <w:szCs w:val="21"/>
        </w:rPr>
        <w:fldChar w:fldCharType="end"/>
      </w:r>
    </w:p>
    <w:p>
      <w:pPr>
        <w:pStyle w:val="30"/>
        <w:tabs>
          <w:tab w:val="right" w:leader="dot" w:pos="9070"/>
        </w:tabs>
      </w:pPr>
      <w:r>
        <w:rPr>
          <w:rFonts w:ascii="宋体" w:hAnsi="宋体"/>
          <w:bCs/>
          <w:caps/>
          <w:color w:val="auto"/>
          <w:szCs w:val="21"/>
        </w:rPr>
        <w:fldChar w:fldCharType="begin"/>
      </w:r>
      <w:r>
        <w:rPr>
          <w:rFonts w:ascii="宋体" w:hAnsi="宋体"/>
          <w:bCs/>
          <w:caps/>
          <w:szCs w:val="21"/>
        </w:rPr>
        <w:instrText xml:space="preserve"> HYPERLINK \l _Toc25590 </w:instrText>
      </w:r>
      <w:r>
        <w:rPr>
          <w:rFonts w:ascii="宋体" w:hAnsi="宋体"/>
          <w:bCs/>
          <w:caps/>
          <w:szCs w:val="21"/>
        </w:rPr>
        <w:fldChar w:fldCharType="separate"/>
      </w:r>
      <w:r>
        <w:rPr>
          <w:rFonts w:hint="eastAsia"/>
        </w:rPr>
        <w:t>十、投标人认为需提供的其他材料</w:t>
      </w:r>
      <w:r>
        <w:tab/>
      </w:r>
      <w:r>
        <w:fldChar w:fldCharType="begin"/>
      </w:r>
      <w:r>
        <w:instrText xml:space="preserve"> PAGEREF _Toc25590 </w:instrText>
      </w:r>
      <w:r>
        <w:fldChar w:fldCharType="separate"/>
      </w:r>
      <w:r>
        <w:t>189</w:t>
      </w:r>
      <w:r>
        <w:fldChar w:fldCharType="end"/>
      </w:r>
      <w:r>
        <w:rPr>
          <w:rFonts w:ascii="宋体" w:hAnsi="宋体"/>
          <w:bCs/>
          <w:caps/>
          <w:color w:val="auto"/>
          <w:szCs w:val="21"/>
        </w:rPr>
        <w:fldChar w:fldCharType="end"/>
      </w:r>
    </w:p>
    <w:p>
      <w:pPr>
        <w:adjustRightInd w:val="0"/>
        <w:snapToGrid w:val="0"/>
        <w:spacing w:line="293" w:lineRule="auto"/>
        <w:rPr>
          <w:rFonts w:ascii="宋体" w:hAnsi="宋体"/>
          <w:color w:val="auto"/>
          <w:szCs w:val="21"/>
        </w:rPr>
      </w:pPr>
      <w:r>
        <w:rPr>
          <w:rFonts w:ascii="宋体" w:hAnsi="宋体"/>
          <w:bCs/>
          <w:caps/>
          <w:color w:val="auto"/>
          <w:szCs w:val="21"/>
        </w:rPr>
        <w:fldChar w:fldCharType="end"/>
      </w:r>
    </w:p>
    <w:p>
      <w:pPr>
        <w:pStyle w:val="30"/>
        <w:tabs>
          <w:tab w:val="right" w:leader="dot" w:pos="9060"/>
        </w:tabs>
        <w:rPr>
          <w:rFonts w:hint="eastAsia" w:ascii="Arial" w:hAnsi="Arial" w:eastAsia="黑体"/>
          <w:color w:val="auto"/>
          <w:sz w:val="21"/>
          <w:szCs w:val="21"/>
          <w:u w:val="single"/>
        </w:rPr>
        <w:sectPr>
          <w:pgSz w:w="11906" w:h="16838"/>
          <w:pgMar w:top="1418" w:right="1418" w:bottom="1418" w:left="1418" w:header="851" w:footer="992" w:gutter="0"/>
          <w:pgNumType w:fmt="upperRoman" w:start="1"/>
          <w:cols w:space="720" w:num="1"/>
          <w:docGrid w:type="linesAndChars" w:linePitch="312" w:charSpace="0"/>
        </w:sect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jc w:val="center"/>
        <w:rPr>
          <w:rFonts w:hint="eastAsia"/>
          <w:color w:val="auto"/>
        </w:rPr>
      </w:pPr>
    </w:p>
    <w:p>
      <w:pPr>
        <w:pStyle w:val="2"/>
        <w:spacing w:before="120" w:after="120" w:line="400" w:lineRule="exact"/>
        <w:rPr>
          <w:rFonts w:hint="eastAsia" w:ascii="黑体" w:hAnsi="黑体" w:eastAsia="黑体"/>
          <w:b w:val="0"/>
          <w:bCs w:val="0"/>
          <w:color w:val="auto"/>
          <w:sz w:val="36"/>
          <w:szCs w:val="36"/>
        </w:rPr>
      </w:pPr>
      <w:bookmarkStart w:id="17" w:name="_Toc10150"/>
      <w:r>
        <w:rPr>
          <w:rFonts w:hint="eastAsia" w:ascii="黑体" w:hAnsi="黑体" w:eastAsia="黑体"/>
          <w:b w:val="0"/>
          <w:bCs w:val="0"/>
          <w:color w:val="auto"/>
          <w:sz w:val="36"/>
          <w:szCs w:val="36"/>
        </w:rPr>
        <w:t>第  一  卷</w:t>
      </w:r>
      <w:bookmarkEnd w:id="11"/>
      <w:bookmarkEnd w:id="12"/>
      <w:bookmarkEnd w:id="13"/>
      <w:bookmarkEnd w:id="17"/>
      <w:bookmarkStart w:id="18" w:name="_Toc221949920"/>
      <w:bookmarkStart w:id="19" w:name="_Toc387753531"/>
      <w:bookmarkStart w:id="20" w:name="_Toc222032631"/>
      <w:bookmarkStart w:id="21" w:name="_Toc168475625"/>
      <w:bookmarkStart w:id="22" w:name="_Toc222029462"/>
      <w:bookmarkStart w:id="23" w:name="_Toc144974479"/>
      <w:bookmarkStart w:id="24" w:name="_Toc222030964"/>
      <w:bookmarkStart w:id="25" w:name="_Toc168476028"/>
      <w:bookmarkStart w:id="26" w:name="_Toc222033813"/>
      <w:bookmarkStart w:id="27" w:name="_Toc229305322"/>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2"/>
        <w:spacing w:before="120" w:after="120" w:line="400" w:lineRule="exact"/>
        <w:rPr>
          <w:b w:val="0"/>
          <w:color w:val="auto"/>
        </w:rPr>
      </w:pPr>
      <w:bookmarkStart w:id="28" w:name="_Toc11188"/>
      <w:bookmarkStart w:id="29" w:name="_Toc491089624"/>
      <w:r>
        <w:rPr>
          <w:rFonts w:hint="eastAsia" w:ascii="黑体" w:hAnsi="黑体" w:eastAsia="黑体"/>
          <w:b w:val="0"/>
          <w:bCs w:val="0"/>
          <w:color w:val="auto"/>
          <w:sz w:val="32"/>
        </w:rPr>
        <w:t>第一章  招标公告（适用于未进行资格预审）</w:t>
      </w:r>
      <w:bookmarkEnd w:id="18"/>
      <w:bookmarkEnd w:id="19"/>
      <w:bookmarkEnd w:id="20"/>
      <w:bookmarkEnd w:id="21"/>
      <w:bookmarkEnd w:id="22"/>
      <w:bookmarkEnd w:id="23"/>
      <w:bookmarkEnd w:id="24"/>
      <w:bookmarkEnd w:id="25"/>
      <w:bookmarkEnd w:id="26"/>
      <w:bookmarkEnd w:id="27"/>
      <w:bookmarkEnd w:id="28"/>
      <w:bookmarkEnd w:id="29"/>
    </w:p>
    <w:p>
      <w:pPr>
        <w:tabs>
          <w:tab w:val="center" w:pos="4153"/>
        </w:tabs>
        <w:spacing w:line="440" w:lineRule="exact"/>
        <w:rPr>
          <w:rFonts w:hint="eastAsia" w:eastAsia="黑体"/>
          <w:color w:val="auto"/>
          <w:sz w:val="17"/>
          <w:szCs w:val="17"/>
        </w:rPr>
      </w:pPr>
    </w:p>
    <w:bookmarkEnd w:id="1"/>
    <w:bookmarkEnd w:id="2"/>
    <w:bookmarkEnd w:id="3"/>
    <w:bookmarkEnd w:id="4"/>
    <w:bookmarkEnd w:id="5"/>
    <w:bookmarkEnd w:id="6"/>
    <w:bookmarkEnd w:id="7"/>
    <w:bookmarkEnd w:id="8"/>
    <w:bookmarkEnd w:id="9"/>
    <w:p>
      <w:pPr>
        <w:spacing w:line="440" w:lineRule="exact"/>
        <w:jc w:val="center"/>
        <w:rPr>
          <w:rFonts w:hint="eastAsia" w:eastAsia="黑体"/>
          <w:color w:val="auto"/>
          <w:sz w:val="28"/>
          <w:szCs w:val="28"/>
        </w:rPr>
      </w:pPr>
      <w:r>
        <w:rPr>
          <w:rFonts w:hint="eastAsia"/>
          <w:color w:val="auto"/>
          <w:sz w:val="28"/>
          <w:szCs w:val="28"/>
          <w:u w:val="single"/>
        </w:rPr>
        <w:t xml:space="preserve">             </w:t>
      </w:r>
      <w:r>
        <w:rPr>
          <w:rFonts w:hint="eastAsia"/>
          <w:color w:val="auto"/>
          <w:sz w:val="28"/>
          <w:szCs w:val="28"/>
        </w:rPr>
        <w:t>(项目名称)</w:t>
      </w:r>
      <w:r>
        <w:rPr>
          <w:rFonts w:hint="eastAsia"/>
          <w:color w:val="auto"/>
          <w:sz w:val="28"/>
          <w:szCs w:val="28"/>
          <w:u w:val="single"/>
        </w:rPr>
        <w:t xml:space="preserve">        </w:t>
      </w:r>
      <w:r>
        <w:rPr>
          <w:rFonts w:hint="eastAsia"/>
          <w:color w:val="auto"/>
          <w:sz w:val="28"/>
          <w:szCs w:val="28"/>
        </w:rPr>
        <w:t>（标段名称）</w:t>
      </w:r>
      <w:bookmarkStart w:id="30" w:name="_Toc221949921"/>
      <w:r>
        <w:rPr>
          <w:rFonts w:hint="eastAsia"/>
          <w:color w:val="auto"/>
          <w:sz w:val="28"/>
          <w:szCs w:val="28"/>
          <w:u w:val="single"/>
        </w:rPr>
        <w:t xml:space="preserve">  施工  </w:t>
      </w:r>
      <w:r>
        <w:rPr>
          <w:rFonts w:hint="eastAsia" w:eastAsia="黑体"/>
          <w:color w:val="auto"/>
          <w:sz w:val="28"/>
          <w:szCs w:val="28"/>
        </w:rPr>
        <w:t>招标公告</w:t>
      </w:r>
      <w:bookmarkEnd w:id="30"/>
    </w:p>
    <w:p>
      <w:pPr>
        <w:spacing w:before="156" w:beforeLines="50" w:after="156" w:afterLines="50" w:line="360" w:lineRule="auto"/>
        <w:jc w:val="center"/>
        <w:rPr>
          <w:rFonts w:eastAsia="黑体"/>
          <w:color w:val="auto"/>
          <w:sz w:val="20"/>
          <w:szCs w:val="20"/>
        </w:rPr>
      </w:pPr>
      <w:r>
        <w:rPr>
          <w:rFonts w:hint="eastAsia"/>
          <w:color w:val="auto"/>
          <w:szCs w:val="21"/>
        </w:rPr>
        <w:t>招标编号：</w:t>
      </w:r>
      <w:r>
        <w:rPr>
          <w:rFonts w:hint="eastAsia"/>
          <w:color w:val="auto"/>
          <w:szCs w:val="21"/>
          <w:u w:val="single"/>
        </w:rPr>
        <w:t xml:space="preserve">        </w:t>
      </w:r>
      <w:r>
        <w:rPr>
          <w:rFonts w:hint="eastAsia" w:ascii="楷体_GB2312" w:hAnsi="宋体" w:eastAsia="楷体_GB2312"/>
          <w:color w:val="auto"/>
          <w:szCs w:val="21"/>
        </w:rPr>
        <w:t xml:space="preserve">    </w:t>
      </w:r>
      <w:r>
        <w:rPr>
          <w:rFonts w:eastAsia="黑体"/>
          <w:color w:val="auto"/>
          <w:sz w:val="20"/>
          <w:szCs w:val="20"/>
        </w:rPr>
        <w:t xml:space="preserve">           </w:t>
      </w:r>
    </w:p>
    <w:p>
      <w:pPr>
        <w:pStyle w:val="80"/>
        <w:spacing w:before="120" w:after="156" w:afterLines="50"/>
        <w:rPr>
          <w:color w:val="auto"/>
        </w:rPr>
      </w:pPr>
      <w:bookmarkStart w:id="31" w:name="_Toc222032632"/>
      <w:bookmarkStart w:id="32" w:name="_Toc144974480"/>
      <w:bookmarkStart w:id="33" w:name="_Toc168475626"/>
      <w:bookmarkStart w:id="34" w:name="_Toc222030965"/>
      <w:bookmarkStart w:id="35" w:name="_Toc222033814"/>
      <w:bookmarkStart w:id="36" w:name="_Toc221949922"/>
      <w:bookmarkStart w:id="37" w:name="_Toc28016"/>
      <w:bookmarkStart w:id="38" w:name="_Toc387753532"/>
      <w:bookmarkStart w:id="39" w:name="_Toc229305323"/>
      <w:bookmarkStart w:id="40" w:name="_Toc222029463"/>
      <w:bookmarkStart w:id="41" w:name="_Toc168476029"/>
      <w:bookmarkStart w:id="42" w:name="_Toc491089625"/>
      <w:r>
        <w:rPr>
          <w:color w:val="auto"/>
        </w:rPr>
        <w:t xml:space="preserve">1. </w:t>
      </w:r>
      <w:r>
        <w:rPr>
          <w:rFonts w:hint="eastAsia"/>
          <w:color w:val="auto"/>
        </w:rPr>
        <w:t>招标条件</w:t>
      </w:r>
      <w:bookmarkEnd w:id="31"/>
      <w:bookmarkEnd w:id="32"/>
      <w:bookmarkEnd w:id="33"/>
      <w:bookmarkEnd w:id="34"/>
      <w:bookmarkEnd w:id="35"/>
      <w:bookmarkEnd w:id="36"/>
      <w:bookmarkEnd w:id="37"/>
      <w:bookmarkEnd w:id="38"/>
      <w:bookmarkEnd w:id="39"/>
      <w:bookmarkEnd w:id="40"/>
      <w:bookmarkEnd w:id="41"/>
      <w:bookmarkEnd w:id="42"/>
    </w:p>
    <w:p>
      <w:pPr>
        <w:adjustRightInd w:val="0"/>
        <w:snapToGrid w:val="0"/>
        <w:spacing w:line="360" w:lineRule="auto"/>
        <w:ind w:firstLine="420" w:firstLineChars="200"/>
        <w:rPr>
          <w:color w:val="auto"/>
        </w:rPr>
      </w:pPr>
      <w:bookmarkStart w:id="43" w:name="_Toc221949923"/>
      <w:r>
        <w:rPr>
          <w:rFonts w:hint="eastAsia"/>
          <w:color w:val="auto"/>
        </w:rPr>
        <w:t>本招标项目</w:t>
      </w:r>
      <w:r>
        <w:rPr>
          <w:color w:val="auto"/>
          <w:u w:val="single"/>
        </w:rPr>
        <w:t xml:space="preserve">              </w:t>
      </w:r>
      <w:r>
        <w:rPr>
          <w:rFonts w:hint="eastAsia"/>
          <w:color w:val="auto"/>
        </w:rPr>
        <w:t>（项目名称）已由</w:t>
      </w:r>
      <w:r>
        <w:rPr>
          <w:color w:val="auto"/>
          <w:u w:val="single"/>
        </w:rPr>
        <w:t xml:space="preserve">             </w:t>
      </w:r>
      <w:r>
        <w:rPr>
          <w:rFonts w:hint="eastAsia"/>
          <w:color w:val="auto"/>
        </w:rPr>
        <w:t>（项目审批，核准或备案机关名称）以</w:t>
      </w:r>
      <w:r>
        <w:rPr>
          <w:color w:val="auto"/>
          <w:u w:val="single"/>
        </w:rPr>
        <w:t xml:space="preserve">               </w:t>
      </w:r>
      <w:r>
        <w:rPr>
          <w:rFonts w:hint="eastAsia"/>
          <w:color w:val="auto"/>
        </w:rPr>
        <w:t>（批文名称及编号）批准建设，建设资金来自</w:t>
      </w:r>
      <w:r>
        <w:rPr>
          <w:color w:val="auto"/>
          <w:u w:val="single"/>
        </w:rPr>
        <w:t xml:space="preserve">                </w:t>
      </w:r>
      <w:r>
        <w:rPr>
          <w:rFonts w:hint="eastAsia"/>
          <w:color w:val="auto"/>
        </w:rPr>
        <w:t>（资金来源），项目出资比例为</w:t>
      </w:r>
      <w:r>
        <w:rPr>
          <w:color w:val="auto"/>
          <w:u w:val="single"/>
        </w:rPr>
        <w:t xml:space="preserve">           </w:t>
      </w:r>
      <w:r>
        <w:rPr>
          <w:rFonts w:hint="eastAsia"/>
          <w:color w:val="auto"/>
        </w:rPr>
        <w:t>，招标人为</w:t>
      </w:r>
      <w:r>
        <w:rPr>
          <w:color w:val="auto"/>
          <w:u w:val="single"/>
        </w:rPr>
        <w:t xml:space="preserve">         </w:t>
      </w:r>
      <w:r>
        <w:rPr>
          <w:rFonts w:hint="eastAsia"/>
          <w:color w:val="auto"/>
        </w:rPr>
        <w:t>，招标代理机构为</w:t>
      </w:r>
      <w:r>
        <w:rPr>
          <w:color w:val="auto"/>
          <w:u w:val="single"/>
        </w:rPr>
        <w:t xml:space="preserve">         </w:t>
      </w:r>
      <w:r>
        <w:rPr>
          <w:color w:val="auto"/>
        </w:rPr>
        <w:t xml:space="preserve"> </w:t>
      </w:r>
      <w:r>
        <w:rPr>
          <w:rFonts w:hint="eastAsia"/>
          <w:color w:val="auto"/>
        </w:rPr>
        <w:t>。项目已具备招标条件，现对本项目施工进行公开招标。</w:t>
      </w:r>
      <w:bookmarkEnd w:id="43"/>
    </w:p>
    <w:p>
      <w:pPr>
        <w:pStyle w:val="80"/>
        <w:spacing w:before="120" w:after="156" w:afterLines="50"/>
        <w:rPr>
          <w:color w:val="auto"/>
        </w:rPr>
      </w:pPr>
      <w:bookmarkStart w:id="44" w:name="_Toc222033815"/>
      <w:bookmarkStart w:id="45" w:name="_Toc221949924"/>
      <w:bookmarkStart w:id="46" w:name="_Toc491089626"/>
      <w:bookmarkStart w:id="47" w:name="_Toc761"/>
      <w:bookmarkStart w:id="48" w:name="_Toc168476030"/>
      <w:bookmarkStart w:id="49" w:name="_Toc229305324"/>
      <w:bookmarkStart w:id="50" w:name="_Toc144974481"/>
      <w:bookmarkStart w:id="51" w:name="_Toc222029464"/>
      <w:bookmarkStart w:id="52" w:name="_Toc168475627"/>
      <w:bookmarkStart w:id="53" w:name="_Toc222030966"/>
      <w:bookmarkStart w:id="54" w:name="_Toc387753533"/>
      <w:bookmarkStart w:id="55" w:name="_Toc222032633"/>
      <w:r>
        <w:rPr>
          <w:color w:val="auto"/>
        </w:rPr>
        <w:t xml:space="preserve">2. </w:t>
      </w:r>
      <w:r>
        <w:rPr>
          <w:rFonts w:hint="eastAsia"/>
          <w:color w:val="auto"/>
        </w:rPr>
        <w:t>项目概况与招标范围</w:t>
      </w:r>
      <w:bookmarkEnd w:id="44"/>
      <w:bookmarkEnd w:id="45"/>
      <w:bookmarkEnd w:id="46"/>
      <w:bookmarkEnd w:id="47"/>
      <w:bookmarkEnd w:id="48"/>
      <w:bookmarkEnd w:id="49"/>
      <w:bookmarkEnd w:id="50"/>
      <w:bookmarkEnd w:id="51"/>
      <w:bookmarkEnd w:id="52"/>
      <w:bookmarkEnd w:id="53"/>
      <w:bookmarkEnd w:id="54"/>
      <w:bookmarkEnd w:id="55"/>
    </w:p>
    <w:p>
      <w:pPr>
        <w:spacing w:line="480" w:lineRule="exact"/>
        <w:ind w:firstLine="420" w:firstLineChars="200"/>
        <w:rPr>
          <w:rFonts w:hint="eastAsia"/>
          <w:color w:val="auto"/>
          <w:szCs w:val="21"/>
        </w:rPr>
      </w:pPr>
      <w:bookmarkStart w:id="56" w:name="OLE_LINK8"/>
      <w:bookmarkStart w:id="57" w:name="OLE_LINK9"/>
      <w:bookmarkStart w:id="58" w:name="OLE_LINK10"/>
      <w:bookmarkStart w:id="59" w:name="_Toc222033816"/>
      <w:bookmarkStart w:id="60" w:name="_Toc229305325"/>
      <w:bookmarkStart w:id="61" w:name="_Toc144974482"/>
      <w:bookmarkStart w:id="62" w:name="_Toc222030967"/>
      <w:bookmarkStart w:id="63" w:name="_Toc387753534"/>
      <w:bookmarkStart w:id="64" w:name="_Toc222032634"/>
      <w:bookmarkStart w:id="65" w:name="_Toc491089627"/>
      <w:bookmarkStart w:id="66" w:name="_Toc168476031"/>
      <w:bookmarkStart w:id="67" w:name="_Toc168475628"/>
      <w:bookmarkStart w:id="68" w:name="_Toc221949926"/>
      <w:bookmarkStart w:id="69" w:name="_Toc222029465"/>
      <w:r>
        <w:rPr>
          <w:color w:val="auto"/>
          <w:szCs w:val="21"/>
        </w:rPr>
        <w:t xml:space="preserve">2.1 </w:t>
      </w:r>
      <w:r>
        <w:rPr>
          <w:rFonts w:hint="eastAsia"/>
          <w:color w:val="auto"/>
          <w:szCs w:val="21"/>
        </w:rPr>
        <w:t>项目概况</w:t>
      </w:r>
    </w:p>
    <w:p>
      <w:pPr>
        <w:spacing w:line="480" w:lineRule="exact"/>
        <w:ind w:firstLine="840" w:firstLineChars="400"/>
        <w:rPr>
          <w:rFonts w:hint="eastAsia"/>
          <w:color w:val="auto"/>
          <w:szCs w:val="21"/>
          <w:u w:val="single"/>
        </w:rPr>
      </w:pPr>
      <w:r>
        <w:rPr>
          <w:rFonts w:hint="eastAsia"/>
          <w:color w:val="auto"/>
          <w:szCs w:val="21"/>
        </w:rPr>
        <w:t>建设地点：</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建设规模：</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其他：</w:t>
      </w:r>
      <w:r>
        <w:rPr>
          <w:rFonts w:hint="eastAsia"/>
          <w:color w:val="auto"/>
          <w:szCs w:val="21"/>
          <w:u w:val="single"/>
        </w:rPr>
        <w:t xml:space="preserve">                                   </w:t>
      </w:r>
      <w:r>
        <w:rPr>
          <w:rFonts w:hint="eastAsia"/>
          <w:color w:val="auto"/>
          <w:szCs w:val="21"/>
        </w:rPr>
        <w:t>。</w:t>
      </w:r>
    </w:p>
    <w:p>
      <w:pPr>
        <w:spacing w:line="480" w:lineRule="exact"/>
        <w:ind w:firstLine="420" w:firstLineChars="200"/>
        <w:rPr>
          <w:rFonts w:hint="eastAsia"/>
          <w:color w:val="auto"/>
          <w:szCs w:val="21"/>
        </w:rPr>
      </w:pPr>
      <w:r>
        <w:rPr>
          <w:color w:val="auto"/>
          <w:szCs w:val="21"/>
        </w:rPr>
        <w:t>2.</w:t>
      </w:r>
      <w:r>
        <w:rPr>
          <w:rFonts w:hint="eastAsia"/>
          <w:color w:val="auto"/>
          <w:szCs w:val="21"/>
        </w:rPr>
        <w:t>2 招标范围</w:t>
      </w:r>
    </w:p>
    <w:p>
      <w:pPr>
        <w:spacing w:line="480" w:lineRule="exact"/>
        <w:ind w:firstLine="840" w:firstLineChars="400"/>
        <w:rPr>
          <w:rFonts w:hint="eastAsia"/>
          <w:color w:val="auto"/>
          <w:szCs w:val="21"/>
        </w:rPr>
      </w:pPr>
      <w:r>
        <w:rPr>
          <w:rFonts w:hint="eastAsia"/>
          <w:color w:val="auto"/>
          <w:szCs w:val="21"/>
        </w:rPr>
        <w:t>招标范围：</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标段划分：</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计划工期：</w:t>
      </w:r>
      <w:r>
        <w:rPr>
          <w:rFonts w:hint="eastAsia"/>
          <w:color w:val="auto"/>
          <w:szCs w:val="21"/>
          <w:u w:val="single"/>
        </w:rPr>
        <w:t xml:space="preserve">            </w:t>
      </w:r>
      <w:r>
        <w:rPr>
          <w:rFonts w:hint="eastAsia"/>
          <w:color w:val="auto"/>
          <w:szCs w:val="21"/>
        </w:rPr>
        <w:t>日历天，计划开工日期</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合同估算价：</w:t>
      </w:r>
      <w:r>
        <w:rPr>
          <w:rFonts w:hint="eastAsia"/>
          <w:color w:val="auto"/>
          <w:szCs w:val="21"/>
          <w:u w:val="single"/>
        </w:rPr>
        <w:t xml:space="preserve">                             </w:t>
      </w:r>
      <w:r>
        <w:rPr>
          <w:rFonts w:hint="eastAsia"/>
          <w:color w:val="auto"/>
          <w:szCs w:val="21"/>
        </w:rPr>
        <w:t>。</w:t>
      </w:r>
    </w:p>
    <w:p>
      <w:pPr>
        <w:spacing w:line="460" w:lineRule="exact"/>
        <w:ind w:firstLine="437"/>
        <w:rPr>
          <w:color w:val="auto"/>
          <w:szCs w:val="21"/>
          <w:u w:val="single"/>
        </w:rPr>
      </w:pPr>
      <w:r>
        <w:rPr>
          <w:color w:val="auto"/>
          <w:szCs w:val="21"/>
        </w:rPr>
        <w:t>2.</w:t>
      </w:r>
      <w:r>
        <w:rPr>
          <w:rFonts w:hint="eastAsia"/>
          <w:color w:val="auto"/>
          <w:szCs w:val="21"/>
        </w:rPr>
        <w:t>3 其他：</w:t>
      </w:r>
      <w:r>
        <w:rPr>
          <w:rFonts w:hint="eastAsia"/>
          <w:color w:val="auto"/>
          <w:szCs w:val="21"/>
          <w:u w:val="single"/>
        </w:rPr>
        <w:t xml:space="preserve">                                    </w:t>
      </w:r>
      <w:r>
        <w:rPr>
          <w:rFonts w:hint="eastAsia"/>
          <w:color w:val="auto"/>
          <w:szCs w:val="21"/>
        </w:rPr>
        <w:t>。</w:t>
      </w:r>
    </w:p>
    <w:bookmarkEnd w:id="56"/>
    <w:bookmarkEnd w:id="57"/>
    <w:bookmarkEnd w:id="58"/>
    <w:p>
      <w:pPr>
        <w:pStyle w:val="80"/>
        <w:spacing w:before="120" w:after="156" w:afterLines="50"/>
        <w:rPr>
          <w:rFonts w:hint="eastAsia"/>
          <w:color w:val="auto"/>
        </w:rPr>
      </w:pPr>
      <w:bookmarkStart w:id="70" w:name="_Toc9430"/>
      <w:r>
        <w:rPr>
          <w:color w:val="auto"/>
        </w:rPr>
        <w:t xml:space="preserve">3. </w:t>
      </w:r>
      <w:r>
        <w:rPr>
          <w:rFonts w:hint="eastAsia"/>
          <w:color w:val="auto"/>
        </w:rPr>
        <w:t>投标人资格要求</w:t>
      </w:r>
      <w:bookmarkEnd w:id="59"/>
      <w:bookmarkEnd w:id="60"/>
      <w:bookmarkEnd w:id="61"/>
      <w:bookmarkEnd w:id="62"/>
      <w:bookmarkEnd w:id="63"/>
      <w:bookmarkEnd w:id="64"/>
      <w:bookmarkEnd w:id="65"/>
      <w:bookmarkEnd w:id="66"/>
      <w:bookmarkEnd w:id="67"/>
      <w:bookmarkEnd w:id="68"/>
      <w:bookmarkEnd w:id="69"/>
      <w:bookmarkEnd w:id="70"/>
    </w:p>
    <w:p>
      <w:pPr>
        <w:adjustRightInd w:val="0"/>
        <w:snapToGrid w:val="0"/>
        <w:spacing w:line="360" w:lineRule="auto"/>
        <w:ind w:firstLine="420" w:firstLineChars="200"/>
        <w:rPr>
          <w:rFonts w:hint="eastAsia" w:ascii="宋体" w:hAnsi="宋体"/>
          <w:color w:val="auto"/>
          <w:szCs w:val="21"/>
        </w:rPr>
      </w:pPr>
      <w:bookmarkStart w:id="71" w:name="_Toc221949927"/>
      <w:bookmarkStart w:id="72" w:name="_Toc221949929"/>
      <w:r>
        <w:rPr>
          <w:rFonts w:ascii="宋体" w:hAnsi="宋体"/>
          <w:color w:val="auto"/>
          <w:szCs w:val="21"/>
        </w:rPr>
        <w:t xml:space="preserve">3.1 </w:t>
      </w:r>
      <w:r>
        <w:rPr>
          <w:rFonts w:hint="eastAsia" w:ascii="宋体" w:hAnsi="宋体"/>
          <w:color w:val="auto"/>
          <w:szCs w:val="21"/>
        </w:rPr>
        <w:t>本次招标要求投标人须具备</w:t>
      </w:r>
      <w:r>
        <w:rPr>
          <w:rFonts w:ascii="宋体" w:hAnsi="宋体"/>
          <w:color w:val="auto"/>
          <w:szCs w:val="21"/>
          <w:u w:val="single"/>
        </w:rPr>
        <w:t xml:space="preserve">        </w:t>
      </w:r>
      <w:r>
        <w:rPr>
          <w:rFonts w:hint="eastAsia" w:ascii="宋体" w:hAnsi="宋体"/>
          <w:color w:val="auto"/>
          <w:szCs w:val="21"/>
        </w:rPr>
        <w:t>资质，</w:t>
      </w:r>
      <w:r>
        <w:rPr>
          <w:rFonts w:ascii="宋体" w:hAnsi="宋体"/>
          <w:color w:val="auto"/>
          <w:szCs w:val="21"/>
        </w:rPr>
        <w:t>近</w:t>
      </w:r>
      <w:r>
        <w:rPr>
          <w:rFonts w:ascii="宋体" w:hAnsi="宋体"/>
          <w:color w:val="auto"/>
          <w:szCs w:val="21"/>
          <w:u w:val="single"/>
        </w:rPr>
        <w:t xml:space="preserve">   </w:t>
      </w:r>
      <w:r>
        <w:rPr>
          <w:rFonts w:ascii="宋体" w:hAnsi="宋体"/>
          <w:color w:val="auto"/>
          <w:szCs w:val="21"/>
        </w:rPr>
        <w:t>年</w:t>
      </w:r>
      <w:r>
        <w:rPr>
          <w:rFonts w:hint="eastAsia" w:ascii="宋体" w:hAnsi="宋体"/>
          <w:color w:val="auto"/>
          <w:szCs w:val="21"/>
        </w:rPr>
        <w:t>承接</w:t>
      </w:r>
      <w:r>
        <w:rPr>
          <w:rFonts w:ascii="宋体" w:hAnsi="宋体"/>
          <w:color w:val="auto"/>
          <w:szCs w:val="21"/>
        </w:rPr>
        <w:t xml:space="preserve">过 </w:t>
      </w:r>
      <w:r>
        <w:rPr>
          <w:rFonts w:hint="eastAsia" w:ascii="宋体" w:hAnsi="宋体"/>
          <w:color w:val="auto"/>
          <w:szCs w:val="21"/>
          <w:u w:val="single"/>
        </w:rPr>
        <w:t xml:space="preserve">   （同类工程或类似工程描述） </w:t>
      </w:r>
      <w:r>
        <w:rPr>
          <w:rFonts w:hint="eastAsia" w:ascii="宋体" w:hAnsi="宋体"/>
          <w:color w:val="auto"/>
          <w:szCs w:val="21"/>
        </w:rPr>
        <w:t>业绩，并在人员、设备、资金、信誉等方面具有承担本标段施工的能力。</w:t>
      </w:r>
      <w:bookmarkEnd w:id="71"/>
      <w:r>
        <w:rPr>
          <w:rFonts w:hint="eastAsia" w:ascii="宋体" w:hAnsi="宋体"/>
          <w:color w:val="auto"/>
          <w:szCs w:val="21"/>
        </w:rPr>
        <w:t>其中，投标人拟任项目经理须具备</w:t>
      </w:r>
      <w:r>
        <w:rPr>
          <w:rFonts w:hint="eastAsia" w:ascii="宋体" w:hAnsi="宋体"/>
          <w:color w:val="auto"/>
          <w:szCs w:val="21"/>
          <w:u w:val="single"/>
        </w:rPr>
        <w:t xml:space="preserve">       </w:t>
      </w:r>
      <w:r>
        <w:rPr>
          <w:rFonts w:hint="eastAsia" w:ascii="宋体" w:hAnsi="宋体"/>
          <w:color w:val="auto"/>
          <w:szCs w:val="21"/>
        </w:rPr>
        <w:t>专业</w:t>
      </w:r>
      <w:r>
        <w:rPr>
          <w:rFonts w:hint="eastAsia" w:ascii="宋体" w:hAnsi="宋体"/>
          <w:color w:val="auto"/>
          <w:szCs w:val="21"/>
          <w:u w:val="single"/>
        </w:rPr>
        <w:t xml:space="preserve">      </w:t>
      </w:r>
      <w:r>
        <w:rPr>
          <w:rFonts w:hint="eastAsia" w:ascii="宋体" w:hAnsi="宋体"/>
          <w:color w:val="auto"/>
          <w:szCs w:val="21"/>
        </w:rPr>
        <w:t>级注册建造师执业资格，</w:t>
      </w:r>
      <w:bookmarkStart w:id="73" w:name="_Toc221949928"/>
      <w:r>
        <w:rPr>
          <w:rFonts w:hint="eastAsia" w:ascii="宋体" w:hAnsi="宋体"/>
          <w:color w:val="auto"/>
          <w:szCs w:val="21"/>
        </w:rPr>
        <w:t>具备有效的安全生产考核合格证书</w:t>
      </w:r>
      <w:r>
        <w:rPr>
          <w:rFonts w:ascii="宋体" w:hAnsi="宋体"/>
          <w:color w:val="auto"/>
          <w:szCs w:val="21"/>
        </w:rPr>
        <w:t>（B</w:t>
      </w:r>
      <w:r>
        <w:rPr>
          <w:rFonts w:hint="eastAsia" w:ascii="宋体" w:hAnsi="宋体"/>
          <w:color w:val="auto"/>
          <w:szCs w:val="21"/>
        </w:rPr>
        <w:t>证</w:t>
      </w:r>
      <w:r>
        <w:rPr>
          <w:rFonts w:ascii="宋体" w:hAnsi="宋体"/>
          <w:color w:val="auto"/>
          <w:szCs w:val="21"/>
        </w:rPr>
        <w:t>）</w:t>
      </w:r>
      <w:r>
        <w:rPr>
          <w:rFonts w:hint="eastAsia" w:ascii="宋体" w:hAnsi="宋体"/>
          <w:color w:val="auto"/>
          <w:szCs w:val="21"/>
        </w:rPr>
        <w:t>，且未担任其他在施建设工程项目的项目经理。</w:t>
      </w:r>
    </w:p>
    <w:p>
      <w:pPr>
        <w:adjustRightInd w:val="0"/>
        <w:snapToGrid w:val="0"/>
        <w:spacing w:line="360" w:lineRule="auto"/>
        <w:ind w:firstLine="420" w:firstLineChars="200"/>
        <w:rPr>
          <w:rFonts w:hint="eastAsia" w:ascii="宋体" w:hAnsi="宋体"/>
          <w:color w:val="auto"/>
          <w:szCs w:val="21"/>
        </w:rPr>
      </w:pPr>
      <w:r>
        <w:rPr>
          <w:rFonts w:ascii="宋体" w:hAnsi="宋体"/>
          <w:color w:val="auto"/>
          <w:szCs w:val="21"/>
        </w:rPr>
        <w:t xml:space="preserve">3.2 </w:t>
      </w:r>
      <w:r>
        <w:rPr>
          <w:rFonts w:hint="eastAsia" w:ascii="宋体" w:hAnsi="宋体"/>
          <w:color w:val="auto"/>
          <w:szCs w:val="21"/>
        </w:rPr>
        <w:t>本次招标</w:t>
      </w:r>
      <w:r>
        <w:rPr>
          <w:rFonts w:ascii="宋体" w:hAnsi="宋体"/>
          <w:color w:val="auto"/>
          <w:szCs w:val="21"/>
          <w:u w:val="single"/>
        </w:rPr>
        <w:t xml:space="preserve">            </w:t>
      </w:r>
      <w:r>
        <w:rPr>
          <w:rFonts w:hint="eastAsia" w:ascii="宋体" w:hAnsi="宋体"/>
          <w:color w:val="auto"/>
          <w:szCs w:val="21"/>
        </w:rPr>
        <w:t>（接受</w:t>
      </w:r>
      <w:r>
        <w:rPr>
          <w:rFonts w:ascii="宋体" w:hAnsi="宋体"/>
          <w:color w:val="auto"/>
          <w:szCs w:val="21"/>
        </w:rPr>
        <w:t>/</w:t>
      </w:r>
      <w:r>
        <w:rPr>
          <w:rFonts w:hint="eastAsia" w:ascii="宋体" w:hAnsi="宋体"/>
          <w:color w:val="auto"/>
          <w:szCs w:val="21"/>
        </w:rPr>
        <w:t>不接受）联合体投标。</w:t>
      </w:r>
      <w:r>
        <w:rPr>
          <w:rFonts w:ascii="宋体" w:hAnsi="宋体"/>
          <w:color w:val="auto"/>
          <w:szCs w:val="21"/>
        </w:rPr>
        <w:t xml:space="preserve"> </w:t>
      </w:r>
      <w:r>
        <w:rPr>
          <w:rFonts w:hint="eastAsia" w:ascii="宋体" w:hAnsi="宋体"/>
          <w:color w:val="auto"/>
          <w:szCs w:val="21"/>
        </w:rPr>
        <w:t>联合体投标的，应满足下列要求：</w:t>
      </w:r>
      <w:r>
        <w:rPr>
          <w:rFonts w:ascii="宋体" w:hAnsi="宋体"/>
          <w:color w:val="auto"/>
          <w:szCs w:val="21"/>
          <w:u w:val="single"/>
        </w:rPr>
        <w:t xml:space="preserve">                           </w:t>
      </w:r>
      <w:r>
        <w:rPr>
          <w:rFonts w:hint="eastAsia" w:ascii="宋体" w:hAnsi="宋体"/>
          <w:color w:val="auto"/>
          <w:szCs w:val="21"/>
        </w:rPr>
        <w:t>。</w:t>
      </w:r>
      <w:bookmarkEnd w:id="73"/>
    </w:p>
    <w:bookmarkEnd w:id="72"/>
    <w:p>
      <w:pPr>
        <w:adjustRightInd w:val="0"/>
        <w:snapToGrid w:val="0"/>
        <w:spacing w:line="360" w:lineRule="auto"/>
        <w:ind w:firstLine="420" w:firstLineChars="200"/>
        <w:rPr>
          <w:rFonts w:hint="eastAsia" w:ascii="宋体" w:hAnsi="宋体"/>
          <w:color w:val="auto"/>
          <w:szCs w:val="21"/>
        </w:rPr>
      </w:pPr>
      <w:r>
        <w:rPr>
          <w:rFonts w:hint="eastAsia" w:ascii="宋体" w:hAnsi="宋体"/>
          <w:color w:val="auto"/>
          <w:szCs w:val="21"/>
        </w:rPr>
        <w:t>3.3 投标人均可就本招标项目上述标段中的</w:t>
      </w:r>
      <w:r>
        <w:rPr>
          <w:rFonts w:hint="eastAsia" w:ascii="宋体" w:hAnsi="宋体"/>
          <w:color w:val="auto"/>
          <w:szCs w:val="21"/>
          <w:u w:val="single"/>
        </w:rPr>
        <w:t xml:space="preserve">          </w:t>
      </w:r>
      <w:r>
        <w:rPr>
          <w:rFonts w:hint="eastAsia" w:ascii="宋体" w:hAnsi="宋体"/>
          <w:color w:val="auto"/>
          <w:szCs w:val="21"/>
        </w:rPr>
        <w:t>(具体数量)个标段投标，招标人按下列原则选择中标人：</w:t>
      </w:r>
    </w:p>
    <w:p>
      <w:pPr>
        <w:adjustRightInd w:val="0"/>
        <w:snapToGrid w:val="0"/>
        <w:spacing w:line="360" w:lineRule="auto"/>
        <w:ind w:firstLine="630" w:firstLineChars="300"/>
        <w:rPr>
          <w:rFonts w:hint="eastAsia"/>
          <w:color w:val="auto"/>
        </w:rPr>
      </w:pPr>
      <w:r>
        <w:rPr>
          <w:rFonts w:hint="eastAsia"/>
          <w:color w:val="auto"/>
        </w:rPr>
        <w:t>□招标人按标段择优选择中标人。</w:t>
      </w:r>
    </w:p>
    <w:p>
      <w:pPr>
        <w:adjustRightInd w:val="0"/>
        <w:snapToGrid w:val="0"/>
        <w:spacing w:line="360" w:lineRule="auto"/>
        <w:ind w:firstLine="420" w:firstLineChars="200"/>
        <w:rPr>
          <w:rFonts w:hint="eastAsia"/>
          <w:color w:val="auto"/>
        </w:rPr>
      </w:pPr>
      <w:r>
        <w:rPr>
          <w:rFonts w:hint="eastAsia"/>
          <w:color w:val="auto"/>
        </w:rPr>
        <w:t>□投标人最多只允许中标</w:t>
      </w:r>
      <w:r>
        <w:rPr>
          <w:rFonts w:hint="eastAsia"/>
          <w:color w:val="auto"/>
          <w:u w:val="single"/>
        </w:rPr>
        <w:t xml:space="preserve">     </w:t>
      </w:r>
      <w:r>
        <w:rPr>
          <w:rFonts w:hint="eastAsia"/>
          <w:color w:val="auto"/>
        </w:rPr>
        <w:t>个标段。如果同一投标人在多个标段中均排序第一，</w:t>
      </w:r>
      <w:r>
        <w:rPr>
          <w:color w:val="auto"/>
        </w:rPr>
        <w:t>推荐中标候选人顺序为：</w:t>
      </w:r>
    </w:p>
    <w:p>
      <w:pPr>
        <w:adjustRightInd w:val="0"/>
        <w:snapToGrid w:val="0"/>
        <w:spacing w:line="360" w:lineRule="auto"/>
        <w:ind w:firstLine="630" w:firstLineChars="300"/>
        <w:rPr>
          <w:rFonts w:hint="eastAsia"/>
          <w:color w:val="auto"/>
        </w:rPr>
      </w:pPr>
      <w:r>
        <w:rPr>
          <w:rFonts w:hint="eastAsia"/>
          <w:color w:val="auto"/>
        </w:rPr>
        <w:t>□</w:t>
      </w:r>
      <w:r>
        <w:rPr>
          <w:color w:val="auto"/>
        </w:rPr>
        <w:t>按照标段顺序，投标人在前面标段被推荐为第一中标候选人后，所投其他标段将不再被推荐为中标候选人。</w:t>
      </w:r>
    </w:p>
    <w:p>
      <w:pPr>
        <w:adjustRightInd w:val="0"/>
        <w:snapToGrid w:val="0"/>
        <w:spacing w:line="360" w:lineRule="auto"/>
        <w:ind w:firstLine="630" w:firstLineChars="300"/>
        <w:rPr>
          <w:color w:val="auto"/>
        </w:rPr>
      </w:pPr>
      <w:r>
        <w:rPr>
          <w:rFonts w:hint="eastAsia"/>
          <w:color w:val="auto"/>
        </w:rPr>
        <w:t>□</w:t>
      </w:r>
      <w:r>
        <w:rPr>
          <w:color w:val="auto"/>
        </w:rPr>
        <w:t>按照标段最高</w:t>
      </w:r>
      <w:r>
        <w:rPr>
          <w:rFonts w:hint="eastAsia"/>
          <w:color w:val="auto"/>
        </w:rPr>
        <w:t>投标</w:t>
      </w:r>
      <w:r>
        <w:rPr>
          <w:color w:val="auto"/>
        </w:rPr>
        <w:t>限价从大到小的顺序，投标人在最高</w:t>
      </w:r>
      <w:r>
        <w:rPr>
          <w:rFonts w:hint="eastAsia"/>
          <w:color w:val="auto"/>
        </w:rPr>
        <w:t>投标</w:t>
      </w:r>
      <w:r>
        <w:rPr>
          <w:color w:val="auto"/>
        </w:rPr>
        <w:t>限价大的标段被推荐为第一中标候选人后，所投其他标段将不再被推荐为中标候选人。</w:t>
      </w:r>
    </w:p>
    <w:p>
      <w:pPr>
        <w:adjustRightInd w:val="0"/>
        <w:snapToGrid w:val="0"/>
        <w:spacing w:line="360" w:lineRule="auto"/>
        <w:ind w:firstLine="630" w:firstLineChars="300"/>
        <w:rPr>
          <w:rFonts w:hint="eastAsia"/>
          <w:color w:val="auto"/>
        </w:rPr>
      </w:pPr>
      <w:r>
        <w:rPr>
          <w:rFonts w:hint="eastAsia"/>
          <w:color w:val="auto"/>
        </w:rPr>
        <w:t>□</w:t>
      </w:r>
      <w:r>
        <w:rPr>
          <w:rFonts w:hint="eastAsia"/>
          <w:color w:val="auto"/>
          <w:u w:val="single"/>
        </w:rPr>
        <w:t xml:space="preserve">           </w:t>
      </w:r>
      <w:r>
        <w:rPr>
          <w:color w:val="auto"/>
          <w:u w:val="single"/>
        </w:rPr>
        <w:t xml:space="preserve">   </w:t>
      </w:r>
      <w:r>
        <w:rPr>
          <w:rFonts w:hint="eastAsia"/>
          <w:color w:val="auto"/>
          <w:u w:val="single"/>
        </w:rPr>
        <w:t xml:space="preserve">                    </w:t>
      </w:r>
      <w:r>
        <w:rPr>
          <w:rFonts w:hint="eastAsia"/>
          <w:color w:val="auto"/>
        </w:rPr>
        <w:t>。</w:t>
      </w:r>
    </w:p>
    <w:p>
      <w:pPr>
        <w:adjustRightInd w:val="0"/>
        <w:snapToGrid w:val="0"/>
        <w:spacing w:line="360" w:lineRule="auto"/>
        <w:ind w:firstLine="420" w:firstLineChars="200"/>
        <w:rPr>
          <w:rFonts w:hint="eastAsia" w:ascii="宋体" w:hAnsi="宋体"/>
          <w:color w:val="auto"/>
          <w:szCs w:val="21"/>
        </w:rPr>
      </w:pPr>
      <w:bookmarkStart w:id="74" w:name="_Toc222033817"/>
      <w:bookmarkStart w:id="75" w:name="_Toc229305326"/>
      <w:bookmarkStart w:id="76" w:name="_Toc144974483"/>
      <w:bookmarkStart w:id="77" w:name="_Toc222030968"/>
      <w:bookmarkStart w:id="78" w:name="_Toc491089628"/>
      <w:bookmarkStart w:id="79" w:name="_Toc168475629"/>
      <w:bookmarkStart w:id="80" w:name="_Toc387753535"/>
      <w:bookmarkStart w:id="81" w:name="_Toc222029466"/>
      <w:bookmarkStart w:id="82" w:name="_Toc221949930"/>
      <w:bookmarkStart w:id="83" w:name="_Toc168476032"/>
      <w:bookmarkStart w:id="84" w:name="_Toc222032635"/>
      <w:r>
        <w:rPr>
          <w:rFonts w:hint="eastAsia"/>
          <w:color w:val="auto"/>
        </w:rPr>
        <w:t>3.4 其他</w:t>
      </w:r>
      <w:r>
        <w:rPr>
          <w:color w:val="auto"/>
        </w:rPr>
        <w:t>要求：</w:t>
      </w:r>
      <w:r>
        <w:rPr>
          <w:rFonts w:hint="eastAsia" w:ascii="宋体" w:hAnsi="宋体"/>
          <w:color w:val="auto"/>
          <w:szCs w:val="21"/>
          <w:u w:val="single"/>
        </w:rPr>
        <w:t>本次招标实行资格后审</w:t>
      </w:r>
      <w:r>
        <w:rPr>
          <w:rFonts w:ascii="宋体" w:hAnsi="宋体"/>
          <w:color w:val="auto"/>
          <w:szCs w:val="21"/>
          <w:u w:val="single"/>
        </w:rPr>
        <w:t>,</w:t>
      </w:r>
      <w:r>
        <w:rPr>
          <w:rFonts w:hint="eastAsia" w:ascii="宋体" w:hAnsi="宋体"/>
          <w:color w:val="auto"/>
          <w:szCs w:val="21"/>
          <w:u w:val="single"/>
        </w:rPr>
        <w:t>资格审查的具体要求见招标文件。资格后审不合格的投标人其投标将被否决</w:t>
      </w:r>
      <w:r>
        <w:rPr>
          <w:rFonts w:hint="eastAsia"/>
          <w:color w:val="auto"/>
        </w:rPr>
        <w:t>。</w:t>
      </w:r>
    </w:p>
    <w:p>
      <w:pPr>
        <w:pStyle w:val="80"/>
        <w:spacing w:before="120" w:after="156" w:afterLines="50"/>
        <w:rPr>
          <w:color w:val="auto"/>
        </w:rPr>
      </w:pPr>
      <w:bookmarkStart w:id="85" w:name="_Toc32708"/>
      <w:r>
        <w:rPr>
          <w:color w:val="auto"/>
        </w:rPr>
        <w:t xml:space="preserve">4. </w:t>
      </w:r>
      <w:r>
        <w:rPr>
          <w:rFonts w:hint="eastAsia"/>
          <w:color w:val="auto"/>
        </w:rPr>
        <w:t>招标文件的获取</w:t>
      </w:r>
      <w:bookmarkEnd w:id="74"/>
      <w:bookmarkEnd w:id="75"/>
      <w:bookmarkEnd w:id="76"/>
      <w:bookmarkEnd w:id="77"/>
      <w:bookmarkEnd w:id="78"/>
      <w:bookmarkEnd w:id="79"/>
      <w:bookmarkEnd w:id="80"/>
      <w:bookmarkEnd w:id="81"/>
      <w:bookmarkEnd w:id="82"/>
      <w:bookmarkEnd w:id="83"/>
      <w:bookmarkEnd w:id="84"/>
      <w:bookmarkEnd w:id="85"/>
    </w:p>
    <w:p>
      <w:pPr>
        <w:spacing w:after="156" w:afterLines="50" w:line="460" w:lineRule="exact"/>
        <w:ind w:firstLine="437"/>
        <w:rPr>
          <w:color w:val="auto"/>
        </w:rPr>
      </w:pPr>
      <w:bookmarkStart w:id="86" w:name="_Toc222030969"/>
      <w:bookmarkStart w:id="87" w:name="_Toc491089629"/>
      <w:bookmarkStart w:id="88" w:name="_Toc168475630"/>
      <w:bookmarkStart w:id="89" w:name="_Toc229305327"/>
      <w:bookmarkStart w:id="90" w:name="_Toc221949934"/>
      <w:bookmarkStart w:id="91" w:name="_Toc144974484"/>
      <w:bookmarkStart w:id="92" w:name="_Toc222033818"/>
      <w:bookmarkStart w:id="93" w:name="_Toc387753536"/>
      <w:bookmarkStart w:id="94" w:name="_Toc222032636"/>
      <w:bookmarkStart w:id="95" w:name="_Toc168476033"/>
      <w:bookmarkStart w:id="96" w:name="_Toc222029467"/>
      <w:r>
        <w:rPr>
          <w:rFonts w:hint="eastAsia"/>
          <w:color w:val="auto"/>
        </w:rPr>
        <w:t>4.1 凡有意参加投标者（若为联合体投标，指联合体所有成员），</w:t>
      </w:r>
      <w:r>
        <w:rPr>
          <w:rFonts w:hint="eastAsia" w:ascii="宋体" w:hAnsi="宋体"/>
          <w:color w:val="auto"/>
          <w:szCs w:val="21"/>
        </w:rPr>
        <w:t>应当在</w:t>
      </w:r>
      <w:r>
        <w:rPr>
          <w:rFonts w:hint="eastAsia"/>
          <w:color w:val="auto"/>
        </w:rPr>
        <w:t>襄阳市电子招投标交易平台（以下简称“电子交易平台”，下同）（网址：</w:t>
      </w:r>
      <w:r>
        <w:rPr>
          <w:color w:val="auto"/>
        </w:rPr>
        <w:t>http://jyzx.xiangyang.gov.cn</w:t>
      </w:r>
      <w:r>
        <w:rPr>
          <w:rFonts w:hint="eastAsia"/>
          <w:color w:val="auto"/>
        </w:rPr>
        <w:t>）进行注册登记，并办理CA数字证书(具体操作参见“电子交易平台”—服务导航—CA数字证书及电子签章办理指南)。</w:t>
      </w:r>
    </w:p>
    <w:p>
      <w:pPr>
        <w:adjustRightInd w:val="0"/>
        <w:snapToGrid w:val="0"/>
        <w:spacing w:line="360" w:lineRule="auto"/>
        <w:ind w:firstLine="420" w:firstLineChars="200"/>
        <w:rPr>
          <w:rFonts w:hint="eastAsia"/>
          <w:color w:val="auto"/>
        </w:rPr>
      </w:pPr>
      <w:r>
        <w:rPr>
          <w:rFonts w:hint="eastAsia"/>
          <w:color w:val="auto"/>
        </w:rPr>
        <w:t>4.2 完成注册登记后，请于</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日至</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日24：00时止（北京时间、下同），</w:t>
      </w:r>
      <w:r>
        <w:rPr>
          <w:color w:val="auto"/>
        </w:rPr>
        <w:t>通过</w:t>
      </w:r>
      <w:r>
        <w:rPr>
          <w:rFonts w:hint="eastAsia"/>
          <w:color w:val="auto"/>
        </w:rPr>
        <w:t>互联网</w:t>
      </w:r>
      <w:r>
        <w:rPr>
          <w:color w:val="auto"/>
        </w:rPr>
        <w:t>使用</w:t>
      </w:r>
      <w:r>
        <w:rPr>
          <w:rFonts w:hint="eastAsia"/>
          <w:color w:val="auto"/>
        </w:rPr>
        <w:t>CA数字证书</w:t>
      </w:r>
      <w:r>
        <w:rPr>
          <w:color w:val="auto"/>
        </w:rPr>
        <w:t>登录</w:t>
      </w:r>
      <w:r>
        <w:rPr>
          <w:rFonts w:hint="eastAsia"/>
          <w:color w:val="auto"/>
        </w:rPr>
        <w:t>“</w:t>
      </w:r>
      <w:r>
        <w:rPr>
          <w:color w:val="auto"/>
        </w:rPr>
        <w:t>电子</w:t>
      </w:r>
      <w:r>
        <w:rPr>
          <w:rFonts w:hint="eastAsia"/>
          <w:color w:val="auto"/>
        </w:rPr>
        <w:t>交易</w:t>
      </w:r>
      <w:r>
        <w:rPr>
          <w:color w:val="auto"/>
        </w:rPr>
        <w:t>平台</w:t>
      </w:r>
      <w:r>
        <w:rPr>
          <w:rFonts w:hint="eastAsia"/>
          <w:color w:val="auto"/>
        </w:rPr>
        <w:t>”，</w:t>
      </w:r>
      <w:r>
        <w:rPr>
          <w:rFonts w:hint="eastAsia" w:ascii="宋体" w:hAnsi="宋体"/>
          <w:color w:val="auto"/>
          <w:kern w:val="0"/>
          <w:szCs w:val="21"/>
        </w:rPr>
        <w:t>在所投标段</w:t>
      </w:r>
      <w:r>
        <w:rPr>
          <w:rFonts w:hint="eastAsia"/>
          <w:color w:val="auto"/>
        </w:rPr>
        <w:t>下载招标文件。联合体投标的，由联合体牵头人下载招标文件。未按规定从“电子交易平台”下载招标文件的，招标人 （“</w:t>
      </w:r>
      <w:r>
        <w:rPr>
          <w:color w:val="auto"/>
        </w:rPr>
        <w:t>电子</w:t>
      </w:r>
      <w:r>
        <w:rPr>
          <w:rFonts w:hint="eastAsia"/>
          <w:color w:val="auto"/>
        </w:rPr>
        <w:t>交易平台”）拒收其投标文件。</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4.3招标文件每套售价</w:t>
      </w:r>
      <w:r>
        <w:rPr>
          <w:rFonts w:hint="eastAsia" w:ascii="宋体" w:hAnsi="宋体"/>
          <w:color w:val="auto"/>
          <w:szCs w:val="21"/>
          <w:highlight w:val="none"/>
          <w:u w:val="single"/>
        </w:rPr>
        <w:t xml:space="preserve">    </w:t>
      </w:r>
      <w:r>
        <w:rPr>
          <w:rFonts w:hint="eastAsia" w:ascii="宋体" w:hAnsi="宋体"/>
          <w:color w:val="auto"/>
          <w:szCs w:val="21"/>
          <w:highlight w:val="none"/>
        </w:rPr>
        <w:t>元，交易平台使用费</w:t>
      </w:r>
      <w:r>
        <w:rPr>
          <w:rFonts w:hint="eastAsia" w:ascii="宋体" w:hAnsi="宋体"/>
          <w:color w:val="auto"/>
          <w:szCs w:val="21"/>
          <w:highlight w:val="none"/>
          <w:u w:val="single"/>
        </w:rPr>
        <w:t xml:space="preserve">      </w:t>
      </w:r>
      <w:r>
        <w:rPr>
          <w:rFonts w:hint="eastAsia" w:ascii="宋体" w:hAnsi="宋体"/>
          <w:color w:val="auto"/>
          <w:szCs w:val="21"/>
          <w:highlight w:val="none"/>
        </w:rPr>
        <w:t>元，售后不退。</w:t>
      </w:r>
    </w:p>
    <w:p>
      <w:pPr>
        <w:adjustRightInd w:val="0"/>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4.4凡有意参加投标的潜在投标人需随时关注襄阳市公共资源交易网关于本项目的澄清或补充通知。</w:t>
      </w:r>
    </w:p>
    <w:p>
      <w:pPr>
        <w:spacing w:after="156" w:afterLines="50" w:line="460" w:lineRule="exact"/>
        <w:ind w:firstLine="437"/>
        <w:rPr>
          <w:rFonts w:eastAsia="黑体" w:cs="宋体"/>
          <w:color w:val="auto"/>
          <w:sz w:val="28"/>
          <w:szCs w:val="20"/>
        </w:rPr>
      </w:pPr>
      <w:r>
        <w:rPr>
          <w:rFonts w:eastAsia="黑体" w:cs="宋体"/>
          <w:color w:val="auto"/>
          <w:sz w:val="28"/>
          <w:szCs w:val="20"/>
        </w:rPr>
        <w:t xml:space="preserve">5. </w:t>
      </w:r>
      <w:r>
        <w:rPr>
          <w:rFonts w:hint="eastAsia" w:eastAsia="黑体" w:cs="宋体"/>
          <w:color w:val="auto"/>
          <w:sz w:val="28"/>
          <w:szCs w:val="20"/>
        </w:rPr>
        <w:t>投标文件的递交</w:t>
      </w:r>
      <w:bookmarkEnd w:id="86"/>
      <w:bookmarkEnd w:id="87"/>
      <w:bookmarkEnd w:id="88"/>
      <w:bookmarkEnd w:id="89"/>
      <w:bookmarkEnd w:id="90"/>
      <w:bookmarkEnd w:id="91"/>
      <w:bookmarkEnd w:id="92"/>
      <w:bookmarkEnd w:id="93"/>
      <w:bookmarkEnd w:id="94"/>
      <w:bookmarkEnd w:id="95"/>
      <w:bookmarkEnd w:id="96"/>
    </w:p>
    <w:p>
      <w:pPr>
        <w:spacing w:after="156" w:afterLines="50" w:line="460" w:lineRule="exact"/>
        <w:ind w:firstLine="437"/>
        <w:rPr>
          <w:rFonts w:hint="eastAsia"/>
          <w:color w:val="auto"/>
          <w:bdr w:val="single" w:color="auto" w:sz="4" w:space="0"/>
        </w:rPr>
      </w:pPr>
      <w:bookmarkStart w:id="97" w:name="_Toc229305329"/>
      <w:bookmarkStart w:id="98" w:name="_Toc222032638"/>
      <w:bookmarkStart w:id="99" w:name="_Toc491089630"/>
      <w:bookmarkStart w:id="100" w:name="_Toc387753538"/>
      <w:bookmarkStart w:id="101" w:name="_Toc168476034"/>
      <w:bookmarkStart w:id="102" w:name="_Toc221949939"/>
      <w:bookmarkStart w:id="103" w:name="_Toc168475631"/>
      <w:bookmarkStart w:id="104" w:name="_Toc222033820"/>
      <w:bookmarkStart w:id="105" w:name="_Toc222030971"/>
      <w:bookmarkStart w:id="106" w:name="_Toc222029469"/>
      <w:r>
        <w:rPr>
          <w:color w:val="auto"/>
        </w:rPr>
        <w:t xml:space="preserve">5.1 </w:t>
      </w:r>
      <w:r>
        <w:rPr>
          <w:rFonts w:hint="eastAsia"/>
          <w:color w:val="auto"/>
        </w:rPr>
        <w:t>投标文件递交截止时间为</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color w:val="auto"/>
        </w:rPr>
        <w:t>分。</w:t>
      </w:r>
    </w:p>
    <w:p>
      <w:pPr>
        <w:adjustRightInd w:val="0"/>
        <w:snapToGrid w:val="0"/>
        <w:spacing w:line="360" w:lineRule="auto"/>
        <w:ind w:firstLine="420" w:firstLineChars="200"/>
        <w:rPr>
          <w:rFonts w:hint="eastAsia"/>
          <w:color w:val="auto"/>
        </w:rPr>
      </w:pPr>
      <w:r>
        <w:rPr>
          <w:color w:val="auto"/>
        </w:rPr>
        <w:t>5.</w:t>
      </w:r>
      <w:r>
        <w:rPr>
          <w:rFonts w:hint="eastAsia"/>
          <w:color w:val="auto"/>
        </w:rPr>
        <w:t>2 投标人应当在投标</w:t>
      </w:r>
      <w:r>
        <w:rPr>
          <w:rFonts w:hint="eastAsia" w:ascii="宋体" w:hAnsi="宋体"/>
          <w:color w:val="auto"/>
          <w:szCs w:val="21"/>
        </w:rPr>
        <w:t>截止</w:t>
      </w:r>
      <w:r>
        <w:rPr>
          <w:rFonts w:hint="eastAsia"/>
          <w:color w:val="auto"/>
        </w:rPr>
        <w:t>时间前，</w:t>
      </w:r>
      <w:r>
        <w:rPr>
          <w:color w:val="auto"/>
        </w:rPr>
        <w:t>通过</w:t>
      </w:r>
      <w:r>
        <w:rPr>
          <w:rFonts w:hint="eastAsia"/>
          <w:color w:val="auto"/>
        </w:rPr>
        <w:t>互联网</w:t>
      </w:r>
      <w:r>
        <w:rPr>
          <w:color w:val="auto"/>
        </w:rPr>
        <w:t>使用</w:t>
      </w:r>
      <w:r>
        <w:rPr>
          <w:rFonts w:hint="eastAsia"/>
          <w:color w:val="auto"/>
        </w:rPr>
        <w:t>CA数字证书登录“电子交易平台”，选择所投标段将</w:t>
      </w:r>
      <w:r>
        <w:rPr>
          <w:rFonts w:hint="eastAsia"/>
          <w:b/>
          <w:color w:val="auto"/>
        </w:rPr>
        <w:t>加密的电子投标文件</w:t>
      </w:r>
      <w:r>
        <w:rPr>
          <w:rFonts w:hint="eastAsia"/>
          <w:color w:val="auto"/>
        </w:rPr>
        <w:t>上传。</w:t>
      </w:r>
      <w:r>
        <w:rPr>
          <w:rFonts w:hint="eastAsia"/>
          <w:color w:val="auto"/>
          <w:highlight w:val="yellow"/>
          <w:lang w:eastAsia="zh-CN"/>
        </w:rPr>
        <w:t>如为联合体投标的，</w:t>
      </w:r>
      <w:r>
        <w:rPr>
          <w:rFonts w:hint="eastAsia"/>
          <w:color w:val="auto"/>
          <w:highlight w:val="yellow"/>
        </w:rPr>
        <w:t>联合体牵头人在上传投标文件前，需在电子交易平台中确定联合体成员单位</w:t>
      </w:r>
      <w:r>
        <w:rPr>
          <w:rFonts w:hint="eastAsia"/>
          <w:color w:val="auto"/>
          <w:highlight w:val="yellow"/>
          <w:lang w:eastAsia="zh-CN"/>
        </w:rPr>
        <w:t>。</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载明的传输完成时间为准。逾</w:t>
      </w:r>
      <w:r>
        <w:rPr>
          <w:color w:val="auto"/>
        </w:rPr>
        <w:t>期未完成上传</w:t>
      </w:r>
      <w:r>
        <w:rPr>
          <w:rFonts w:hint="eastAsia"/>
          <w:color w:val="auto"/>
        </w:rPr>
        <w:t>或未加密的</w:t>
      </w:r>
      <w:r>
        <w:rPr>
          <w:color w:val="auto"/>
        </w:rPr>
        <w:t>电子</w:t>
      </w:r>
      <w:r>
        <w:rPr>
          <w:rFonts w:hint="eastAsia"/>
          <w:color w:val="auto"/>
        </w:rPr>
        <w:t>投标文件</w:t>
      </w:r>
      <w:r>
        <w:rPr>
          <w:color w:val="auto"/>
        </w:rPr>
        <w:t>，招标人</w:t>
      </w:r>
      <w:r>
        <w:rPr>
          <w:rFonts w:hint="eastAsia"/>
          <w:color w:val="auto"/>
        </w:rPr>
        <w:t>（“</w:t>
      </w:r>
      <w:r>
        <w:rPr>
          <w:color w:val="auto"/>
        </w:rPr>
        <w:t>电子</w:t>
      </w:r>
      <w:r>
        <w:rPr>
          <w:rFonts w:hint="eastAsia"/>
          <w:color w:val="auto"/>
        </w:rPr>
        <w:t>交易平台”）</w:t>
      </w:r>
      <w:r>
        <w:rPr>
          <w:color w:val="auto"/>
        </w:rPr>
        <w:t>将拒收。</w:t>
      </w:r>
    </w:p>
    <w:p>
      <w:pPr>
        <w:pStyle w:val="80"/>
        <w:spacing w:before="120" w:after="156" w:afterLines="50"/>
        <w:rPr>
          <w:rFonts w:hint="eastAsia"/>
          <w:color w:val="auto"/>
        </w:rPr>
      </w:pPr>
      <w:bookmarkStart w:id="107" w:name="_Toc13726"/>
      <w:r>
        <w:rPr>
          <w:rFonts w:hint="eastAsia"/>
          <w:color w:val="auto"/>
        </w:rPr>
        <w:t>6.投标相关事宜</w:t>
      </w:r>
      <w:bookmarkEnd w:id="107"/>
    </w:p>
    <w:p>
      <w:pPr>
        <w:spacing w:after="156" w:afterLines="50" w:line="460" w:lineRule="exact"/>
        <w:ind w:firstLine="437"/>
        <w:rPr>
          <w:rFonts w:hint="eastAsia"/>
          <w:color w:val="auto"/>
        </w:rPr>
      </w:pPr>
      <w:r>
        <w:rPr>
          <w:rFonts w:hint="eastAsia"/>
          <w:color w:val="auto"/>
          <w:u w:val="single"/>
        </w:rPr>
        <w:t xml:space="preserve">                                 </w:t>
      </w:r>
      <w:r>
        <w:rPr>
          <w:rFonts w:hint="eastAsia"/>
          <w:color w:val="auto"/>
        </w:rPr>
        <w:t>。</w:t>
      </w:r>
    </w:p>
    <w:p>
      <w:pPr>
        <w:pStyle w:val="80"/>
        <w:spacing w:before="120" w:after="156" w:afterLines="50"/>
        <w:rPr>
          <w:rFonts w:hint="eastAsia"/>
          <w:color w:val="auto"/>
        </w:rPr>
      </w:pPr>
      <w:bookmarkStart w:id="108" w:name="_Toc26518"/>
      <w:r>
        <w:rPr>
          <w:rFonts w:hint="eastAsia"/>
          <w:color w:val="auto"/>
        </w:rPr>
        <w:t>7.评标办法</w:t>
      </w:r>
      <w:bookmarkEnd w:id="108"/>
    </w:p>
    <w:p>
      <w:pPr>
        <w:spacing w:after="156" w:afterLines="50" w:line="460" w:lineRule="exact"/>
        <w:ind w:firstLine="437"/>
        <w:rPr>
          <w:rFonts w:hint="eastAsia"/>
          <w:color w:val="auto"/>
        </w:rPr>
      </w:pPr>
      <w:r>
        <w:rPr>
          <w:rFonts w:hint="eastAsia"/>
          <w:color w:val="auto"/>
        </w:rPr>
        <w:t>本次招标评标办法采用</w:t>
      </w:r>
      <w:r>
        <w:rPr>
          <w:rFonts w:hint="eastAsia"/>
          <w:color w:val="auto"/>
          <w:u w:val="single"/>
        </w:rPr>
        <w:t xml:space="preserve">     综合评估法        </w:t>
      </w:r>
      <w:r>
        <w:rPr>
          <w:rFonts w:hint="eastAsia"/>
          <w:color w:val="auto"/>
        </w:rPr>
        <w:t>。</w:t>
      </w:r>
    </w:p>
    <w:p>
      <w:pPr>
        <w:adjustRightInd w:val="0"/>
        <w:snapToGrid w:val="0"/>
        <w:spacing w:line="360" w:lineRule="auto"/>
        <w:ind w:firstLine="420" w:firstLineChars="200"/>
        <w:rPr>
          <w:rFonts w:hint="eastAsia"/>
          <w:color w:val="auto"/>
        </w:rPr>
      </w:pPr>
    </w:p>
    <w:p>
      <w:pPr>
        <w:pStyle w:val="80"/>
        <w:spacing w:before="120" w:after="156" w:afterLines="50"/>
        <w:rPr>
          <w:color w:val="auto"/>
        </w:rPr>
      </w:pPr>
      <w:bookmarkStart w:id="109" w:name="_Toc8392"/>
      <w:r>
        <w:rPr>
          <w:rFonts w:hint="eastAsia"/>
          <w:color w:val="auto"/>
        </w:rPr>
        <w:t>8</w:t>
      </w:r>
      <w:r>
        <w:rPr>
          <w:color w:val="auto"/>
        </w:rPr>
        <w:t xml:space="preserve">. </w:t>
      </w:r>
      <w:r>
        <w:rPr>
          <w:rFonts w:hint="eastAsia"/>
          <w:color w:val="auto"/>
        </w:rPr>
        <w:t>发布公告的媒介</w:t>
      </w:r>
      <w:bookmarkEnd w:id="97"/>
      <w:bookmarkEnd w:id="98"/>
      <w:bookmarkEnd w:id="99"/>
      <w:bookmarkEnd w:id="100"/>
      <w:bookmarkEnd w:id="101"/>
      <w:bookmarkEnd w:id="102"/>
      <w:bookmarkEnd w:id="103"/>
      <w:bookmarkEnd w:id="104"/>
      <w:bookmarkEnd w:id="105"/>
      <w:bookmarkEnd w:id="106"/>
      <w:bookmarkEnd w:id="109"/>
    </w:p>
    <w:p>
      <w:pPr>
        <w:spacing w:line="400" w:lineRule="exact"/>
        <w:ind w:firstLine="420" w:firstLineChars="200"/>
        <w:rPr>
          <w:color w:val="auto"/>
          <w:szCs w:val="21"/>
        </w:rPr>
      </w:pPr>
      <w:bookmarkStart w:id="110" w:name="_Toc221949940"/>
      <w:r>
        <w:rPr>
          <w:rFonts w:hint="eastAsia"/>
          <w:color w:val="auto"/>
          <w:szCs w:val="21"/>
        </w:rPr>
        <w:t>本次招标公告同时在</w:t>
      </w:r>
      <w:r>
        <w:rPr>
          <w:rFonts w:hint="eastAsia"/>
          <w:color w:val="auto"/>
          <w:u w:val="single"/>
        </w:rPr>
        <w:t>襄阳市人民政府门户网站（http://www.xiangyang.gov.cn/wzsy）、襄阳市公共资源交易网（网址：http://jyzx.xiangyang.gov.cn）、湖北省公共资源交易电子服务系统（网址：www.hbggzyfwpt.cn）</w:t>
      </w:r>
      <w:r>
        <w:rPr>
          <w:color w:val="auto"/>
          <w:szCs w:val="21"/>
          <w:u w:val="single"/>
        </w:rPr>
        <w:t xml:space="preserve">  </w:t>
      </w:r>
      <w:r>
        <w:rPr>
          <w:rFonts w:hint="eastAsia"/>
          <w:color w:val="auto"/>
          <w:szCs w:val="21"/>
        </w:rPr>
        <w:t>（</w:t>
      </w:r>
      <w:r>
        <w:rPr>
          <w:rFonts w:hint="eastAsia" w:ascii="宋体" w:hAnsi="宋体"/>
          <w:color w:val="auto"/>
          <w:szCs w:val="21"/>
        </w:rPr>
        <w:t>发布公告的媒介名称</w:t>
      </w:r>
      <w:r>
        <w:rPr>
          <w:rFonts w:hint="eastAsia"/>
          <w:color w:val="auto"/>
          <w:szCs w:val="21"/>
        </w:rPr>
        <w:t>）上发布。</w:t>
      </w:r>
      <w:bookmarkEnd w:id="110"/>
    </w:p>
    <w:p>
      <w:pPr>
        <w:pStyle w:val="80"/>
        <w:spacing w:before="120" w:after="156" w:afterLines="50"/>
        <w:rPr>
          <w:color w:val="auto"/>
        </w:rPr>
      </w:pPr>
      <w:bookmarkStart w:id="111" w:name="_Toc168475632"/>
      <w:bookmarkStart w:id="112" w:name="_Toc222029470"/>
      <w:bookmarkStart w:id="113" w:name="_Toc144974485"/>
      <w:bookmarkStart w:id="114" w:name="_Toc387753539"/>
      <w:bookmarkStart w:id="115" w:name="_Toc168476035"/>
      <w:bookmarkStart w:id="116" w:name="_Toc491089631"/>
      <w:bookmarkStart w:id="117" w:name="_Toc222030972"/>
      <w:bookmarkStart w:id="118" w:name="_Toc222032639"/>
      <w:bookmarkStart w:id="119" w:name="_Toc222033821"/>
      <w:bookmarkStart w:id="120" w:name="_Toc27343"/>
      <w:bookmarkStart w:id="121" w:name="_Toc221949941"/>
      <w:bookmarkStart w:id="122" w:name="_Toc229305330"/>
      <w:r>
        <w:rPr>
          <w:rFonts w:hint="eastAsia"/>
          <w:color w:val="auto"/>
        </w:rPr>
        <w:t>9</w:t>
      </w:r>
      <w:r>
        <w:rPr>
          <w:color w:val="auto"/>
        </w:rPr>
        <w:t xml:space="preserve">. </w:t>
      </w:r>
      <w:r>
        <w:rPr>
          <w:rFonts w:hint="eastAsia"/>
          <w:color w:val="auto"/>
        </w:rPr>
        <w:t>联系方式</w:t>
      </w:r>
      <w:bookmarkEnd w:id="111"/>
      <w:bookmarkEnd w:id="112"/>
      <w:bookmarkEnd w:id="113"/>
      <w:bookmarkEnd w:id="114"/>
      <w:bookmarkEnd w:id="115"/>
      <w:bookmarkEnd w:id="116"/>
      <w:bookmarkEnd w:id="117"/>
      <w:bookmarkEnd w:id="118"/>
      <w:bookmarkEnd w:id="119"/>
      <w:bookmarkEnd w:id="120"/>
      <w:bookmarkEnd w:id="121"/>
      <w:bookmarkEnd w:id="122"/>
    </w:p>
    <w:p>
      <w:pPr>
        <w:topLinePunct/>
        <w:spacing w:line="400" w:lineRule="exact"/>
        <w:ind w:firstLine="420" w:firstLineChars="200"/>
        <w:rPr>
          <w:color w:val="auto"/>
          <w:szCs w:val="21"/>
        </w:rPr>
      </w:pPr>
      <w:bookmarkStart w:id="123" w:name="_Toc221949942"/>
      <w:r>
        <w:rPr>
          <w:rFonts w:hint="eastAsia"/>
          <w:color w:val="auto"/>
          <w:szCs w:val="21"/>
        </w:rPr>
        <w:t>招</w:t>
      </w:r>
      <w:r>
        <w:rPr>
          <w:color w:val="auto"/>
          <w:szCs w:val="21"/>
        </w:rPr>
        <w:t xml:space="preserve"> </w:t>
      </w:r>
      <w:r>
        <w:rPr>
          <w:rFonts w:hint="eastAsia"/>
          <w:color w:val="auto"/>
          <w:szCs w:val="21"/>
        </w:rPr>
        <w:t>标</w:t>
      </w:r>
      <w:r>
        <w:rPr>
          <w:color w:val="auto"/>
          <w:szCs w:val="21"/>
        </w:rPr>
        <w:t xml:space="preserve"> </w:t>
      </w:r>
      <w:r>
        <w:rPr>
          <w:rFonts w:hint="eastAsia"/>
          <w:color w:val="auto"/>
          <w:szCs w:val="21"/>
        </w:rPr>
        <w:t>人：</w:t>
      </w:r>
      <w:r>
        <w:rPr>
          <w:color w:val="auto"/>
          <w:szCs w:val="21"/>
          <w:u w:val="single"/>
        </w:rPr>
        <w:t xml:space="preserve">                         </w:t>
      </w:r>
      <w:r>
        <w:rPr>
          <w:color w:val="auto"/>
          <w:szCs w:val="21"/>
        </w:rPr>
        <w:t xml:space="preserve">         </w:t>
      </w:r>
      <w:r>
        <w:rPr>
          <w:rFonts w:hint="eastAsia"/>
          <w:color w:val="auto"/>
          <w:szCs w:val="21"/>
        </w:rPr>
        <w:t>招标代理机构：</w:t>
      </w:r>
      <w:bookmarkEnd w:id="123"/>
      <w:r>
        <w:rPr>
          <w:color w:val="auto"/>
          <w:szCs w:val="21"/>
          <w:u w:val="single"/>
        </w:rPr>
        <w:t xml:space="preserve">                    </w:t>
      </w:r>
    </w:p>
    <w:p>
      <w:pPr>
        <w:topLinePunct/>
        <w:spacing w:line="400" w:lineRule="exact"/>
        <w:ind w:firstLine="420" w:firstLineChars="200"/>
        <w:rPr>
          <w:color w:val="auto"/>
          <w:szCs w:val="21"/>
        </w:rPr>
      </w:pPr>
      <w:bookmarkStart w:id="124" w:name="_Toc221949943"/>
      <w:r>
        <w:rPr>
          <w:rFonts w:hint="eastAsia"/>
          <w:color w:val="auto"/>
          <w:szCs w:val="21"/>
        </w:rPr>
        <w:t>地</w:t>
      </w:r>
      <w:r>
        <w:rPr>
          <w:color w:val="auto"/>
          <w:szCs w:val="21"/>
        </w:rPr>
        <w:t xml:space="preserve">    </w:t>
      </w:r>
      <w:r>
        <w:rPr>
          <w:rFonts w:hint="eastAsia"/>
          <w:color w:val="auto"/>
          <w:szCs w:val="21"/>
        </w:rPr>
        <w:t>址：</w:t>
      </w:r>
      <w:r>
        <w:rPr>
          <w:color w:val="auto"/>
          <w:szCs w:val="21"/>
          <w:u w:val="single"/>
        </w:rPr>
        <w:t xml:space="preserve">                         </w:t>
      </w:r>
      <w:r>
        <w:rPr>
          <w:color w:val="auto"/>
          <w:szCs w:val="21"/>
        </w:rPr>
        <w:t xml:space="preserve">  </w:t>
      </w:r>
      <w:r>
        <w:rPr>
          <w:color w:val="auto"/>
          <w:szCs w:val="21"/>
        </w:rPr>
        <w:tab/>
      </w:r>
      <w:r>
        <w:rPr>
          <w:color w:val="auto"/>
          <w:szCs w:val="21"/>
        </w:rPr>
        <w:t xml:space="preserve">    </w:t>
      </w:r>
      <w:r>
        <w:rPr>
          <w:rFonts w:hint="eastAsia"/>
          <w:color w:val="auto"/>
          <w:szCs w:val="21"/>
        </w:rPr>
        <w:t>地</w:t>
      </w:r>
      <w:r>
        <w:rPr>
          <w:color w:val="auto"/>
          <w:szCs w:val="21"/>
        </w:rPr>
        <w:t xml:space="preserve">    </w:t>
      </w:r>
      <w:r>
        <w:rPr>
          <w:rFonts w:hint="eastAsia"/>
          <w:color w:val="auto"/>
          <w:szCs w:val="21"/>
        </w:rPr>
        <w:t>址：</w:t>
      </w:r>
      <w:bookmarkEnd w:id="124"/>
      <w:r>
        <w:rPr>
          <w:color w:val="auto"/>
          <w:szCs w:val="21"/>
          <w:u w:val="single"/>
        </w:rPr>
        <w:t xml:space="preserve">                        </w:t>
      </w:r>
    </w:p>
    <w:p>
      <w:pPr>
        <w:topLinePunct/>
        <w:spacing w:line="400" w:lineRule="exact"/>
        <w:ind w:firstLine="420" w:firstLineChars="200"/>
        <w:rPr>
          <w:color w:val="auto"/>
          <w:szCs w:val="21"/>
        </w:rPr>
      </w:pPr>
      <w:bookmarkStart w:id="125" w:name="_Toc221949944"/>
      <w:r>
        <w:rPr>
          <w:rFonts w:hint="eastAsia"/>
          <w:color w:val="auto"/>
          <w:szCs w:val="21"/>
        </w:rPr>
        <w:t>邮</w:t>
      </w:r>
      <w:r>
        <w:rPr>
          <w:color w:val="auto"/>
          <w:szCs w:val="21"/>
        </w:rPr>
        <w:t xml:space="preserve">    </w:t>
      </w:r>
      <w:r>
        <w:rPr>
          <w:rFonts w:hint="eastAsia"/>
          <w:color w:val="auto"/>
          <w:szCs w:val="21"/>
        </w:rPr>
        <w:t>编：</w:t>
      </w:r>
      <w:r>
        <w:rPr>
          <w:color w:val="auto"/>
          <w:szCs w:val="21"/>
          <w:u w:val="single"/>
        </w:rPr>
        <w:t xml:space="preserve">                         </w:t>
      </w:r>
      <w:r>
        <w:rPr>
          <w:color w:val="auto"/>
          <w:szCs w:val="21"/>
        </w:rPr>
        <w:t xml:space="preserve">         </w:t>
      </w:r>
      <w:r>
        <w:rPr>
          <w:rFonts w:hint="eastAsia"/>
          <w:color w:val="auto"/>
          <w:szCs w:val="21"/>
        </w:rPr>
        <w:t>邮</w:t>
      </w:r>
      <w:r>
        <w:rPr>
          <w:color w:val="auto"/>
          <w:szCs w:val="21"/>
        </w:rPr>
        <w:t xml:space="preserve">    </w:t>
      </w:r>
      <w:r>
        <w:rPr>
          <w:rFonts w:hint="eastAsia"/>
          <w:color w:val="auto"/>
          <w:szCs w:val="21"/>
        </w:rPr>
        <w:t>编：</w:t>
      </w:r>
      <w:bookmarkEnd w:id="125"/>
      <w:r>
        <w:rPr>
          <w:color w:val="auto"/>
          <w:szCs w:val="21"/>
          <w:u w:val="single"/>
        </w:rPr>
        <w:t xml:space="preserve">                        </w:t>
      </w:r>
    </w:p>
    <w:p>
      <w:pPr>
        <w:topLinePunct/>
        <w:spacing w:line="400" w:lineRule="exact"/>
        <w:ind w:firstLine="420" w:firstLineChars="200"/>
        <w:rPr>
          <w:color w:val="auto"/>
          <w:szCs w:val="21"/>
        </w:rPr>
      </w:pPr>
      <w:bookmarkStart w:id="126" w:name="_Toc221949945"/>
      <w:r>
        <w:rPr>
          <w:rFonts w:hint="eastAsia"/>
          <w:color w:val="auto"/>
          <w:szCs w:val="21"/>
        </w:rPr>
        <w:t>联</w:t>
      </w:r>
      <w:r>
        <w:rPr>
          <w:color w:val="auto"/>
          <w:szCs w:val="21"/>
        </w:rPr>
        <w:t xml:space="preserve"> </w:t>
      </w:r>
      <w:r>
        <w:rPr>
          <w:rFonts w:hint="eastAsia"/>
          <w:color w:val="auto"/>
          <w:szCs w:val="21"/>
        </w:rPr>
        <w:t>系</w:t>
      </w:r>
      <w:r>
        <w:rPr>
          <w:color w:val="auto"/>
          <w:szCs w:val="21"/>
        </w:rPr>
        <w:t xml:space="preserve"> </w:t>
      </w:r>
      <w:r>
        <w:rPr>
          <w:rFonts w:hint="eastAsia"/>
          <w:color w:val="auto"/>
          <w:szCs w:val="21"/>
        </w:rPr>
        <w:t>人：</w:t>
      </w:r>
      <w:r>
        <w:rPr>
          <w:color w:val="auto"/>
          <w:szCs w:val="21"/>
          <w:u w:val="single"/>
        </w:rPr>
        <w:t xml:space="preserve">                         </w:t>
      </w:r>
      <w:r>
        <w:rPr>
          <w:color w:val="auto"/>
          <w:szCs w:val="21"/>
        </w:rPr>
        <w:t xml:space="preserve">         </w:t>
      </w:r>
      <w:r>
        <w:rPr>
          <w:rFonts w:hint="eastAsia"/>
          <w:color w:val="auto"/>
          <w:szCs w:val="21"/>
        </w:rPr>
        <w:t>联</w:t>
      </w:r>
      <w:r>
        <w:rPr>
          <w:color w:val="auto"/>
          <w:szCs w:val="21"/>
        </w:rPr>
        <w:t xml:space="preserve"> </w:t>
      </w:r>
      <w:r>
        <w:rPr>
          <w:rFonts w:hint="eastAsia"/>
          <w:color w:val="auto"/>
          <w:szCs w:val="21"/>
        </w:rPr>
        <w:t>系</w:t>
      </w:r>
      <w:r>
        <w:rPr>
          <w:color w:val="auto"/>
          <w:szCs w:val="21"/>
        </w:rPr>
        <w:t xml:space="preserve"> </w:t>
      </w:r>
      <w:r>
        <w:rPr>
          <w:rFonts w:hint="eastAsia"/>
          <w:color w:val="auto"/>
          <w:szCs w:val="21"/>
        </w:rPr>
        <w:t>人：</w:t>
      </w:r>
      <w:bookmarkEnd w:id="126"/>
      <w:r>
        <w:rPr>
          <w:color w:val="auto"/>
          <w:szCs w:val="21"/>
          <w:u w:val="single"/>
        </w:rPr>
        <w:t xml:space="preserve">                        </w:t>
      </w:r>
    </w:p>
    <w:p>
      <w:pPr>
        <w:topLinePunct/>
        <w:spacing w:line="400" w:lineRule="exact"/>
        <w:ind w:firstLine="420" w:firstLineChars="200"/>
        <w:rPr>
          <w:color w:val="auto"/>
          <w:szCs w:val="21"/>
        </w:rPr>
      </w:pPr>
      <w:bookmarkStart w:id="127" w:name="_Toc221949946"/>
      <w:r>
        <w:rPr>
          <w:rFonts w:hint="eastAsia"/>
          <w:color w:val="auto"/>
          <w:szCs w:val="21"/>
        </w:rPr>
        <w:t>电</w:t>
      </w:r>
      <w:r>
        <w:rPr>
          <w:color w:val="auto"/>
          <w:szCs w:val="21"/>
        </w:rPr>
        <w:t xml:space="preserve">    </w:t>
      </w:r>
      <w:r>
        <w:rPr>
          <w:rFonts w:hint="eastAsia"/>
          <w:color w:val="auto"/>
          <w:szCs w:val="21"/>
        </w:rPr>
        <w:t>话：</w:t>
      </w:r>
      <w:r>
        <w:rPr>
          <w:color w:val="auto"/>
          <w:szCs w:val="21"/>
          <w:u w:val="single"/>
        </w:rPr>
        <w:t xml:space="preserve">                         </w:t>
      </w:r>
      <w:r>
        <w:rPr>
          <w:color w:val="auto"/>
          <w:szCs w:val="21"/>
        </w:rPr>
        <w:t xml:space="preserve">         </w:t>
      </w:r>
      <w:r>
        <w:rPr>
          <w:rFonts w:hint="eastAsia"/>
          <w:color w:val="auto"/>
          <w:szCs w:val="21"/>
        </w:rPr>
        <w:t>电</w:t>
      </w:r>
      <w:r>
        <w:rPr>
          <w:color w:val="auto"/>
          <w:szCs w:val="21"/>
        </w:rPr>
        <w:t xml:space="preserve">    </w:t>
      </w:r>
      <w:r>
        <w:rPr>
          <w:rFonts w:hint="eastAsia"/>
          <w:color w:val="auto"/>
          <w:szCs w:val="21"/>
        </w:rPr>
        <w:t>话：</w:t>
      </w:r>
      <w:bookmarkEnd w:id="127"/>
      <w:r>
        <w:rPr>
          <w:color w:val="auto"/>
          <w:szCs w:val="21"/>
          <w:u w:val="single"/>
        </w:rPr>
        <w:t xml:space="preserve">                        </w:t>
      </w:r>
    </w:p>
    <w:p>
      <w:pPr>
        <w:topLinePunct/>
        <w:spacing w:line="400" w:lineRule="exact"/>
        <w:ind w:firstLine="420" w:firstLineChars="200"/>
        <w:rPr>
          <w:color w:val="auto"/>
          <w:szCs w:val="21"/>
        </w:rPr>
      </w:pPr>
      <w:bookmarkStart w:id="128" w:name="_Toc221949947"/>
      <w:r>
        <w:rPr>
          <w:rFonts w:hint="eastAsia"/>
          <w:color w:val="auto"/>
          <w:szCs w:val="21"/>
        </w:rPr>
        <w:t>传</w:t>
      </w:r>
      <w:r>
        <w:rPr>
          <w:color w:val="auto"/>
          <w:szCs w:val="21"/>
        </w:rPr>
        <w:t xml:space="preserve">    </w:t>
      </w:r>
      <w:r>
        <w:rPr>
          <w:rFonts w:hint="eastAsia"/>
          <w:color w:val="auto"/>
          <w:szCs w:val="21"/>
        </w:rPr>
        <w:t>真：</w:t>
      </w:r>
      <w:r>
        <w:rPr>
          <w:color w:val="auto"/>
          <w:szCs w:val="21"/>
          <w:u w:val="single"/>
        </w:rPr>
        <w:t xml:space="preserve">                         </w:t>
      </w:r>
      <w:r>
        <w:rPr>
          <w:color w:val="auto"/>
          <w:szCs w:val="21"/>
        </w:rPr>
        <w:t xml:space="preserve">         </w:t>
      </w:r>
      <w:r>
        <w:rPr>
          <w:rFonts w:hint="eastAsia"/>
          <w:color w:val="auto"/>
          <w:szCs w:val="21"/>
        </w:rPr>
        <w:t>传</w:t>
      </w:r>
      <w:r>
        <w:rPr>
          <w:color w:val="auto"/>
          <w:szCs w:val="21"/>
        </w:rPr>
        <w:t xml:space="preserve">    </w:t>
      </w:r>
      <w:r>
        <w:rPr>
          <w:rFonts w:hint="eastAsia"/>
          <w:color w:val="auto"/>
          <w:szCs w:val="21"/>
        </w:rPr>
        <w:t>真：</w:t>
      </w:r>
      <w:bookmarkEnd w:id="128"/>
      <w:r>
        <w:rPr>
          <w:color w:val="auto"/>
          <w:szCs w:val="21"/>
          <w:u w:val="single"/>
        </w:rPr>
        <w:t xml:space="preserve">                        </w:t>
      </w:r>
    </w:p>
    <w:p>
      <w:pPr>
        <w:topLinePunct/>
        <w:spacing w:line="400" w:lineRule="exact"/>
        <w:ind w:firstLine="420" w:firstLineChars="200"/>
        <w:rPr>
          <w:color w:val="auto"/>
          <w:szCs w:val="21"/>
        </w:rPr>
      </w:pPr>
      <w:bookmarkStart w:id="129" w:name="_Toc221949948"/>
      <w:r>
        <w:rPr>
          <w:rFonts w:hint="eastAsia"/>
          <w:color w:val="auto"/>
          <w:szCs w:val="21"/>
        </w:rPr>
        <w:t>电子邮件：</w:t>
      </w:r>
      <w:r>
        <w:rPr>
          <w:color w:val="auto"/>
          <w:szCs w:val="21"/>
          <w:u w:val="single"/>
        </w:rPr>
        <w:t xml:space="preserve">                         </w:t>
      </w:r>
      <w:r>
        <w:rPr>
          <w:color w:val="auto"/>
          <w:szCs w:val="21"/>
        </w:rPr>
        <w:t xml:space="preserve">         </w:t>
      </w:r>
      <w:r>
        <w:rPr>
          <w:rFonts w:hint="eastAsia"/>
          <w:color w:val="auto"/>
          <w:szCs w:val="21"/>
        </w:rPr>
        <w:t>电子邮件：</w:t>
      </w:r>
      <w:bookmarkEnd w:id="129"/>
      <w:r>
        <w:rPr>
          <w:color w:val="auto"/>
          <w:szCs w:val="21"/>
          <w:u w:val="single"/>
        </w:rPr>
        <w:t xml:space="preserve">                        </w:t>
      </w:r>
    </w:p>
    <w:p>
      <w:pPr>
        <w:topLinePunct/>
        <w:spacing w:line="400" w:lineRule="exact"/>
        <w:ind w:firstLine="420" w:firstLineChars="200"/>
        <w:rPr>
          <w:color w:val="auto"/>
          <w:szCs w:val="21"/>
        </w:rPr>
      </w:pPr>
      <w:bookmarkStart w:id="130" w:name="_Toc221949949"/>
      <w:r>
        <w:rPr>
          <w:rFonts w:hint="eastAsia"/>
          <w:color w:val="auto"/>
          <w:szCs w:val="21"/>
        </w:rPr>
        <w:t>网</w:t>
      </w:r>
      <w:r>
        <w:rPr>
          <w:color w:val="auto"/>
          <w:szCs w:val="21"/>
        </w:rPr>
        <w:t xml:space="preserve">    </w:t>
      </w:r>
      <w:r>
        <w:rPr>
          <w:rFonts w:hint="eastAsia"/>
          <w:color w:val="auto"/>
          <w:szCs w:val="21"/>
        </w:rPr>
        <w:t>址：</w:t>
      </w:r>
      <w:r>
        <w:rPr>
          <w:color w:val="auto"/>
          <w:szCs w:val="21"/>
          <w:u w:val="single"/>
        </w:rPr>
        <w:t xml:space="preserve">                         </w:t>
      </w:r>
      <w:r>
        <w:rPr>
          <w:color w:val="auto"/>
          <w:szCs w:val="21"/>
        </w:rPr>
        <w:t xml:space="preserve">         </w:t>
      </w:r>
      <w:r>
        <w:rPr>
          <w:rFonts w:hint="eastAsia"/>
          <w:color w:val="auto"/>
          <w:szCs w:val="21"/>
        </w:rPr>
        <w:t>网</w:t>
      </w:r>
      <w:r>
        <w:rPr>
          <w:color w:val="auto"/>
          <w:szCs w:val="21"/>
        </w:rPr>
        <w:t xml:space="preserve">    </w:t>
      </w:r>
      <w:r>
        <w:rPr>
          <w:rFonts w:hint="eastAsia"/>
          <w:color w:val="auto"/>
          <w:szCs w:val="21"/>
        </w:rPr>
        <w:t>址：</w:t>
      </w:r>
      <w:bookmarkEnd w:id="130"/>
      <w:r>
        <w:rPr>
          <w:color w:val="auto"/>
          <w:szCs w:val="21"/>
          <w:u w:val="single"/>
        </w:rPr>
        <w:t xml:space="preserve">                        </w:t>
      </w:r>
    </w:p>
    <w:p>
      <w:pPr>
        <w:topLinePunct/>
        <w:spacing w:line="400" w:lineRule="exact"/>
        <w:ind w:firstLine="420" w:firstLineChars="200"/>
        <w:rPr>
          <w:color w:val="auto"/>
          <w:szCs w:val="21"/>
        </w:rPr>
      </w:pPr>
      <w:bookmarkStart w:id="131" w:name="_Toc221949950"/>
      <w:r>
        <w:rPr>
          <w:rFonts w:hint="eastAsia"/>
          <w:color w:val="auto"/>
          <w:szCs w:val="21"/>
        </w:rPr>
        <w:t>开户银行：</w:t>
      </w:r>
      <w:r>
        <w:rPr>
          <w:color w:val="auto"/>
          <w:szCs w:val="21"/>
          <w:u w:val="single"/>
        </w:rPr>
        <w:t xml:space="preserve">                         </w:t>
      </w:r>
      <w:r>
        <w:rPr>
          <w:color w:val="auto"/>
          <w:szCs w:val="21"/>
        </w:rPr>
        <w:t xml:space="preserve">         </w:t>
      </w:r>
      <w:r>
        <w:rPr>
          <w:rFonts w:hint="eastAsia"/>
          <w:color w:val="auto"/>
          <w:szCs w:val="21"/>
        </w:rPr>
        <w:t>开户银行：</w:t>
      </w:r>
      <w:bookmarkEnd w:id="131"/>
      <w:r>
        <w:rPr>
          <w:color w:val="auto"/>
          <w:szCs w:val="21"/>
          <w:u w:val="single"/>
        </w:rPr>
        <w:t xml:space="preserve">                        </w:t>
      </w:r>
    </w:p>
    <w:p>
      <w:pPr>
        <w:spacing w:line="400" w:lineRule="exact"/>
        <w:ind w:firstLine="420" w:firstLineChars="200"/>
        <w:rPr>
          <w:color w:val="auto"/>
          <w:szCs w:val="21"/>
        </w:rPr>
      </w:pPr>
      <w:bookmarkStart w:id="132" w:name="_Toc221949951"/>
      <w:r>
        <w:rPr>
          <w:rFonts w:hint="eastAsia"/>
          <w:color w:val="auto"/>
          <w:szCs w:val="21"/>
        </w:rPr>
        <w:t>账</w:t>
      </w:r>
      <w:r>
        <w:rPr>
          <w:color w:val="auto"/>
          <w:szCs w:val="21"/>
        </w:rPr>
        <w:t xml:space="preserve">    </w:t>
      </w:r>
      <w:r>
        <w:rPr>
          <w:rFonts w:hint="eastAsia"/>
          <w:color w:val="auto"/>
          <w:szCs w:val="21"/>
        </w:rPr>
        <w:t>号：</w:t>
      </w:r>
      <w:r>
        <w:rPr>
          <w:color w:val="auto"/>
          <w:szCs w:val="21"/>
          <w:u w:val="single"/>
        </w:rPr>
        <w:t xml:space="preserve">                         </w:t>
      </w:r>
      <w:r>
        <w:rPr>
          <w:color w:val="auto"/>
          <w:szCs w:val="21"/>
        </w:rPr>
        <w:t xml:space="preserve">         </w:t>
      </w:r>
      <w:r>
        <w:rPr>
          <w:rFonts w:hint="eastAsia"/>
          <w:color w:val="auto"/>
          <w:szCs w:val="21"/>
        </w:rPr>
        <w:t>账</w:t>
      </w:r>
      <w:r>
        <w:rPr>
          <w:color w:val="auto"/>
          <w:szCs w:val="21"/>
        </w:rPr>
        <w:t xml:space="preserve">    </w:t>
      </w:r>
      <w:r>
        <w:rPr>
          <w:rFonts w:hint="eastAsia"/>
          <w:color w:val="auto"/>
          <w:szCs w:val="21"/>
        </w:rPr>
        <w:t>号：</w:t>
      </w:r>
      <w:bookmarkEnd w:id="132"/>
      <w:r>
        <w:rPr>
          <w:color w:val="auto"/>
          <w:szCs w:val="21"/>
          <w:u w:val="single"/>
        </w:rPr>
        <w:t xml:space="preserve">                        </w:t>
      </w:r>
    </w:p>
    <w:p>
      <w:pPr>
        <w:spacing w:line="400" w:lineRule="exact"/>
        <w:rPr>
          <w:color w:val="auto"/>
          <w:szCs w:val="21"/>
        </w:rPr>
      </w:pPr>
      <w:r>
        <w:rPr>
          <w:color w:val="auto"/>
          <w:szCs w:val="21"/>
        </w:rPr>
        <w:t xml:space="preserve">                                                                             </w:t>
      </w:r>
    </w:p>
    <w:p>
      <w:pPr>
        <w:spacing w:line="400" w:lineRule="exact"/>
        <w:rPr>
          <w:rFonts w:hint="eastAsia"/>
          <w:color w:val="auto"/>
          <w:szCs w:val="21"/>
        </w:rPr>
      </w:pPr>
      <w:r>
        <w:rPr>
          <w:rFonts w:hint="eastAsia"/>
          <w:color w:val="auto"/>
          <w:szCs w:val="21"/>
        </w:rPr>
        <w:t>　　　　　　　　　　　　　　　　　　　　　　　　　</w:t>
      </w:r>
      <w:r>
        <w:rPr>
          <w:color w:val="auto"/>
          <w:szCs w:val="21"/>
          <w:u w:val="single"/>
        </w:rPr>
        <w:t xml:space="preserve">      </w:t>
      </w:r>
      <w:bookmarkStart w:id="133" w:name="_Toc221949952"/>
      <w:r>
        <w:rPr>
          <w:rFonts w:hint="eastAsia"/>
          <w:color w:val="auto"/>
          <w:szCs w:val="21"/>
        </w:rPr>
        <w:t>年</w:t>
      </w:r>
      <w:r>
        <w:rPr>
          <w:color w:val="auto"/>
          <w:szCs w:val="21"/>
        </w:rPr>
        <w:t xml:space="preserve"> </w:t>
      </w:r>
      <w:r>
        <w:rPr>
          <w:color w:val="auto"/>
          <w:szCs w:val="21"/>
          <w:u w:val="single"/>
        </w:rPr>
        <w:t xml:space="preserve">     </w:t>
      </w:r>
      <w:r>
        <w:rPr>
          <w:rFonts w:hint="eastAsia"/>
          <w:color w:val="auto"/>
          <w:szCs w:val="21"/>
        </w:rPr>
        <w:t>月</w:t>
      </w:r>
      <w:r>
        <w:rPr>
          <w:color w:val="auto"/>
          <w:szCs w:val="21"/>
          <w:u w:val="single"/>
        </w:rPr>
        <w:t xml:space="preserve">     </w:t>
      </w:r>
      <w:r>
        <w:rPr>
          <w:rFonts w:hint="eastAsia"/>
          <w:color w:val="auto"/>
          <w:szCs w:val="21"/>
        </w:rPr>
        <w:t>日</w:t>
      </w:r>
      <w:bookmarkEnd w:id="133"/>
    </w:p>
    <w:p>
      <w:pPr>
        <w:spacing w:line="400" w:lineRule="exact"/>
        <w:rPr>
          <w:color w:val="auto"/>
          <w:szCs w:val="21"/>
        </w:rPr>
      </w:pPr>
    </w:p>
    <w:p>
      <w:pPr>
        <w:spacing w:line="440" w:lineRule="exact"/>
        <w:ind w:left="630" w:hanging="630" w:hangingChars="300"/>
        <w:rPr>
          <w:rFonts w:hint="eastAsia" w:ascii="宋体" w:hAnsi="宋体"/>
          <w:color w:val="auto"/>
          <w:szCs w:val="21"/>
        </w:rPr>
      </w:pPr>
      <w:r>
        <w:rPr>
          <w:rFonts w:hint="eastAsia"/>
          <w:color w:val="auto"/>
          <w:szCs w:val="21"/>
        </w:rPr>
        <w:t>备注：1.投标人拟任的项目经理（</w:t>
      </w:r>
      <w:r>
        <w:rPr>
          <w:color w:val="auto"/>
          <w:szCs w:val="21"/>
        </w:rPr>
        <w:t>建造师</w:t>
      </w:r>
      <w:r>
        <w:rPr>
          <w:rFonts w:hint="eastAsia"/>
          <w:color w:val="auto"/>
          <w:szCs w:val="21"/>
        </w:rPr>
        <w:t>）（下同）</w:t>
      </w:r>
      <w:r>
        <w:rPr>
          <w:color w:val="auto"/>
          <w:szCs w:val="21"/>
        </w:rPr>
        <w:t>不得同时担任两个及以上建设工程</w:t>
      </w:r>
      <w:r>
        <w:rPr>
          <w:rFonts w:hint="eastAsia"/>
          <w:color w:val="auto"/>
          <w:szCs w:val="21"/>
        </w:rPr>
        <w:t>项目的项目经理（项目负责人）</w:t>
      </w:r>
      <w:r>
        <w:rPr>
          <w:color w:val="auto"/>
          <w:szCs w:val="21"/>
        </w:rPr>
        <w:t>。</w:t>
      </w:r>
      <w:r>
        <w:rPr>
          <w:rFonts w:hint="eastAsia"/>
          <w:color w:val="auto"/>
          <w:szCs w:val="21"/>
        </w:rPr>
        <w:t>存在</w:t>
      </w:r>
      <w:r>
        <w:rPr>
          <w:color w:val="auto"/>
          <w:szCs w:val="21"/>
        </w:rPr>
        <w:t>下列情形之一的</w:t>
      </w:r>
      <w:r>
        <w:rPr>
          <w:rFonts w:hint="eastAsia"/>
          <w:color w:val="auto"/>
          <w:szCs w:val="21"/>
        </w:rPr>
        <w:t>，视为未担任其他在施建设工程项目的项目经理</w:t>
      </w:r>
      <w:r>
        <w:rPr>
          <w:color w:val="auto"/>
          <w:szCs w:val="21"/>
        </w:rPr>
        <w:t>：（</w:t>
      </w:r>
      <w:r>
        <w:rPr>
          <w:rFonts w:hint="eastAsia"/>
          <w:color w:val="auto"/>
          <w:szCs w:val="21"/>
        </w:rPr>
        <w:t>1</w:t>
      </w:r>
      <w:r>
        <w:rPr>
          <w:color w:val="auto"/>
          <w:szCs w:val="21"/>
        </w:rPr>
        <w:t>）同一工程相邻分段发包或分期施工的</w:t>
      </w:r>
      <w:r>
        <w:rPr>
          <w:rFonts w:hint="eastAsia"/>
          <w:color w:val="auto"/>
          <w:szCs w:val="21"/>
        </w:rPr>
        <w:t>；</w:t>
      </w:r>
      <w:r>
        <w:rPr>
          <w:color w:val="auto"/>
          <w:szCs w:val="21"/>
        </w:rPr>
        <w:t>（</w:t>
      </w:r>
      <w:r>
        <w:rPr>
          <w:rFonts w:hint="eastAsia"/>
          <w:color w:val="auto"/>
          <w:szCs w:val="21"/>
        </w:rPr>
        <w:t>2</w:t>
      </w:r>
      <w:r>
        <w:rPr>
          <w:color w:val="auto"/>
          <w:szCs w:val="21"/>
        </w:rPr>
        <w:t>）合同约定的工程验收合格的；（</w:t>
      </w:r>
      <w:r>
        <w:rPr>
          <w:rFonts w:hint="eastAsia"/>
          <w:color w:val="auto"/>
          <w:szCs w:val="21"/>
        </w:rPr>
        <w:t>3</w:t>
      </w:r>
      <w:r>
        <w:rPr>
          <w:color w:val="auto"/>
          <w:szCs w:val="21"/>
        </w:rPr>
        <w:t>）因非承包方原因致使工程项目停工超过120天（含），经建设单位同意的</w:t>
      </w:r>
      <w:r>
        <w:rPr>
          <w:rFonts w:hint="eastAsia"/>
          <w:color w:val="auto"/>
          <w:szCs w:val="21"/>
        </w:rPr>
        <w:t>；</w:t>
      </w:r>
      <w:r>
        <w:rPr>
          <w:rFonts w:hint="eastAsia" w:ascii="宋体" w:hAnsi="宋体"/>
          <w:color w:val="auto"/>
          <w:szCs w:val="21"/>
        </w:rPr>
        <w:t>（4）</w:t>
      </w:r>
      <w:r>
        <w:rPr>
          <w:rFonts w:ascii="宋体" w:hAnsi="宋体"/>
          <w:color w:val="auto"/>
          <w:szCs w:val="21"/>
        </w:rPr>
        <w:t>因非承包方原因合同工期内工程未完工且工程已完成80%以上的工作量的，经建设单位同意的。</w:t>
      </w:r>
    </w:p>
    <w:p>
      <w:pPr>
        <w:spacing w:line="440" w:lineRule="exact"/>
        <w:ind w:left="630" w:hanging="630" w:hangingChars="300"/>
        <w:rPr>
          <w:rFonts w:hint="eastAsia" w:ascii="宋体" w:hAnsi="宋体"/>
          <w:color w:val="auto"/>
          <w:szCs w:val="21"/>
        </w:rPr>
      </w:pPr>
      <w:bookmarkStart w:id="134" w:name="_Toc222032640"/>
      <w:bookmarkStart w:id="135" w:name="_Toc222029471"/>
      <w:bookmarkStart w:id="136" w:name="_Toc221949954"/>
      <w:bookmarkStart w:id="137" w:name="_Toc168475633"/>
      <w:bookmarkStart w:id="138" w:name="_Toc222030973"/>
      <w:bookmarkStart w:id="139" w:name="_Toc168476036"/>
      <w:bookmarkStart w:id="140" w:name="_Toc229305331"/>
      <w:bookmarkStart w:id="141" w:name="_Toc144974486"/>
      <w:bookmarkStart w:id="142" w:name="_Toc387753540"/>
      <w:bookmarkStart w:id="143" w:name="_Toc222033822"/>
      <w:bookmarkStart w:id="144" w:name="_Toc491089632"/>
      <w:r>
        <w:rPr>
          <w:rFonts w:hint="eastAsia" w:ascii="宋体" w:hAnsi="宋体"/>
          <w:color w:val="auto"/>
          <w:szCs w:val="21"/>
        </w:rPr>
        <w:t xml:space="preserve">      2.</w:t>
      </w:r>
      <w:r>
        <w:rPr>
          <w:rFonts w:ascii="宋体" w:hAnsi="宋体"/>
          <w:color w:val="auto"/>
          <w:szCs w:val="21"/>
        </w:rPr>
        <w:t xml:space="preserve"> </w:t>
      </w:r>
      <w:r>
        <w:rPr>
          <w:rFonts w:hint="eastAsia" w:ascii="宋体" w:hAnsi="宋体"/>
          <w:color w:val="auto"/>
          <w:szCs w:val="21"/>
        </w:rPr>
        <w:t>“在所投标段免费下载</w:t>
      </w:r>
      <w:r>
        <w:rPr>
          <w:rFonts w:hint="eastAsia"/>
          <w:color w:val="auto"/>
          <w:szCs w:val="21"/>
        </w:rPr>
        <w:t>招标文件</w:t>
      </w:r>
      <w:r>
        <w:rPr>
          <w:rFonts w:hint="eastAsia" w:ascii="宋体" w:hAnsi="宋体"/>
          <w:color w:val="auto"/>
          <w:szCs w:val="21"/>
        </w:rPr>
        <w:t>”是指投标人拟参加某标段投标的，应按规定下载该标段的招标文件。</w:t>
      </w:r>
      <w:r>
        <w:rPr>
          <w:rFonts w:hint="eastAsia"/>
          <w:color w:val="auto"/>
        </w:rPr>
        <w:t>投标人的下载活动“</w:t>
      </w:r>
      <w:r>
        <w:rPr>
          <w:color w:val="auto"/>
        </w:rPr>
        <w:t>电子</w:t>
      </w:r>
      <w:r>
        <w:rPr>
          <w:rFonts w:hint="eastAsia"/>
          <w:color w:val="auto"/>
        </w:rPr>
        <w:t>交易</w:t>
      </w:r>
      <w:r>
        <w:rPr>
          <w:color w:val="auto"/>
        </w:rPr>
        <w:t>平台</w:t>
      </w:r>
      <w:r>
        <w:rPr>
          <w:rFonts w:hint="eastAsia"/>
          <w:color w:val="auto"/>
        </w:rPr>
        <w:t>”将予以记录，并可在“下载情况查询”中查看，该记录作为投标人是否下载该标段招标文件的依据。</w:t>
      </w:r>
    </w:p>
    <w:p>
      <w:pPr>
        <w:spacing w:line="440" w:lineRule="exact"/>
        <w:rPr>
          <w:rFonts w:hint="eastAsia"/>
          <w:color w:val="auto"/>
          <w:szCs w:val="21"/>
        </w:rPr>
      </w:pPr>
    </w:p>
    <w:p>
      <w:pPr>
        <w:pStyle w:val="2"/>
        <w:spacing w:before="120" w:after="120" w:line="400" w:lineRule="exact"/>
        <w:rPr>
          <w:b w:val="0"/>
          <w:color w:val="auto"/>
        </w:rPr>
      </w:pPr>
      <w:bookmarkStart w:id="145" w:name="_Toc17174"/>
      <w:r>
        <w:rPr>
          <w:rFonts w:hint="eastAsia" w:ascii="黑体" w:hAnsi="黑体" w:eastAsia="黑体"/>
          <w:b w:val="0"/>
          <w:bCs w:val="0"/>
          <w:color w:val="auto"/>
          <w:sz w:val="32"/>
        </w:rPr>
        <w:t>第一章  投标邀请书（适用于邀请招标）</w:t>
      </w:r>
      <w:bookmarkEnd w:id="134"/>
      <w:bookmarkEnd w:id="135"/>
      <w:bookmarkEnd w:id="136"/>
      <w:bookmarkEnd w:id="137"/>
      <w:bookmarkEnd w:id="138"/>
      <w:bookmarkEnd w:id="139"/>
      <w:bookmarkEnd w:id="140"/>
      <w:bookmarkEnd w:id="141"/>
      <w:bookmarkEnd w:id="142"/>
      <w:bookmarkEnd w:id="143"/>
      <w:bookmarkEnd w:id="144"/>
      <w:bookmarkEnd w:id="145"/>
    </w:p>
    <w:p>
      <w:pPr>
        <w:spacing w:line="440" w:lineRule="exact"/>
        <w:jc w:val="center"/>
        <w:rPr>
          <w:rFonts w:hint="eastAsia" w:eastAsia="黑体"/>
          <w:color w:val="auto"/>
          <w:sz w:val="20"/>
          <w:szCs w:val="20"/>
        </w:rPr>
      </w:pPr>
    </w:p>
    <w:p>
      <w:pPr>
        <w:spacing w:line="440" w:lineRule="exact"/>
        <w:jc w:val="center"/>
        <w:rPr>
          <w:rFonts w:hint="eastAsia" w:eastAsia="黑体"/>
          <w:color w:val="auto"/>
          <w:sz w:val="28"/>
          <w:szCs w:val="28"/>
        </w:rPr>
      </w:pPr>
      <w:r>
        <w:rPr>
          <w:rFonts w:hint="eastAsia" w:ascii="宋体" w:hAnsi="宋体"/>
          <w:color w:val="auto"/>
          <w:sz w:val="28"/>
          <w:szCs w:val="28"/>
          <w:u w:val="single"/>
        </w:rPr>
        <w:t xml:space="preserve">           </w:t>
      </w:r>
      <w:r>
        <w:rPr>
          <w:rFonts w:hint="eastAsia" w:ascii="宋体" w:hAnsi="宋体"/>
          <w:color w:val="auto"/>
          <w:sz w:val="28"/>
          <w:szCs w:val="28"/>
        </w:rPr>
        <w:t>(项目名称)</w:t>
      </w:r>
      <w:r>
        <w:rPr>
          <w:rFonts w:eastAsia="黑体"/>
          <w:color w:val="auto"/>
          <w:sz w:val="28"/>
          <w:szCs w:val="28"/>
          <w:u w:val="single"/>
        </w:rPr>
        <w:t xml:space="preserve">        </w:t>
      </w:r>
      <w:r>
        <w:rPr>
          <w:rFonts w:hint="eastAsia" w:eastAsia="黑体"/>
          <w:color w:val="auto"/>
          <w:sz w:val="28"/>
          <w:szCs w:val="28"/>
          <w:u w:val="single"/>
        </w:rPr>
        <w:t xml:space="preserve"> </w:t>
      </w:r>
      <w:r>
        <w:rPr>
          <w:rFonts w:eastAsia="黑体"/>
          <w:color w:val="auto"/>
          <w:sz w:val="28"/>
          <w:szCs w:val="28"/>
          <w:u w:val="single"/>
        </w:rPr>
        <w:t xml:space="preserve"> </w:t>
      </w:r>
      <w:bookmarkStart w:id="146" w:name="_Toc221949955"/>
      <w:r>
        <w:rPr>
          <w:rFonts w:hint="eastAsia" w:eastAsia="黑体"/>
          <w:color w:val="auto"/>
          <w:sz w:val="28"/>
          <w:szCs w:val="28"/>
        </w:rPr>
        <w:t>（</w:t>
      </w:r>
      <w:r>
        <w:rPr>
          <w:rFonts w:hint="eastAsia" w:ascii="仿宋_GB2312" w:eastAsia="仿宋_GB2312"/>
          <w:color w:val="auto"/>
          <w:sz w:val="28"/>
          <w:szCs w:val="28"/>
        </w:rPr>
        <w:t>标段名称</w:t>
      </w:r>
      <w:r>
        <w:rPr>
          <w:rFonts w:hint="eastAsia" w:eastAsia="黑体"/>
          <w:color w:val="auto"/>
          <w:sz w:val="28"/>
          <w:szCs w:val="28"/>
        </w:rPr>
        <w:t>）</w:t>
      </w:r>
      <w:r>
        <w:rPr>
          <w:rFonts w:hint="eastAsia" w:eastAsia="黑体"/>
          <w:color w:val="auto"/>
          <w:sz w:val="28"/>
          <w:szCs w:val="28"/>
          <w:u w:val="single"/>
        </w:rPr>
        <w:t xml:space="preserve"> 施工 </w:t>
      </w:r>
      <w:r>
        <w:rPr>
          <w:rFonts w:hint="eastAsia" w:eastAsia="黑体"/>
          <w:color w:val="auto"/>
          <w:sz w:val="28"/>
          <w:szCs w:val="28"/>
        </w:rPr>
        <w:t>投标邀请书</w:t>
      </w:r>
      <w:bookmarkEnd w:id="146"/>
    </w:p>
    <w:p>
      <w:pPr>
        <w:spacing w:line="440" w:lineRule="exact"/>
        <w:jc w:val="center"/>
        <w:rPr>
          <w:rFonts w:eastAsia="黑体"/>
          <w:color w:val="auto"/>
          <w:sz w:val="28"/>
          <w:szCs w:val="28"/>
        </w:rPr>
      </w:pPr>
      <w:r>
        <w:rPr>
          <w:rFonts w:hint="eastAsia"/>
          <w:color w:val="auto"/>
          <w:szCs w:val="21"/>
        </w:rPr>
        <w:t>招标编号：</w:t>
      </w:r>
      <w:r>
        <w:rPr>
          <w:rFonts w:hint="eastAsia"/>
          <w:color w:val="auto"/>
          <w:szCs w:val="21"/>
          <w:u w:val="single"/>
        </w:rPr>
        <w:t xml:space="preserve">        </w:t>
      </w:r>
      <w:r>
        <w:rPr>
          <w:rFonts w:hint="eastAsia" w:ascii="楷体_GB2312" w:hAnsi="宋体" w:eastAsia="楷体_GB2312"/>
          <w:color w:val="auto"/>
          <w:szCs w:val="21"/>
        </w:rPr>
        <w:t xml:space="preserve"> </w:t>
      </w:r>
    </w:p>
    <w:p>
      <w:pPr>
        <w:spacing w:line="440" w:lineRule="exact"/>
        <w:jc w:val="center"/>
        <w:rPr>
          <w:rFonts w:eastAsia="黑体"/>
          <w:color w:val="auto"/>
          <w:sz w:val="28"/>
          <w:szCs w:val="28"/>
        </w:rPr>
      </w:pPr>
    </w:p>
    <w:p>
      <w:pPr>
        <w:spacing w:line="400" w:lineRule="exact"/>
        <w:rPr>
          <w:rFonts w:ascii="宋体" w:hAnsi="宋体"/>
          <w:color w:val="auto"/>
          <w:szCs w:val="21"/>
        </w:rPr>
      </w:pPr>
      <w:r>
        <w:rPr>
          <w:color w:val="auto"/>
          <w:szCs w:val="21"/>
          <w:u w:val="single"/>
        </w:rPr>
        <w:t xml:space="preserve">            </w:t>
      </w:r>
      <w:r>
        <w:rPr>
          <w:rFonts w:ascii="宋体" w:hAnsi="宋体"/>
          <w:color w:val="auto"/>
          <w:szCs w:val="21"/>
          <w:u w:val="single"/>
        </w:rPr>
        <w:t xml:space="preserve">   </w:t>
      </w:r>
      <w:bookmarkStart w:id="147" w:name="_Toc221949956"/>
      <w:r>
        <w:rPr>
          <w:rFonts w:hint="eastAsia" w:ascii="宋体" w:hAnsi="宋体"/>
          <w:color w:val="auto"/>
          <w:szCs w:val="21"/>
        </w:rPr>
        <w:t>（被邀请单位名称）：</w:t>
      </w:r>
      <w:bookmarkEnd w:id="147"/>
    </w:p>
    <w:p>
      <w:pPr>
        <w:pStyle w:val="80"/>
        <w:spacing w:before="120" w:after="156" w:afterLines="50"/>
        <w:rPr>
          <w:color w:val="auto"/>
        </w:rPr>
      </w:pPr>
      <w:bookmarkStart w:id="148" w:name="_Toc229305332"/>
      <w:bookmarkStart w:id="149" w:name="_Toc222030974"/>
      <w:bookmarkStart w:id="150" w:name="_Toc168476037"/>
      <w:bookmarkStart w:id="151" w:name="_Toc4508"/>
      <w:bookmarkStart w:id="152" w:name="_Toc144974487"/>
      <w:bookmarkStart w:id="153" w:name="_Toc222029472"/>
      <w:bookmarkStart w:id="154" w:name="_Toc222033823"/>
      <w:bookmarkStart w:id="155" w:name="_Toc168475634"/>
      <w:bookmarkStart w:id="156" w:name="_Toc387753541"/>
      <w:bookmarkStart w:id="157" w:name="_Toc222032641"/>
      <w:bookmarkStart w:id="158" w:name="_Toc491089633"/>
      <w:bookmarkStart w:id="159" w:name="_Toc221949957"/>
      <w:r>
        <w:rPr>
          <w:color w:val="auto"/>
        </w:rPr>
        <w:t xml:space="preserve">1. </w:t>
      </w:r>
      <w:r>
        <w:rPr>
          <w:rFonts w:hint="eastAsia"/>
          <w:color w:val="auto"/>
        </w:rPr>
        <w:t>招标条件</w:t>
      </w:r>
      <w:bookmarkEnd w:id="148"/>
      <w:bookmarkEnd w:id="149"/>
      <w:bookmarkEnd w:id="150"/>
      <w:bookmarkEnd w:id="151"/>
      <w:bookmarkEnd w:id="152"/>
      <w:bookmarkEnd w:id="153"/>
      <w:bookmarkEnd w:id="154"/>
      <w:bookmarkEnd w:id="155"/>
      <w:bookmarkEnd w:id="156"/>
      <w:bookmarkEnd w:id="157"/>
      <w:bookmarkEnd w:id="158"/>
      <w:bookmarkEnd w:id="159"/>
    </w:p>
    <w:p>
      <w:pPr>
        <w:adjustRightInd w:val="0"/>
        <w:snapToGrid w:val="0"/>
        <w:spacing w:line="360" w:lineRule="auto"/>
        <w:ind w:firstLine="420" w:firstLineChars="200"/>
        <w:rPr>
          <w:color w:val="auto"/>
          <w:szCs w:val="21"/>
        </w:rPr>
      </w:pPr>
      <w:bookmarkStart w:id="160" w:name="_Toc221949958"/>
      <w:r>
        <w:rPr>
          <w:rFonts w:hint="eastAsia"/>
          <w:color w:val="auto"/>
          <w:szCs w:val="21"/>
        </w:rPr>
        <w:t>本招标项目</w:t>
      </w:r>
      <w:r>
        <w:rPr>
          <w:color w:val="auto"/>
          <w:szCs w:val="21"/>
          <w:u w:val="single"/>
        </w:rPr>
        <w:t xml:space="preserve">                    </w:t>
      </w:r>
      <w:r>
        <w:rPr>
          <w:rFonts w:hint="eastAsia"/>
          <w:color w:val="auto"/>
          <w:szCs w:val="21"/>
        </w:rPr>
        <w:t>（</w:t>
      </w:r>
      <w:r>
        <w:rPr>
          <w:rFonts w:hint="eastAsia" w:ascii="宋体" w:hAnsi="宋体"/>
          <w:color w:val="auto"/>
          <w:szCs w:val="21"/>
        </w:rPr>
        <w:t>项目名称</w:t>
      </w:r>
      <w:r>
        <w:rPr>
          <w:rFonts w:hint="eastAsia"/>
          <w:color w:val="auto"/>
          <w:szCs w:val="21"/>
        </w:rPr>
        <w:t>）已由</w:t>
      </w:r>
      <w:r>
        <w:rPr>
          <w:color w:val="auto"/>
          <w:szCs w:val="21"/>
          <w:u w:val="single"/>
        </w:rPr>
        <w:t xml:space="preserve">                  </w:t>
      </w:r>
      <w:r>
        <w:rPr>
          <w:rFonts w:hint="eastAsia"/>
          <w:color w:val="auto"/>
          <w:szCs w:val="21"/>
        </w:rPr>
        <w:t>（</w:t>
      </w:r>
      <w:r>
        <w:rPr>
          <w:rFonts w:hint="eastAsia" w:ascii="宋体" w:hAnsi="宋体"/>
          <w:color w:val="auto"/>
          <w:szCs w:val="21"/>
        </w:rPr>
        <w:t>项目审批机关名称</w:t>
      </w:r>
      <w:r>
        <w:rPr>
          <w:rFonts w:hint="eastAsia"/>
          <w:color w:val="auto"/>
          <w:szCs w:val="21"/>
        </w:rPr>
        <w:t>）以</w:t>
      </w:r>
      <w:r>
        <w:rPr>
          <w:color w:val="auto"/>
          <w:szCs w:val="21"/>
          <w:u w:val="single"/>
        </w:rPr>
        <w:t xml:space="preserve">                 </w:t>
      </w:r>
      <w:r>
        <w:rPr>
          <w:rFonts w:hint="eastAsia"/>
          <w:color w:val="auto"/>
          <w:szCs w:val="21"/>
        </w:rPr>
        <w:t>（</w:t>
      </w:r>
      <w:r>
        <w:rPr>
          <w:rFonts w:hint="eastAsia" w:ascii="宋体" w:hAnsi="宋体"/>
          <w:color w:val="auto"/>
          <w:szCs w:val="21"/>
        </w:rPr>
        <w:t>批文名称及编号</w:t>
      </w:r>
      <w:r>
        <w:rPr>
          <w:rFonts w:hint="eastAsia"/>
          <w:color w:val="auto"/>
          <w:szCs w:val="21"/>
        </w:rPr>
        <w:t>）批准建设，建设资金来自</w:t>
      </w:r>
      <w:r>
        <w:rPr>
          <w:color w:val="auto"/>
          <w:szCs w:val="21"/>
          <w:u w:val="single"/>
        </w:rPr>
        <w:t xml:space="preserve">         </w:t>
      </w:r>
      <w:r>
        <w:rPr>
          <w:rFonts w:hint="eastAsia"/>
          <w:color w:val="auto"/>
          <w:szCs w:val="21"/>
        </w:rPr>
        <w:t>（</w:t>
      </w:r>
      <w:r>
        <w:rPr>
          <w:rFonts w:hint="eastAsia" w:ascii="宋体" w:hAnsi="宋体"/>
          <w:color w:val="auto"/>
          <w:szCs w:val="21"/>
        </w:rPr>
        <w:t>资金来源</w:t>
      </w:r>
      <w:r>
        <w:rPr>
          <w:rFonts w:hint="eastAsia"/>
          <w:color w:val="auto"/>
          <w:szCs w:val="21"/>
        </w:rPr>
        <w:t>），出资比例为</w:t>
      </w:r>
      <w:r>
        <w:rPr>
          <w:color w:val="auto"/>
          <w:szCs w:val="21"/>
          <w:u w:val="single"/>
        </w:rPr>
        <w:t xml:space="preserve">           </w:t>
      </w:r>
      <w:r>
        <w:rPr>
          <w:rFonts w:hint="eastAsia"/>
          <w:color w:val="auto"/>
          <w:szCs w:val="21"/>
        </w:rPr>
        <w:t>，招标人为</w:t>
      </w:r>
      <w:r>
        <w:rPr>
          <w:color w:val="auto"/>
          <w:szCs w:val="21"/>
          <w:u w:val="single"/>
        </w:rPr>
        <w:t xml:space="preserve">               </w:t>
      </w:r>
      <w:r>
        <w:rPr>
          <w:rFonts w:hint="eastAsia"/>
          <w:color w:val="auto"/>
          <w:szCs w:val="21"/>
        </w:rPr>
        <w:t>，招标代理机构为</w:t>
      </w:r>
      <w:r>
        <w:rPr>
          <w:color w:val="auto"/>
          <w:szCs w:val="21"/>
          <w:u w:val="single"/>
        </w:rPr>
        <w:t xml:space="preserve">               </w:t>
      </w:r>
      <w:r>
        <w:rPr>
          <w:rFonts w:hint="eastAsia"/>
          <w:color w:val="auto"/>
          <w:szCs w:val="21"/>
        </w:rPr>
        <w:t>。项目已具备招标条件，现邀请你单位参加</w:t>
      </w:r>
      <w:r>
        <w:rPr>
          <w:rFonts w:hint="eastAsia" w:ascii="宋体" w:hAnsi="宋体"/>
          <w:color w:val="auto"/>
          <w:szCs w:val="21"/>
          <w:u w:val="single"/>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w:t>
      </w:r>
      <w:r>
        <w:rPr>
          <w:rFonts w:hint="eastAsia"/>
          <w:color w:val="auto"/>
          <w:szCs w:val="21"/>
        </w:rPr>
        <w:t>名称</w:t>
      </w:r>
      <w:r>
        <w:rPr>
          <w:rFonts w:hint="eastAsia" w:ascii="宋体" w:hAnsi="宋体"/>
          <w:color w:val="auto"/>
          <w:szCs w:val="21"/>
        </w:rPr>
        <w:t>）</w:t>
      </w:r>
      <w:r>
        <w:rPr>
          <w:rFonts w:hint="eastAsia" w:ascii="宋体" w:hAnsi="宋体"/>
          <w:color w:val="auto"/>
          <w:szCs w:val="21"/>
          <w:u w:val="single"/>
        </w:rPr>
        <w:t xml:space="preserve"> 施工 </w:t>
      </w:r>
      <w:r>
        <w:rPr>
          <w:rFonts w:hint="eastAsia"/>
          <w:color w:val="auto"/>
          <w:szCs w:val="21"/>
        </w:rPr>
        <w:t>投标。</w:t>
      </w:r>
      <w:bookmarkEnd w:id="160"/>
    </w:p>
    <w:p>
      <w:pPr>
        <w:pStyle w:val="80"/>
        <w:spacing w:before="120" w:after="156" w:afterLines="50"/>
        <w:rPr>
          <w:color w:val="auto"/>
        </w:rPr>
      </w:pPr>
      <w:bookmarkStart w:id="161" w:name="_Toc28837"/>
      <w:bookmarkStart w:id="162" w:name="_Toc144974488"/>
      <w:bookmarkStart w:id="163" w:name="_Toc229305333"/>
      <w:bookmarkStart w:id="164" w:name="_Toc222029473"/>
      <w:bookmarkStart w:id="165" w:name="_Toc168476038"/>
      <w:bookmarkStart w:id="166" w:name="_Toc222033824"/>
      <w:bookmarkStart w:id="167" w:name="_Toc491089634"/>
      <w:bookmarkStart w:id="168" w:name="_Toc222030975"/>
      <w:bookmarkStart w:id="169" w:name="_Toc222032642"/>
      <w:bookmarkStart w:id="170" w:name="_Toc221949959"/>
      <w:bookmarkStart w:id="171" w:name="_Toc168475635"/>
      <w:bookmarkStart w:id="172" w:name="_Toc387753542"/>
      <w:r>
        <w:rPr>
          <w:color w:val="auto"/>
        </w:rPr>
        <w:t xml:space="preserve">2. </w:t>
      </w:r>
      <w:r>
        <w:rPr>
          <w:rFonts w:hint="eastAsia"/>
          <w:color w:val="auto"/>
        </w:rPr>
        <w:t>项目概况与招标范围</w:t>
      </w:r>
      <w:bookmarkEnd w:id="161"/>
    </w:p>
    <w:p>
      <w:pPr>
        <w:spacing w:line="480" w:lineRule="exact"/>
        <w:ind w:firstLine="420" w:firstLineChars="200"/>
        <w:rPr>
          <w:rFonts w:hint="eastAsia"/>
          <w:color w:val="auto"/>
          <w:szCs w:val="21"/>
        </w:rPr>
      </w:pPr>
      <w:r>
        <w:rPr>
          <w:rFonts w:hint="eastAsia"/>
          <w:color w:val="auto"/>
        </w:rPr>
        <w:t xml:space="preserve"> </w:t>
      </w:r>
      <w:r>
        <w:rPr>
          <w:color w:val="auto"/>
          <w:szCs w:val="21"/>
        </w:rPr>
        <w:t xml:space="preserve">2.1 </w:t>
      </w:r>
      <w:r>
        <w:rPr>
          <w:rFonts w:hint="eastAsia"/>
          <w:color w:val="auto"/>
          <w:szCs w:val="21"/>
        </w:rPr>
        <w:t>项目概况</w:t>
      </w:r>
    </w:p>
    <w:p>
      <w:pPr>
        <w:spacing w:line="480" w:lineRule="exact"/>
        <w:ind w:firstLine="840" w:firstLineChars="400"/>
        <w:rPr>
          <w:rFonts w:hint="eastAsia"/>
          <w:color w:val="auto"/>
          <w:szCs w:val="21"/>
          <w:u w:val="single"/>
        </w:rPr>
      </w:pPr>
      <w:r>
        <w:rPr>
          <w:rFonts w:hint="eastAsia"/>
          <w:color w:val="auto"/>
          <w:szCs w:val="21"/>
        </w:rPr>
        <w:t>建设地点：</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建设规模：</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其他：</w:t>
      </w:r>
      <w:r>
        <w:rPr>
          <w:rFonts w:hint="eastAsia"/>
          <w:color w:val="auto"/>
          <w:szCs w:val="21"/>
          <w:u w:val="single"/>
        </w:rPr>
        <w:t xml:space="preserve">                                   </w:t>
      </w:r>
      <w:r>
        <w:rPr>
          <w:rFonts w:hint="eastAsia"/>
          <w:color w:val="auto"/>
          <w:szCs w:val="21"/>
        </w:rPr>
        <w:t>。</w:t>
      </w:r>
    </w:p>
    <w:p>
      <w:pPr>
        <w:spacing w:line="480" w:lineRule="exact"/>
        <w:ind w:firstLine="420" w:firstLineChars="200"/>
        <w:rPr>
          <w:rFonts w:hint="eastAsia"/>
          <w:color w:val="auto"/>
          <w:szCs w:val="21"/>
        </w:rPr>
      </w:pPr>
      <w:r>
        <w:rPr>
          <w:color w:val="auto"/>
          <w:szCs w:val="21"/>
        </w:rPr>
        <w:t>2.</w:t>
      </w:r>
      <w:r>
        <w:rPr>
          <w:rFonts w:hint="eastAsia"/>
          <w:color w:val="auto"/>
          <w:szCs w:val="21"/>
        </w:rPr>
        <w:t>2 招标范围</w:t>
      </w:r>
    </w:p>
    <w:p>
      <w:pPr>
        <w:spacing w:line="480" w:lineRule="exact"/>
        <w:ind w:firstLine="840" w:firstLineChars="400"/>
        <w:rPr>
          <w:rFonts w:hint="eastAsia"/>
          <w:color w:val="auto"/>
          <w:szCs w:val="21"/>
        </w:rPr>
      </w:pPr>
      <w:r>
        <w:rPr>
          <w:rFonts w:hint="eastAsia"/>
          <w:color w:val="auto"/>
          <w:szCs w:val="21"/>
        </w:rPr>
        <w:t>招标范围：</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标段划分：</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u w:val="single"/>
        </w:rPr>
      </w:pPr>
      <w:r>
        <w:rPr>
          <w:rFonts w:hint="eastAsia"/>
          <w:color w:val="auto"/>
          <w:szCs w:val="21"/>
        </w:rPr>
        <w:t>计划工期：</w:t>
      </w:r>
      <w:r>
        <w:rPr>
          <w:rFonts w:hint="eastAsia"/>
          <w:color w:val="auto"/>
          <w:szCs w:val="21"/>
          <w:u w:val="single"/>
        </w:rPr>
        <w:t xml:space="preserve">            </w:t>
      </w:r>
      <w:r>
        <w:rPr>
          <w:rFonts w:hint="eastAsia"/>
          <w:color w:val="auto"/>
          <w:szCs w:val="21"/>
        </w:rPr>
        <w:t>日历天，计划开工日期</w:t>
      </w:r>
      <w:r>
        <w:rPr>
          <w:rFonts w:hint="eastAsia"/>
          <w:color w:val="auto"/>
          <w:szCs w:val="21"/>
          <w:u w:val="single"/>
        </w:rPr>
        <w:t xml:space="preserve">                  </w:t>
      </w:r>
      <w:r>
        <w:rPr>
          <w:rFonts w:hint="eastAsia"/>
          <w:color w:val="auto"/>
          <w:szCs w:val="21"/>
        </w:rPr>
        <w:t>。</w:t>
      </w:r>
    </w:p>
    <w:p>
      <w:pPr>
        <w:spacing w:line="480" w:lineRule="exact"/>
        <w:ind w:firstLine="840" w:firstLineChars="400"/>
        <w:rPr>
          <w:rFonts w:hint="eastAsia"/>
          <w:color w:val="auto"/>
          <w:szCs w:val="21"/>
        </w:rPr>
      </w:pPr>
      <w:r>
        <w:rPr>
          <w:rFonts w:hint="eastAsia"/>
          <w:color w:val="auto"/>
          <w:szCs w:val="21"/>
        </w:rPr>
        <w:t>合同估算价：</w:t>
      </w:r>
      <w:r>
        <w:rPr>
          <w:rFonts w:hint="eastAsia"/>
          <w:color w:val="auto"/>
          <w:szCs w:val="21"/>
          <w:u w:val="single"/>
        </w:rPr>
        <w:t xml:space="preserve">                             </w:t>
      </w:r>
      <w:r>
        <w:rPr>
          <w:rFonts w:hint="eastAsia"/>
          <w:color w:val="auto"/>
          <w:szCs w:val="21"/>
        </w:rPr>
        <w:t>。</w:t>
      </w:r>
    </w:p>
    <w:p>
      <w:pPr>
        <w:spacing w:line="460" w:lineRule="exact"/>
        <w:ind w:firstLine="437"/>
        <w:rPr>
          <w:color w:val="auto"/>
        </w:rPr>
      </w:pPr>
      <w:r>
        <w:rPr>
          <w:color w:val="auto"/>
          <w:szCs w:val="21"/>
        </w:rPr>
        <w:t>2.</w:t>
      </w:r>
      <w:r>
        <w:rPr>
          <w:rFonts w:hint="eastAsia"/>
          <w:color w:val="auto"/>
          <w:szCs w:val="21"/>
        </w:rPr>
        <w:t>3 其他：</w:t>
      </w:r>
      <w:r>
        <w:rPr>
          <w:rFonts w:hint="eastAsia"/>
          <w:color w:val="auto"/>
          <w:szCs w:val="21"/>
          <w:u w:val="single"/>
        </w:rPr>
        <w:t xml:space="preserve">                                   </w:t>
      </w:r>
      <w:r>
        <w:rPr>
          <w:rFonts w:hint="eastAsia"/>
          <w:color w:val="auto"/>
          <w:szCs w:val="21"/>
        </w:rPr>
        <w:t>。</w:t>
      </w:r>
    </w:p>
    <w:p>
      <w:pPr>
        <w:pStyle w:val="80"/>
        <w:spacing w:before="120" w:after="156" w:afterLines="50"/>
        <w:rPr>
          <w:rFonts w:hint="eastAsia"/>
          <w:color w:val="auto"/>
        </w:rPr>
      </w:pPr>
      <w:bookmarkStart w:id="173" w:name="_Toc16811"/>
      <w:r>
        <w:rPr>
          <w:color w:val="auto"/>
        </w:rPr>
        <w:t xml:space="preserve">3. </w:t>
      </w:r>
      <w:r>
        <w:rPr>
          <w:rFonts w:hint="eastAsia"/>
          <w:color w:val="auto"/>
        </w:rPr>
        <w:t>投标人资格要求</w:t>
      </w:r>
      <w:bookmarkEnd w:id="173"/>
    </w:p>
    <w:p>
      <w:pPr>
        <w:adjustRightInd w:val="0"/>
        <w:snapToGrid w:val="0"/>
        <w:spacing w:line="360" w:lineRule="auto"/>
        <w:ind w:firstLine="420" w:firstLineChars="200"/>
        <w:rPr>
          <w:rFonts w:hint="eastAsia"/>
          <w:color w:val="auto"/>
        </w:rPr>
      </w:pPr>
      <w:r>
        <w:rPr>
          <w:color w:val="auto"/>
        </w:rPr>
        <w:t xml:space="preserve">3.1 </w:t>
      </w:r>
      <w:r>
        <w:rPr>
          <w:rFonts w:hint="eastAsia"/>
          <w:color w:val="auto"/>
        </w:rPr>
        <w:t>本次招标要求投标人须具备</w:t>
      </w:r>
      <w:r>
        <w:rPr>
          <w:color w:val="auto"/>
          <w:u w:val="single"/>
        </w:rPr>
        <w:t xml:space="preserve">    </w:t>
      </w:r>
      <w:r>
        <w:rPr>
          <w:rFonts w:hint="eastAsia"/>
          <w:color w:val="auto"/>
          <w:u w:val="single"/>
        </w:rPr>
        <w:t xml:space="preserve">   </w:t>
      </w:r>
      <w:r>
        <w:rPr>
          <w:color w:val="auto"/>
          <w:u w:val="single"/>
        </w:rPr>
        <w:t xml:space="preserve">   </w:t>
      </w:r>
      <w:r>
        <w:rPr>
          <w:rFonts w:hint="eastAsia"/>
          <w:color w:val="auto"/>
        </w:rPr>
        <w:t>资质，</w:t>
      </w:r>
      <w:r>
        <w:rPr>
          <w:rFonts w:ascii="宋体" w:hAnsi="宋体"/>
          <w:color w:val="auto"/>
          <w:szCs w:val="21"/>
        </w:rPr>
        <w:t>近</w:t>
      </w:r>
      <w:r>
        <w:rPr>
          <w:rFonts w:ascii="宋体" w:hAnsi="宋体"/>
          <w:color w:val="auto"/>
          <w:szCs w:val="21"/>
          <w:u w:val="single"/>
        </w:rPr>
        <w:t xml:space="preserve">    </w:t>
      </w:r>
      <w:r>
        <w:rPr>
          <w:rFonts w:ascii="宋体" w:hAnsi="宋体"/>
          <w:color w:val="auto"/>
          <w:szCs w:val="21"/>
        </w:rPr>
        <w:t>年</w:t>
      </w:r>
      <w:r>
        <w:rPr>
          <w:rFonts w:hint="eastAsia" w:ascii="宋体" w:hAnsi="宋体"/>
          <w:color w:val="auto"/>
          <w:szCs w:val="21"/>
        </w:rPr>
        <w:t>承接</w:t>
      </w:r>
      <w:r>
        <w:rPr>
          <w:rFonts w:ascii="宋体" w:hAnsi="宋体"/>
          <w:color w:val="auto"/>
          <w:szCs w:val="21"/>
        </w:rPr>
        <w:t>过</w:t>
      </w:r>
      <w:r>
        <w:rPr>
          <w:color w:val="auto"/>
          <w:u w:val="single"/>
        </w:rPr>
        <w:t xml:space="preserve">    </w:t>
      </w:r>
      <w:r>
        <w:rPr>
          <w:rFonts w:hint="eastAsia" w:ascii="宋体" w:hAnsi="宋体"/>
          <w:color w:val="auto"/>
          <w:szCs w:val="21"/>
          <w:u w:val="single"/>
        </w:rPr>
        <w:t xml:space="preserve">（同类工程或类似工程描述）  </w:t>
      </w:r>
      <w:r>
        <w:rPr>
          <w:color w:val="auto"/>
          <w:u w:val="single"/>
        </w:rPr>
        <w:t xml:space="preserve"> </w:t>
      </w:r>
      <w:r>
        <w:rPr>
          <w:rFonts w:hint="eastAsia"/>
          <w:color w:val="auto"/>
        </w:rPr>
        <w:t>业绩，并在人员、设备、资金等方面具有承担本标段施工的能力。其中，投标人拟任项目经理须具备</w:t>
      </w:r>
      <w:r>
        <w:rPr>
          <w:rFonts w:hint="eastAsia"/>
          <w:color w:val="auto"/>
          <w:u w:val="single"/>
        </w:rPr>
        <w:t xml:space="preserve">        </w:t>
      </w:r>
      <w:r>
        <w:rPr>
          <w:rFonts w:hint="eastAsia"/>
          <w:color w:val="auto"/>
        </w:rPr>
        <w:t>专业</w:t>
      </w:r>
      <w:r>
        <w:rPr>
          <w:rFonts w:hint="eastAsia"/>
          <w:color w:val="auto"/>
          <w:u w:val="single"/>
        </w:rPr>
        <w:t xml:space="preserve">       </w:t>
      </w:r>
      <w:r>
        <w:rPr>
          <w:rFonts w:hint="eastAsia"/>
          <w:color w:val="auto"/>
        </w:rPr>
        <w:t>级注册建造师执业资格，具备有效的安全生产考核合格证书</w:t>
      </w:r>
      <w:r>
        <w:rPr>
          <w:color w:val="auto"/>
        </w:rPr>
        <w:t>（B</w:t>
      </w:r>
      <w:r>
        <w:rPr>
          <w:rFonts w:hint="eastAsia"/>
          <w:color w:val="auto"/>
        </w:rPr>
        <w:t>证</w:t>
      </w:r>
      <w:r>
        <w:rPr>
          <w:color w:val="auto"/>
        </w:rPr>
        <w:t>）</w:t>
      </w:r>
      <w:r>
        <w:rPr>
          <w:rFonts w:hint="eastAsia"/>
          <w:color w:val="auto"/>
        </w:rPr>
        <w:t>，且未担任其他在施建设工程项目的项目经理。</w:t>
      </w:r>
    </w:p>
    <w:p>
      <w:pPr>
        <w:spacing w:line="400" w:lineRule="exact"/>
        <w:rPr>
          <w:color w:val="auto"/>
        </w:rPr>
      </w:pPr>
      <w:r>
        <w:rPr>
          <w:color w:val="auto"/>
        </w:rPr>
        <w:t xml:space="preserve">    3.2 </w:t>
      </w:r>
      <w:r>
        <w:rPr>
          <w:rFonts w:hint="eastAsia"/>
          <w:color w:val="auto"/>
        </w:rPr>
        <w:t>本次招标</w:t>
      </w:r>
      <w:r>
        <w:rPr>
          <w:color w:val="auto"/>
          <w:u w:val="single"/>
        </w:rPr>
        <w:t xml:space="preserve">            </w:t>
      </w:r>
      <w:r>
        <w:rPr>
          <w:rFonts w:hint="eastAsia"/>
          <w:color w:val="auto"/>
        </w:rPr>
        <w:t>（接受</w:t>
      </w:r>
      <w:r>
        <w:rPr>
          <w:color w:val="auto"/>
        </w:rPr>
        <w:t>/</w:t>
      </w:r>
      <w:r>
        <w:rPr>
          <w:rFonts w:hint="eastAsia"/>
          <w:color w:val="auto"/>
        </w:rPr>
        <w:t>不接受）联合体投标。</w:t>
      </w:r>
      <w:r>
        <w:rPr>
          <w:color w:val="auto"/>
        </w:rPr>
        <w:t xml:space="preserve"> </w:t>
      </w:r>
      <w:r>
        <w:rPr>
          <w:rFonts w:hint="eastAsia"/>
          <w:color w:val="auto"/>
        </w:rPr>
        <w:t>联合体投标的，应满足下列要求：</w:t>
      </w:r>
      <w:r>
        <w:rPr>
          <w:color w:val="auto"/>
          <w:u w:val="single"/>
        </w:rPr>
        <w:t xml:space="preserve">                          </w:t>
      </w:r>
      <w:r>
        <w:rPr>
          <w:rFonts w:hint="eastAsia"/>
          <w:color w:val="auto"/>
        </w:rPr>
        <w:t>。</w:t>
      </w:r>
    </w:p>
    <w:p>
      <w:pPr>
        <w:spacing w:line="400" w:lineRule="exact"/>
        <w:ind w:firstLine="435"/>
        <w:rPr>
          <w:rFonts w:hint="eastAsia"/>
          <w:color w:val="auto"/>
        </w:rPr>
      </w:pPr>
      <w:r>
        <w:rPr>
          <w:color w:val="auto"/>
        </w:rPr>
        <w:t>3.3</w:t>
      </w:r>
      <w:r>
        <w:rPr>
          <w:rFonts w:hint="eastAsia"/>
          <w:color w:val="auto"/>
        </w:rPr>
        <w:t>其他</w:t>
      </w:r>
      <w:r>
        <w:rPr>
          <w:color w:val="auto"/>
        </w:rPr>
        <w:t>要求：</w:t>
      </w:r>
      <w:r>
        <w:rPr>
          <w:rFonts w:hint="eastAsia"/>
          <w:color w:val="auto"/>
          <w:u w:val="single"/>
        </w:rPr>
        <w:t>本次招标实行资格后审，资格审查的具体要求见招标文件。资格后审不合格的投标人其投标将被否决</w:t>
      </w:r>
      <w:r>
        <w:rPr>
          <w:rFonts w:hint="eastAsia"/>
          <w:color w:val="auto"/>
        </w:rPr>
        <w:t>。</w:t>
      </w:r>
      <w:r>
        <w:rPr>
          <w:color w:val="auto"/>
        </w:rPr>
        <w:t xml:space="preserve">     </w:t>
      </w:r>
    </w:p>
    <w:bookmarkEnd w:id="162"/>
    <w:bookmarkEnd w:id="163"/>
    <w:bookmarkEnd w:id="164"/>
    <w:bookmarkEnd w:id="165"/>
    <w:bookmarkEnd w:id="166"/>
    <w:bookmarkEnd w:id="167"/>
    <w:bookmarkEnd w:id="168"/>
    <w:bookmarkEnd w:id="169"/>
    <w:bookmarkEnd w:id="170"/>
    <w:bookmarkEnd w:id="171"/>
    <w:bookmarkEnd w:id="172"/>
    <w:p>
      <w:pPr>
        <w:pStyle w:val="80"/>
        <w:spacing w:before="120" w:after="156" w:afterLines="50"/>
        <w:rPr>
          <w:color w:val="auto"/>
        </w:rPr>
      </w:pPr>
      <w:bookmarkStart w:id="174" w:name="_Toc491089636"/>
      <w:bookmarkStart w:id="175" w:name="_Toc23145"/>
      <w:bookmarkStart w:id="176" w:name="_Toc387753544"/>
      <w:bookmarkStart w:id="177" w:name="_Toc221949980"/>
      <w:r>
        <w:rPr>
          <w:color w:val="auto"/>
        </w:rPr>
        <w:t xml:space="preserve">4. </w:t>
      </w:r>
      <w:r>
        <w:rPr>
          <w:rFonts w:hint="eastAsia"/>
          <w:color w:val="auto"/>
        </w:rPr>
        <w:t>招标文件的获取</w:t>
      </w:r>
      <w:bookmarkEnd w:id="174"/>
      <w:bookmarkEnd w:id="175"/>
      <w:bookmarkEnd w:id="176"/>
    </w:p>
    <w:p>
      <w:pPr>
        <w:adjustRightInd w:val="0"/>
        <w:snapToGrid w:val="0"/>
        <w:spacing w:line="360" w:lineRule="auto"/>
        <w:ind w:firstLine="420" w:firstLineChars="200"/>
        <w:rPr>
          <w:rFonts w:hint="eastAsia"/>
          <w:color w:val="auto"/>
          <w:szCs w:val="21"/>
        </w:rPr>
      </w:pPr>
      <w:bookmarkStart w:id="178" w:name="_Toc387753545"/>
      <w:bookmarkStart w:id="179" w:name="_Toc491089637"/>
      <w:r>
        <w:rPr>
          <w:rFonts w:hint="eastAsia"/>
          <w:color w:val="auto"/>
          <w:szCs w:val="21"/>
        </w:rPr>
        <w:t>4.1 凡拟被邀请参加投标者（若为联合体投标，指联合体所有成员），应当在襄阳市公共资源交易网电子招投标交易平台（以下简称“电子交易平台”，下同）（网址：http://jyzx.xiangyang.gov.cn/）进行企业（诚信）注册登记，并办理CA数字证书（具体操作参见“电子交易平台”—服务导航—CA数字证书及电子签章办理指南）。</w:t>
      </w:r>
    </w:p>
    <w:p>
      <w:pPr>
        <w:adjustRightInd w:val="0"/>
        <w:snapToGrid w:val="0"/>
        <w:spacing w:line="360" w:lineRule="auto"/>
        <w:ind w:firstLine="420" w:firstLineChars="200"/>
        <w:rPr>
          <w:rFonts w:hint="eastAsia"/>
          <w:color w:val="auto"/>
          <w:szCs w:val="21"/>
        </w:rPr>
      </w:pPr>
      <w:r>
        <w:rPr>
          <w:rFonts w:hint="eastAsia"/>
          <w:color w:val="auto"/>
          <w:szCs w:val="21"/>
        </w:rPr>
        <w:t>4.2 本投标邀请书通过“电子交易平台”发出。请你单位收到投标邀请书后（以发出时间为准）     日内，通过互联网使用CA数字证书登录“电子交易平台” 提交“投标确认书”。未按要求提交“投标确认书”的，将无法下载招标文件，视为放弃投标资格。</w:t>
      </w:r>
    </w:p>
    <w:p>
      <w:pPr>
        <w:adjustRightInd w:val="0"/>
        <w:snapToGrid w:val="0"/>
        <w:spacing w:line="360" w:lineRule="auto"/>
        <w:ind w:firstLine="420" w:firstLineChars="200"/>
        <w:rPr>
          <w:rFonts w:hint="eastAsia"/>
          <w:color w:val="auto"/>
        </w:rPr>
      </w:pPr>
      <w:r>
        <w:rPr>
          <w:rFonts w:hint="eastAsia"/>
          <w:color w:val="auto"/>
          <w:szCs w:val="21"/>
        </w:rPr>
        <w:t>4.3 提交“投标确认书”后，请于     年    月    日至     年    月    日24：00时止（北京时间、下同），通过互联网使用CA数字证书登录“电子交易平台”，在所投标段免费下载招标文件。联合体投标的，由联合体牵头人下载招标文件。未按规定从“电子交易平台”下载招标文件的，招标人 （“电子交易平台”）拒收其投标文件。</w:t>
      </w:r>
    </w:p>
    <w:p>
      <w:pPr>
        <w:pStyle w:val="80"/>
        <w:spacing w:before="120" w:after="156" w:afterLines="50"/>
        <w:rPr>
          <w:color w:val="auto"/>
        </w:rPr>
      </w:pPr>
      <w:bookmarkStart w:id="180" w:name="_Toc10797"/>
      <w:r>
        <w:rPr>
          <w:color w:val="auto"/>
        </w:rPr>
        <w:t xml:space="preserve">5. </w:t>
      </w:r>
      <w:r>
        <w:rPr>
          <w:rFonts w:hint="eastAsia"/>
          <w:color w:val="auto"/>
        </w:rPr>
        <w:t>投标文件的递交</w:t>
      </w:r>
      <w:bookmarkEnd w:id="178"/>
      <w:bookmarkEnd w:id="179"/>
      <w:bookmarkEnd w:id="180"/>
    </w:p>
    <w:p>
      <w:pPr>
        <w:spacing w:after="156" w:afterLines="50" w:line="460" w:lineRule="exact"/>
        <w:ind w:firstLine="437"/>
        <w:rPr>
          <w:rFonts w:hint="eastAsia"/>
          <w:color w:val="auto"/>
          <w:bdr w:val="single" w:color="auto" w:sz="4" w:space="0"/>
        </w:rPr>
      </w:pPr>
      <w:bookmarkStart w:id="181" w:name="_Toc387753548"/>
      <w:bookmarkStart w:id="182" w:name="_Toc491089639"/>
      <w:r>
        <w:rPr>
          <w:color w:val="auto"/>
        </w:rPr>
        <w:t>5.1</w:t>
      </w:r>
      <w:r>
        <w:rPr>
          <w:rFonts w:hint="eastAsia"/>
          <w:color w:val="auto"/>
        </w:rPr>
        <w:t xml:space="preserve"> 投标文件递交截止时间为</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color w:val="auto"/>
        </w:rPr>
        <w:t>分。</w:t>
      </w:r>
    </w:p>
    <w:p>
      <w:pPr>
        <w:adjustRightInd w:val="0"/>
        <w:snapToGrid w:val="0"/>
        <w:spacing w:line="360" w:lineRule="auto"/>
        <w:ind w:firstLine="420" w:firstLineChars="200"/>
        <w:rPr>
          <w:rFonts w:hint="eastAsia"/>
          <w:color w:val="auto"/>
        </w:rPr>
      </w:pPr>
      <w:r>
        <w:rPr>
          <w:color w:val="auto"/>
        </w:rPr>
        <w:t>5.</w:t>
      </w:r>
      <w:r>
        <w:rPr>
          <w:rFonts w:hint="eastAsia"/>
          <w:color w:val="auto"/>
        </w:rPr>
        <w:t>2 投标人应当在投标截止时间前，</w:t>
      </w:r>
      <w:r>
        <w:rPr>
          <w:color w:val="auto"/>
        </w:rPr>
        <w:t>通过</w:t>
      </w:r>
      <w:r>
        <w:rPr>
          <w:rFonts w:hint="eastAsia"/>
          <w:color w:val="auto"/>
        </w:rPr>
        <w:t>互联网</w:t>
      </w:r>
      <w:r>
        <w:rPr>
          <w:color w:val="auto"/>
        </w:rPr>
        <w:t>使用</w:t>
      </w:r>
      <w:r>
        <w:rPr>
          <w:rFonts w:hint="eastAsia"/>
          <w:color w:val="auto"/>
        </w:rPr>
        <w:t>CA数字证书登录“电子交易平台”，选择所投标段将</w:t>
      </w:r>
      <w:r>
        <w:rPr>
          <w:rFonts w:hint="eastAsia"/>
          <w:b/>
          <w:color w:val="auto"/>
        </w:rPr>
        <w:t>加密的电子投标文件</w:t>
      </w:r>
      <w:r>
        <w:rPr>
          <w:rFonts w:hint="eastAsia"/>
          <w:color w:val="auto"/>
        </w:rPr>
        <w:t>上传。</w:t>
      </w:r>
      <w:r>
        <w:rPr>
          <w:rFonts w:hint="eastAsia"/>
          <w:color w:val="auto"/>
          <w:highlight w:val="yellow"/>
          <w:lang w:eastAsia="zh-CN"/>
        </w:rPr>
        <w:t>如为联合体投标的，</w:t>
      </w:r>
      <w:r>
        <w:rPr>
          <w:rFonts w:hint="eastAsia"/>
          <w:color w:val="auto"/>
          <w:highlight w:val="yellow"/>
        </w:rPr>
        <w:t>联合体牵头人在上传投标文件前，需在电子交易平台中确定联合体成员单位</w:t>
      </w:r>
      <w:r>
        <w:rPr>
          <w:rFonts w:hint="eastAsia"/>
          <w:color w:val="auto"/>
          <w:highlight w:val="yellow"/>
          <w:lang w:eastAsia="zh-CN"/>
        </w:rPr>
        <w:t>。</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载明的传输完成时间为准。逾</w:t>
      </w:r>
      <w:r>
        <w:rPr>
          <w:color w:val="auto"/>
        </w:rPr>
        <w:t>期未完成上传</w:t>
      </w:r>
      <w:r>
        <w:rPr>
          <w:rFonts w:hint="eastAsia"/>
          <w:color w:val="auto"/>
        </w:rPr>
        <w:t>或未加密的</w:t>
      </w:r>
      <w:r>
        <w:rPr>
          <w:color w:val="auto"/>
        </w:rPr>
        <w:t>电子</w:t>
      </w:r>
      <w:r>
        <w:rPr>
          <w:rFonts w:hint="eastAsia"/>
          <w:color w:val="auto"/>
        </w:rPr>
        <w:t>投标文件</w:t>
      </w:r>
      <w:r>
        <w:rPr>
          <w:color w:val="auto"/>
        </w:rPr>
        <w:t>，招标人</w:t>
      </w:r>
      <w:r>
        <w:rPr>
          <w:rFonts w:hint="eastAsia"/>
          <w:color w:val="auto"/>
        </w:rPr>
        <w:t>（“</w:t>
      </w:r>
      <w:r>
        <w:rPr>
          <w:color w:val="auto"/>
        </w:rPr>
        <w:t>电子</w:t>
      </w:r>
      <w:r>
        <w:rPr>
          <w:rFonts w:hint="eastAsia"/>
          <w:color w:val="auto"/>
        </w:rPr>
        <w:t>交易平台”）</w:t>
      </w:r>
      <w:r>
        <w:rPr>
          <w:color w:val="auto"/>
        </w:rPr>
        <w:t>将拒收。</w:t>
      </w:r>
    </w:p>
    <w:p>
      <w:pPr>
        <w:pStyle w:val="80"/>
        <w:spacing w:before="120" w:after="156" w:afterLines="50"/>
        <w:rPr>
          <w:rFonts w:hint="eastAsia"/>
          <w:color w:val="auto"/>
        </w:rPr>
      </w:pPr>
      <w:bookmarkStart w:id="183" w:name="_Toc29848"/>
      <w:r>
        <w:rPr>
          <w:rFonts w:hint="eastAsia"/>
          <w:color w:val="auto"/>
        </w:rPr>
        <w:t>6.投标相关事宜</w:t>
      </w:r>
      <w:bookmarkEnd w:id="183"/>
    </w:p>
    <w:p>
      <w:pPr>
        <w:spacing w:after="156" w:afterLines="50" w:line="460" w:lineRule="exact"/>
        <w:ind w:firstLine="437"/>
        <w:rPr>
          <w:rFonts w:hint="eastAsia"/>
          <w:color w:val="auto"/>
        </w:rPr>
      </w:pPr>
      <w:r>
        <w:rPr>
          <w:rFonts w:hint="eastAsia"/>
          <w:color w:val="auto"/>
          <w:u w:val="single"/>
        </w:rPr>
        <w:t xml:space="preserve">                                 </w:t>
      </w:r>
      <w:r>
        <w:rPr>
          <w:rFonts w:hint="eastAsia"/>
          <w:color w:val="auto"/>
        </w:rPr>
        <w:t>。</w:t>
      </w:r>
    </w:p>
    <w:p>
      <w:pPr>
        <w:pStyle w:val="80"/>
        <w:spacing w:before="120" w:after="156" w:afterLines="50"/>
        <w:rPr>
          <w:rFonts w:hint="eastAsia"/>
          <w:color w:val="auto"/>
        </w:rPr>
      </w:pPr>
      <w:bookmarkStart w:id="184" w:name="_Toc4391"/>
      <w:r>
        <w:rPr>
          <w:rFonts w:hint="eastAsia"/>
          <w:color w:val="auto"/>
        </w:rPr>
        <w:t>7.评标办法</w:t>
      </w:r>
      <w:bookmarkEnd w:id="184"/>
    </w:p>
    <w:p>
      <w:pPr>
        <w:spacing w:after="156" w:afterLines="50" w:line="460" w:lineRule="exact"/>
        <w:ind w:firstLine="437"/>
        <w:rPr>
          <w:rFonts w:hint="eastAsia"/>
          <w:color w:val="auto"/>
        </w:rPr>
      </w:pPr>
      <w:r>
        <w:rPr>
          <w:rFonts w:hint="eastAsia"/>
          <w:color w:val="auto"/>
        </w:rPr>
        <w:t>本次招标评标办法采用</w:t>
      </w:r>
      <w:r>
        <w:rPr>
          <w:rFonts w:hint="eastAsia"/>
          <w:color w:val="auto"/>
          <w:u w:val="single"/>
        </w:rPr>
        <w:t xml:space="preserve">             </w:t>
      </w:r>
      <w:r>
        <w:rPr>
          <w:rFonts w:hint="eastAsia"/>
          <w:color w:val="auto"/>
        </w:rPr>
        <w:t>。</w:t>
      </w:r>
    </w:p>
    <w:p>
      <w:pPr>
        <w:pStyle w:val="80"/>
        <w:spacing w:before="120" w:after="156" w:afterLines="50"/>
        <w:rPr>
          <w:color w:val="auto"/>
        </w:rPr>
      </w:pPr>
      <w:bookmarkStart w:id="185" w:name="_Toc3386"/>
      <w:r>
        <w:rPr>
          <w:rFonts w:hint="eastAsia"/>
          <w:color w:val="auto"/>
        </w:rPr>
        <w:t>8</w:t>
      </w:r>
      <w:r>
        <w:rPr>
          <w:color w:val="auto"/>
        </w:rPr>
        <w:t xml:space="preserve">. </w:t>
      </w:r>
      <w:r>
        <w:rPr>
          <w:rFonts w:hint="eastAsia"/>
          <w:color w:val="auto"/>
        </w:rPr>
        <w:t>联系方式</w:t>
      </w:r>
      <w:bookmarkEnd w:id="181"/>
      <w:bookmarkEnd w:id="182"/>
      <w:bookmarkEnd w:id="185"/>
    </w:p>
    <w:p>
      <w:pPr>
        <w:topLinePunct/>
        <w:spacing w:line="400" w:lineRule="exact"/>
        <w:ind w:firstLine="420" w:firstLineChars="200"/>
        <w:rPr>
          <w:color w:val="auto"/>
          <w:szCs w:val="21"/>
        </w:rPr>
      </w:pPr>
      <w:r>
        <w:rPr>
          <w:rFonts w:hint="eastAsia"/>
          <w:color w:val="auto"/>
          <w:szCs w:val="21"/>
        </w:rPr>
        <w:t>招</w:t>
      </w:r>
      <w:r>
        <w:rPr>
          <w:color w:val="auto"/>
          <w:szCs w:val="21"/>
        </w:rPr>
        <w:t xml:space="preserve"> </w:t>
      </w:r>
      <w:r>
        <w:rPr>
          <w:rFonts w:hint="eastAsia"/>
          <w:color w:val="auto"/>
          <w:szCs w:val="21"/>
        </w:rPr>
        <w:t>标</w:t>
      </w:r>
      <w:r>
        <w:rPr>
          <w:color w:val="auto"/>
          <w:szCs w:val="21"/>
        </w:rPr>
        <w:t xml:space="preserve"> </w:t>
      </w:r>
      <w:r>
        <w:rPr>
          <w:rFonts w:hint="eastAsia"/>
          <w:color w:val="auto"/>
          <w:szCs w:val="21"/>
        </w:rPr>
        <w:t>人：</w:t>
      </w:r>
      <w:r>
        <w:rPr>
          <w:color w:val="auto"/>
          <w:szCs w:val="21"/>
          <w:u w:val="single"/>
        </w:rPr>
        <w:t xml:space="preserve">                         </w:t>
      </w:r>
      <w:r>
        <w:rPr>
          <w:color w:val="auto"/>
          <w:szCs w:val="21"/>
        </w:rPr>
        <w:t xml:space="preserve">         </w:t>
      </w:r>
      <w:r>
        <w:rPr>
          <w:rFonts w:hint="eastAsia"/>
          <w:color w:val="auto"/>
          <w:szCs w:val="21"/>
        </w:rPr>
        <w:t>招标代理机构：</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地</w:t>
      </w:r>
      <w:r>
        <w:rPr>
          <w:color w:val="auto"/>
          <w:szCs w:val="21"/>
        </w:rPr>
        <w:t xml:space="preserve">    </w:t>
      </w:r>
      <w:r>
        <w:rPr>
          <w:rFonts w:hint="eastAsia"/>
          <w:color w:val="auto"/>
          <w:szCs w:val="21"/>
        </w:rPr>
        <w:t>址：</w:t>
      </w:r>
      <w:r>
        <w:rPr>
          <w:color w:val="auto"/>
          <w:szCs w:val="21"/>
          <w:u w:val="single"/>
        </w:rPr>
        <w:t xml:space="preserve">                         </w:t>
      </w:r>
      <w:r>
        <w:rPr>
          <w:color w:val="auto"/>
          <w:szCs w:val="21"/>
        </w:rPr>
        <w:t xml:space="preserve">  </w:t>
      </w:r>
      <w:r>
        <w:rPr>
          <w:color w:val="auto"/>
          <w:szCs w:val="21"/>
        </w:rPr>
        <w:tab/>
      </w:r>
      <w:r>
        <w:rPr>
          <w:color w:val="auto"/>
          <w:szCs w:val="21"/>
        </w:rPr>
        <w:t xml:space="preserve">    </w:t>
      </w:r>
      <w:r>
        <w:rPr>
          <w:rFonts w:hint="eastAsia"/>
          <w:color w:val="auto"/>
          <w:szCs w:val="21"/>
        </w:rPr>
        <w:t>地</w:t>
      </w:r>
      <w:r>
        <w:rPr>
          <w:color w:val="auto"/>
          <w:szCs w:val="21"/>
        </w:rPr>
        <w:t xml:space="preserve">    </w:t>
      </w:r>
      <w:r>
        <w:rPr>
          <w:rFonts w:hint="eastAsia"/>
          <w:color w:val="auto"/>
          <w:szCs w:val="21"/>
        </w:rPr>
        <w:t>址：</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邮</w:t>
      </w:r>
      <w:r>
        <w:rPr>
          <w:color w:val="auto"/>
          <w:szCs w:val="21"/>
        </w:rPr>
        <w:t xml:space="preserve">    </w:t>
      </w:r>
      <w:r>
        <w:rPr>
          <w:rFonts w:hint="eastAsia"/>
          <w:color w:val="auto"/>
          <w:szCs w:val="21"/>
        </w:rPr>
        <w:t>编：</w:t>
      </w:r>
      <w:r>
        <w:rPr>
          <w:color w:val="auto"/>
          <w:szCs w:val="21"/>
          <w:u w:val="single"/>
        </w:rPr>
        <w:t xml:space="preserve">                         </w:t>
      </w:r>
      <w:r>
        <w:rPr>
          <w:color w:val="auto"/>
          <w:szCs w:val="21"/>
        </w:rPr>
        <w:t xml:space="preserve">         </w:t>
      </w:r>
      <w:r>
        <w:rPr>
          <w:rFonts w:hint="eastAsia"/>
          <w:color w:val="auto"/>
          <w:szCs w:val="21"/>
        </w:rPr>
        <w:t>邮</w:t>
      </w:r>
      <w:r>
        <w:rPr>
          <w:color w:val="auto"/>
          <w:szCs w:val="21"/>
        </w:rPr>
        <w:t xml:space="preserve">    </w:t>
      </w:r>
      <w:r>
        <w:rPr>
          <w:rFonts w:hint="eastAsia"/>
          <w:color w:val="auto"/>
          <w:szCs w:val="21"/>
        </w:rPr>
        <w:t>编：</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联</w:t>
      </w:r>
      <w:r>
        <w:rPr>
          <w:color w:val="auto"/>
          <w:szCs w:val="21"/>
        </w:rPr>
        <w:t xml:space="preserve"> </w:t>
      </w:r>
      <w:r>
        <w:rPr>
          <w:rFonts w:hint="eastAsia"/>
          <w:color w:val="auto"/>
          <w:szCs w:val="21"/>
        </w:rPr>
        <w:t>系</w:t>
      </w:r>
      <w:r>
        <w:rPr>
          <w:color w:val="auto"/>
          <w:szCs w:val="21"/>
        </w:rPr>
        <w:t xml:space="preserve"> </w:t>
      </w:r>
      <w:r>
        <w:rPr>
          <w:rFonts w:hint="eastAsia"/>
          <w:color w:val="auto"/>
          <w:szCs w:val="21"/>
        </w:rPr>
        <w:t>人：</w:t>
      </w:r>
      <w:r>
        <w:rPr>
          <w:color w:val="auto"/>
          <w:szCs w:val="21"/>
          <w:u w:val="single"/>
        </w:rPr>
        <w:t xml:space="preserve">                         </w:t>
      </w:r>
      <w:r>
        <w:rPr>
          <w:color w:val="auto"/>
          <w:szCs w:val="21"/>
        </w:rPr>
        <w:t xml:space="preserve">         </w:t>
      </w:r>
      <w:r>
        <w:rPr>
          <w:rFonts w:hint="eastAsia"/>
          <w:color w:val="auto"/>
          <w:szCs w:val="21"/>
        </w:rPr>
        <w:t>联</w:t>
      </w:r>
      <w:r>
        <w:rPr>
          <w:color w:val="auto"/>
          <w:szCs w:val="21"/>
        </w:rPr>
        <w:t xml:space="preserve"> </w:t>
      </w:r>
      <w:r>
        <w:rPr>
          <w:rFonts w:hint="eastAsia"/>
          <w:color w:val="auto"/>
          <w:szCs w:val="21"/>
        </w:rPr>
        <w:t>系</w:t>
      </w:r>
      <w:r>
        <w:rPr>
          <w:color w:val="auto"/>
          <w:szCs w:val="21"/>
        </w:rPr>
        <w:t xml:space="preserve"> </w:t>
      </w:r>
      <w:r>
        <w:rPr>
          <w:rFonts w:hint="eastAsia"/>
          <w:color w:val="auto"/>
          <w:szCs w:val="21"/>
        </w:rPr>
        <w:t>人：</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电</w:t>
      </w:r>
      <w:r>
        <w:rPr>
          <w:color w:val="auto"/>
          <w:szCs w:val="21"/>
        </w:rPr>
        <w:t xml:space="preserve">    </w:t>
      </w:r>
      <w:r>
        <w:rPr>
          <w:rFonts w:hint="eastAsia"/>
          <w:color w:val="auto"/>
          <w:szCs w:val="21"/>
        </w:rPr>
        <w:t>话：</w:t>
      </w:r>
      <w:r>
        <w:rPr>
          <w:color w:val="auto"/>
          <w:szCs w:val="21"/>
          <w:u w:val="single"/>
        </w:rPr>
        <w:t xml:space="preserve">                         </w:t>
      </w:r>
      <w:r>
        <w:rPr>
          <w:color w:val="auto"/>
          <w:szCs w:val="21"/>
        </w:rPr>
        <w:t xml:space="preserve">         </w:t>
      </w:r>
      <w:r>
        <w:rPr>
          <w:rFonts w:hint="eastAsia"/>
          <w:color w:val="auto"/>
          <w:szCs w:val="21"/>
        </w:rPr>
        <w:t>电</w:t>
      </w:r>
      <w:r>
        <w:rPr>
          <w:color w:val="auto"/>
          <w:szCs w:val="21"/>
        </w:rPr>
        <w:t xml:space="preserve">    </w:t>
      </w:r>
      <w:r>
        <w:rPr>
          <w:rFonts w:hint="eastAsia"/>
          <w:color w:val="auto"/>
          <w:szCs w:val="21"/>
        </w:rPr>
        <w:t>话：</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传</w:t>
      </w:r>
      <w:r>
        <w:rPr>
          <w:color w:val="auto"/>
          <w:szCs w:val="21"/>
        </w:rPr>
        <w:t xml:space="preserve">    </w:t>
      </w:r>
      <w:r>
        <w:rPr>
          <w:rFonts w:hint="eastAsia"/>
          <w:color w:val="auto"/>
          <w:szCs w:val="21"/>
        </w:rPr>
        <w:t>真：</w:t>
      </w:r>
      <w:r>
        <w:rPr>
          <w:color w:val="auto"/>
          <w:szCs w:val="21"/>
          <w:u w:val="single"/>
        </w:rPr>
        <w:t xml:space="preserve">                         </w:t>
      </w:r>
      <w:r>
        <w:rPr>
          <w:color w:val="auto"/>
          <w:szCs w:val="21"/>
        </w:rPr>
        <w:t xml:space="preserve">         </w:t>
      </w:r>
      <w:r>
        <w:rPr>
          <w:rFonts w:hint="eastAsia"/>
          <w:color w:val="auto"/>
          <w:szCs w:val="21"/>
        </w:rPr>
        <w:t>传</w:t>
      </w:r>
      <w:r>
        <w:rPr>
          <w:color w:val="auto"/>
          <w:szCs w:val="21"/>
        </w:rPr>
        <w:t xml:space="preserve">    </w:t>
      </w:r>
      <w:r>
        <w:rPr>
          <w:rFonts w:hint="eastAsia"/>
          <w:color w:val="auto"/>
          <w:szCs w:val="21"/>
        </w:rPr>
        <w:t>真：</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电子邮件：</w:t>
      </w:r>
      <w:r>
        <w:rPr>
          <w:color w:val="auto"/>
          <w:szCs w:val="21"/>
          <w:u w:val="single"/>
        </w:rPr>
        <w:t xml:space="preserve">                         </w:t>
      </w:r>
      <w:r>
        <w:rPr>
          <w:color w:val="auto"/>
          <w:szCs w:val="21"/>
        </w:rPr>
        <w:t xml:space="preserve">         </w:t>
      </w:r>
      <w:r>
        <w:rPr>
          <w:rFonts w:hint="eastAsia"/>
          <w:color w:val="auto"/>
          <w:szCs w:val="21"/>
        </w:rPr>
        <w:t>电子邮件：</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网</w:t>
      </w:r>
      <w:r>
        <w:rPr>
          <w:color w:val="auto"/>
          <w:szCs w:val="21"/>
        </w:rPr>
        <w:t xml:space="preserve">    </w:t>
      </w:r>
      <w:r>
        <w:rPr>
          <w:rFonts w:hint="eastAsia"/>
          <w:color w:val="auto"/>
          <w:szCs w:val="21"/>
        </w:rPr>
        <w:t>址：</w:t>
      </w:r>
      <w:r>
        <w:rPr>
          <w:color w:val="auto"/>
          <w:szCs w:val="21"/>
          <w:u w:val="single"/>
        </w:rPr>
        <w:t xml:space="preserve">                         </w:t>
      </w:r>
      <w:r>
        <w:rPr>
          <w:color w:val="auto"/>
          <w:szCs w:val="21"/>
        </w:rPr>
        <w:t xml:space="preserve">         </w:t>
      </w:r>
      <w:r>
        <w:rPr>
          <w:rFonts w:hint="eastAsia"/>
          <w:color w:val="auto"/>
          <w:szCs w:val="21"/>
        </w:rPr>
        <w:t>网</w:t>
      </w:r>
      <w:r>
        <w:rPr>
          <w:color w:val="auto"/>
          <w:szCs w:val="21"/>
        </w:rPr>
        <w:t xml:space="preserve">    </w:t>
      </w:r>
      <w:r>
        <w:rPr>
          <w:rFonts w:hint="eastAsia"/>
          <w:color w:val="auto"/>
          <w:szCs w:val="21"/>
        </w:rPr>
        <w:t>址：</w:t>
      </w:r>
      <w:r>
        <w:rPr>
          <w:color w:val="auto"/>
          <w:szCs w:val="21"/>
          <w:u w:val="single"/>
        </w:rPr>
        <w:t xml:space="preserve">                        </w:t>
      </w:r>
    </w:p>
    <w:p>
      <w:pPr>
        <w:topLinePunct/>
        <w:spacing w:line="400" w:lineRule="exact"/>
        <w:ind w:firstLine="420" w:firstLineChars="200"/>
        <w:rPr>
          <w:color w:val="auto"/>
          <w:szCs w:val="21"/>
        </w:rPr>
      </w:pPr>
      <w:r>
        <w:rPr>
          <w:rFonts w:hint="eastAsia"/>
          <w:color w:val="auto"/>
          <w:szCs w:val="21"/>
        </w:rPr>
        <w:t>开户银行：</w:t>
      </w:r>
      <w:r>
        <w:rPr>
          <w:color w:val="auto"/>
          <w:szCs w:val="21"/>
          <w:u w:val="single"/>
        </w:rPr>
        <w:t xml:space="preserve">                         </w:t>
      </w:r>
      <w:r>
        <w:rPr>
          <w:color w:val="auto"/>
          <w:szCs w:val="21"/>
        </w:rPr>
        <w:t xml:space="preserve">         </w:t>
      </w:r>
      <w:r>
        <w:rPr>
          <w:rFonts w:hint="eastAsia"/>
          <w:color w:val="auto"/>
          <w:szCs w:val="21"/>
        </w:rPr>
        <w:t>开户银行：</w:t>
      </w:r>
      <w:r>
        <w:rPr>
          <w:color w:val="auto"/>
          <w:szCs w:val="21"/>
          <w:u w:val="single"/>
        </w:rPr>
        <w:t xml:space="preserve">                        </w:t>
      </w:r>
    </w:p>
    <w:p>
      <w:pPr>
        <w:spacing w:line="400" w:lineRule="exact"/>
        <w:ind w:firstLine="420" w:firstLineChars="200"/>
        <w:rPr>
          <w:color w:val="auto"/>
          <w:szCs w:val="21"/>
        </w:rPr>
      </w:pPr>
      <w:r>
        <w:rPr>
          <w:rFonts w:hint="eastAsia"/>
          <w:color w:val="auto"/>
          <w:szCs w:val="21"/>
        </w:rPr>
        <w:t>账</w:t>
      </w:r>
      <w:r>
        <w:rPr>
          <w:color w:val="auto"/>
          <w:szCs w:val="21"/>
        </w:rPr>
        <w:t xml:space="preserve">    </w:t>
      </w:r>
      <w:r>
        <w:rPr>
          <w:rFonts w:hint="eastAsia"/>
          <w:color w:val="auto"/>
          <w:szCs w:val="21"/>
        </w:rPr>
        <w:t>号：</w:t>
      </w:r>
      <w:r>
        <w:rPr>
          <w:color w:val="auto"/>
          <w:szCs w:val="21"/>
          <w:u w:val="single"/>
        </w:rPr>
        <w:t xml:space="preserve">                         </w:t>
      </w:r>
      <w:r>
        <w:rPr>
          <w:color w:val="auto"/>
          <w:szCs w:val="21"/>
        </w:rPr>
        <w:t xml:space="preserve">         </w:t>
      </w:r>
      <w:r>
        <w:rPr>
          <w:rFonts w:hint="eastAsia"/>
          <w:color w:val="auto"/>
          <w:szCs w:val="21"/>
        </w:rPr>
        <w:t>账</w:t>
      </w:r>
      <w:r>
        <w:rPr>
          <w:color w:val="auto"/>
          <w:szCs w:val="21"/>
        </w:rPr>
        <w:t xml:space="preserve">    </w:t>
      </w:r>
      <w:r>
        <w:rPr>
          <w:rFonts w:hint="eastAsia"/>
          <w:color w:val="auto"/>
          <w:szCs w:val="21"/>
        </w:rPr>
        <w:t>号：</w:t>
      </w:r>
      <w:r>
        <w:rPr>
          <w:color w:val="auto"/>
          <w:szCs w:val="21"/>
          <w:u w:val="single"/>
        </w:rPr>
        <w:t xml:space="preserve">                        </w:t>
      </w:r>
    </w:p>
    <w:p>
      <w:pPr>
        <w:spacing w:line="400" w:lineRule="exact"/>
        <w:rPr>
          <w:color w:val="auto"/>
          <w:szCs w:val="21"/>
        </w:rPr>
      </w:pPr>
      <w:r>
        <w:rPr>
          <w:color w:val="auto"/>
          <w:szCs w:val="21"/>
        </w:rPr>
        <w:t xml:space="preserve">                                             </w:t>
      </w:r>
    </w:p>
    <w:p>
      <w:pPr>
        <w:spacing w:line="400" w:lineRule="exact"/>
        <w:rPr>
          <w:color w:val="auto"/>
          <w:szCs w:val="21"/>
        </w:rPr>
      </w:pPr>
      <w:r>
        <w:rPr>
          <w:color w:val="auto"/>
          <w:szCs w:val="21"/>
        </w:rPr>
        <w:t xml:space="preserve">                                             </w:t>
      </w:r>
    </w:p>
    <w:p>
      <w:pPr>
        <w:spacing w:line="400" w:lineRule="exact"/>
        <w:rPr>
          <w:rFonts w:hint="eastAsia"/>
          <w:color w:val="auto"/>
          <w:szCs w:val="21"/>
        </w:rPr>
      </w:pPr>
      <w:r>
        <w:rPr>
          <w:rFonts w:hint="eastAsia"/>
          <w:color w:val="auto"/>
          <w:szCs w:val="21"/>
        </w:rPr>
        <w:t>　　　　　　　　　　　　　　　　　　　　　　　　　</w:t>
      </w:r>
      <w:r>
        <w:rPr>
          <w:color w:val="auto"/>
          <w:szCs w:val="21"/>
          <w:u w:val="single"/>
        </w:rPr>
        <w:t xml:space="preserve">      </w:t>
      </w:r>
      <w:r>
        <w:rPr>
          <w:rFonts w:hint="eastAsia"/>
          <w:color w:val="auto"/>
          <w:szCs w:val="21"/>
        </w:rPr>
        <w:t>年</w:t>
      </w:r>
      <w:r>
        <w:rPr>
          <w:color w:val="auto"/>
          <w:szCs w:val="21"/>
        </w:rPr>
        <w:t xml:space="preserve"> </w:t>
      </w:r>
      <w:r>
        <w:rPr>
          <w:color w:val="auto"/>
          <w:szCs w:val="21"/>
          <w:u w:val="single"/>
        </w:rPr>
        <w:t xml:space="preserve">     </w:t>
      </w:r>
      <w:r>
        <w:rPr>
          <w:rFonts w:hint="eastAsia"/>
          <w:color w:val="auto"/>
          <w:szCs w:val="21"/>
        </w:rPr>
        <w:t>月</w:t>
      </w:r>
      <w:r>
        <w:rPr>
          <w:color w:val="auto"/>
          <w:szCs w:val="21"/>
          <w:u w:val="single"/>
        </w:rPr>
        <w:t xml:space="preserve">     </w:t>
      </w:r>
      <w:r>
        <w:rPr>
          <w:rFonts w:hint="eastAsia"/>
          <w:color w:val="auto"/>
          <w:szCs w:val="21"/>
        </w:rPr>
        <w:t>日</w:t>
      </w:r>
    </w:p>
    <w:p>
      <w:pPr>
        <w:spacing w:line="400" w:lineRule="exact"/>
        <w:rPr>
          <w:rFonts w:hint="eastAsia"/>
          <w:color w:val="auto"/>
          <w:szCs w:val="21"/>
        </w:rPr>
      </w:pPr>
    </w:p>
    <w:p>
      <w:pPr>
        <w:ind w:left="525" w:hanging="525" w:hangingChars="250"/>
        <w:rPr>
          <w:rFonts w:hint="eastAsia"/>
          <w:color w:val="auto"/>
          <w:szCs w:val="21"/>
        </w:rPr>
      </w:pPr>
    </w:p>
    <w:p>
      <w:pPr>
        <w:rPr>
          <w:rFonts w:hint="eastAsia"/>
          <w:color w:val="auto"/>
          <w:szCs w:val="21"/>
        </w:rPr>
      </w:pPr>
    </w:p>
    <w:p>
      <w:pPr>
        <w:spacing w:line="440" w:lineRule="exact"/>
        <w:ind w:left="1260" w:leftChars="300" w:hanging="630" w:hangingChars="300"/>
        <w:rPr>
          <w:rFonts w:hint="eastAsia" w:ascii="宋体" w:hAnsi="宋体"/>
          <w:color w:val="auto"/>
          <w:szCs w:val="21"/>
        </w:rPr>
      </w:pPr>
      <w:r>
        <w:rPr>
          <w:rFonts w:hint="eastAsia" w:ascii="宋体" w:hAnsi="宋体"/>
          <w:color w:val="auto"/>
          <w:szCs w:val="21"/>
        </w:rPr>
        <w:t>备注：1.投标人拟任的项目经理（</w:t>
      </w:r>
      <w:r>
        <w:rPr>
          <w:rFonts w:ascii="宋体" w:hAnsi="宋体"/>
          <w:color w:val="auto"/>
          <w:szCs w:val="21"/>
        </w:rPr>
        <w:t>建造师</w:t>
      </w:r>
      <w:r>
        <w:rPr>
          <w:rFonts w:hint="eastAsia" w:ascii="宋体" w:hAnsi="宋体"/>
          <w:color w:val="auto"/>
          <w:szCs w:val="21"/>
        </w:rPr>
        <w:t>）（下同）</w:t>
      </w:r>
      <w:r>
        <w:rPr>
          <w:rFonts w:ascii="宋体" w:hAnsi="宋体"/>
          <w:color w:val="auto"/>
          <w:szCs w:val="21"/>
        </w:rPr>
        <w:t>不得同时担任两个及以上建设工程</w:t>
      </w:r>
      <w:r>
        <w:rPr>
          <w:rFonts w:hint="eastAsia" w:ascii="宋体" w:hAnsi="宋体"/>
          <w:color w:val="auto"/>
          <w:szCs w:val="21"/>
        </w:rPr>
        <w:t>项目的项目经理（项目负责人）</w:t>
      </w:r>
      <w:r>
        <w:rPr>
          <w:rFonts w:ascii="宋体" w:hAnsi="宋体"/>
          <w:color w:val="auto"/>
          <w:szCs w:val="21"/>
        </w:rPr>
        <w:t>。</w:t>
      </w:r>
      <w:r>
        <w:rPr>
          <w:rFonts w:hint="eastAsia" w:ascii="宋体" w:hAnsi="宋体"/>
          <w:color w:val="auto"/>
          <w:szCs w:val="21"/>
        </w:rPr>
        <w:t>存在</w:t>
      </w:r>
      <w:r>
        <w:rPr>
          <w:rFonts w:ascii="宋体" w:hAnsi="宋体"/>
          <w:color w:val="auto"/>
          <w:szCs w:val="21"/>
        </w:rPr>
        <w:t>下列情形之一的</w:t>
      </w:r>
      <w:r>
        <w:rPr>
          <w:rFonts w:hint="eastAsia" w:ascii="宋体" w:hAnsi="宋体"/>
          <w:color w:val="auto"/>
          <w:szCs w:val="21"/>
        </w:rPr>
        <w:t>，视为未担任其他在施建设工程项目的项目经理</w:t>
      </w:r>
      <w:r>
        <w:rPr>
          <w:rFonts w:ascii="宋体" w:hAnsi="宋体"/>
          <w:color w:val="auto"/>
          <w:szCs w:val="21"/>
        </w:rPr>
        <w:t>：（</w:t>
      </w:r>
      <w:r>
        <w:rPr>
          <w:rFonts w:hint="eastAsia" w:ascii="宋体" w:hAnsi="宋体"/>
          <w:color w:val="auto"/>
          <w:szCs w:val="21"/>
        </w:rPr>
        <w:t>1</w:t>
      </w:r>
      <w:r>
        <w:rPr>
          <w:rFonts w:ascii="宋体" w:hAnsi="宋体"/>
          <w:color w:val="auto"/>
          <w:szCs w:val="21"/>
        </w:rPr>
        <w:t>）同一工程相邻分段发包或分期施工的</w:t>
      </w:r>
      <w:r>
        <w:rPr>
          <w:rFonts w:hint="eastAsia" w:ascii="宋体" w:hAnsi="宋体"/>
          <w:color w:val="auto"/>
          <w:szCs w:val="21"/>
        </w:rPr>
        <w:t>；</w:t>
      </w:r>
      <w:r>
        <w:rPr>
          <w:rFonts w:ascii="宋体" w:hAnsi="宋体"/>
          <w:color w:val="auto"/>
          <w:szCs w:val="21"/>
        </w:rPr>
        <w:t>（</w:t>
      </w:r>
      <w:r>
        <w:rPr>
          <w:rFonts w:hint="eastAsia" w:ascii="宋体" w:hAnsi="宋体"/>
          <w:color w:val="auto"/>
          <w:szCs w:val="21"/>
        </w:rPr>
        <w:t>2</w:t>
      </w:r>
      <w:r>
        <w:rPr>
          <w:rFonts w:ascii="宋体" w:hAnsi="宋体"/>
          <w:color w:val="auto"/>
          <w:szCs w:val="21"/>
        </w:rPr>
        <w:t>）合同约定的工程验收合格的；（</w:t>
      </w:r>
      <w:r>
        <w:rPr>
          <w:rFonts w:hint="eastAsia" w:ascii="宋体" w:hAnsi="宋体"/>
          <w:color w:val="auto"/>
          <w:szCs w:val="21"/>
        </w:rPr>
        <w:t>3</w:t>
      </w:r>
      <w:r>
        <w:rPr>
          <w:rFonts w:ascii="宋体" w:hAnsi="宋体"/>
          <w:color w:val="auto"/>
          <w:szCs w:val="21"/>
        </w:rPr>
        <w:t>）因非承包方原因致使工程项目停工超过120天（含），经建设单位同意的</w:t>
      </w:r>
      <w:r>
        <w:rPr>
          <w:rFonts w:hint="eastAsia" w:ascii="宋体" w:hAnsi="宋体"/>
          <w:color w:val="auto"/>
          <w:szCs w:val="21"/>
        </w:rPr>
        <w:t>；（4）</w:t>
      </w:r>
      <w:r>
        <w:rPr>
          <w:rFonts w:ascii="宋体" w:hAnsi="宋体"/>
          <w:color w:val="auto"/>
          <w:szCs w:val="21"/>
        </w:rPr>
        <w:t>因非承包方原因合同工期内工程未完工且工程已完成80%以上的工作量的，经建设单位同意的。</w:t>
      </w:r>
      <w:bookmarkEnd w:id="177"/>
    </w:p>
    <w:p>
      <w:pPr>
        <w:spacing w:line="440" w:lineRule="exact"/>
        <w:ind w:left="1260" w:leftChars="300" w:hanging="630" w:hangingChars="300"/>
        <w:rPr>
          <w:rFonts w:hint="eastAsia"/>
          <w:color w:val="auto"/>
          <w:szCs w:val="21"/>
        </w:rPr>
      </w:pPr>
      <w:r>
        <w:rPr>
          <w:rFonts w:hint="eastAsia" w:ascii="宋体" w:hAnsi="宋体"/>
          <w:color w:val="auto"/>
          <w:szCs w:val="21"/>
        </w:rPr>
        <w:t xml:space="preserve">   </w:t>
      </w:r>
      <w:r>
        <w:rPr>
          <w:rFonts w:hint="eastAsia"/>
          <w:color w:val="auto"/>
          <w:szCs w:val="21"/>
        </w:rPr>
        <w:t xml:space="preserve">   2.“在所投标段免费下载招标文件”是指投标人拟参加某标段投标的，应按规定下载该标段的招标文件。投标人的下载活动“</w:t>
      </w:r>
      <w:r>
        <w:rPr>
          <w:color w:val="auto"/>
          <w:szCs w:val="21"/>
        </w:rPr>
        <w:t>电子</w:t>
      </w:r>
      <w:r>
        <w:rPr>
          <w:rFonts w:hint="eastAsia"/>
          <w:color w:val="auto"/>
          <w:szCs w:val="21"/>
        </w:rPr>
        <w:t>交易</w:t>
      </w:r>
      <w:r>
        <w:rPr>
          <w:color w:val="auto"/>
          <w:szCs w:val="21"/>
        </w:rPr>
        <w:t>平台</w:t>
      </w:r>
      <w:r>
        <w:rPr>
          <w:rFonts w:hint="eastAsia"/>
          <w:color w:val="auto"/>
          <w:szCs w:val="21"/>
        </w:rPr>
        <w:t>”将予以记录，并可在“下载情况查询”中查看，该记录作为投标人是否下载该标段招标文件的依据。</w:t>
      </w:r>
    </w:p>
    <w:p>
      <w:pPr>
        <w:spacing w:line="440" w:lineRule="exact"/>
        <w:ind w:left="1260" w:leftChars="600"/>
        <w:rPr>
          <w:rFonts w:hint="eastAsia"/>
          <w:color w:val="auto"/>
          <w:szCs w:val="21"/>
        </w:rPr>
      </w:pPr>
      <w:r>
        <w:rPr>
          <w:rFonts w:hint="eastAsia"/>
          <w:color w:val="auto"/>
          <w:szCs w:val="21"/>
        </w:rPr>
        <w:t>3．招标人在投标</w:t>
      </w:r>
      <w:r>
        <w:rPr>
          <w:color w:val="auto"/>
          <w:szCs w:val="21"/>
        </w:rPr>
        <w:t>邀请书</w:t>
      </w:r>
      <w:r>
        <w:rPr>
          <w:rFonts w:hint="eastAsia"/>
          <w:color w:val="auto"/>
          <w:szCs w:val="21"/>
        </w:rPr>
        <w:t>中载明的给予投标人确认参加投标的时间不应少于5日，且确认参加投标的截止时间应当在下载招标文件截止时间前。</w:t>
      </w:r>
    </w:p>
    <w:p>
      <w:pPr>
        <w:spacing w:line="440" w:lineRule="exact"/>
        <w:ind w:left="1260" w:leftChars="300" w:hanging="630" w:hangingChars="300"/>
        <w:rPr>
          <w:rFonts w:hint="eastAsia" w:ascii="宋体" w:hAnsi="宋体"/>
          <w:color w:val="auto"/>
          <w:szCs w:val="21"/>
        </w:rPr>
      </w:pPr>
    </w:p>
    <w:p>
      <w:pPr>
        <w:ind w:left="800" w:hanging="800" w:hangingChars="250"/>
        <w:rPr>
          <w:rFonts w:hint="eastAsia" w:ascii="黑体" w:hAnsi="黑体" w:eastAsia="黑体"/>
          <w:color w:val="auto"/>
          <w:sz w:val="32"/>
          <w:szCs w:val="32"/>
        </w:rPr>
      </w:pPr>
    </w:p>
    <w:p>
      <w:pPr>
        <w:adjustRightInd w:val="0"/>
        <w:snapToGrid w:val="0"/>
        <w:spacing w:line="320" w:lineRule="exact"/>
        <w:rPr>
          <w:rFonts w:hint="eastAsia" w:ascii="宋体" w:hAnsi="宋体"/>
          <w:color w:val="auto"/>
          <w:szCs w:val="21"/>
        </w:rPr>
      </w:pPr>
      <w:bookmarkStart w:id="186" w:name="_Toc144974497"/>
      <w:bookmarkStart w:id="187" w:name="_Toc221950083"/>
      <w:bookmarkStart w:id="188" w:name="_Toc168475644"/>
      <w:bookmarkStart w:id="189" w:name="_Toc168476047"/>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adjustRightInd w:val="0"/>
        <w:snapToGrid w:val="0"/>
        <w:spacing w:line="320" w:lineRule="exact"/>
        <w:rPr>
          <w:rFonts w:hint="eastAsia" w:ascii="宋体" w:hAnsi="宋体"/>
          <w:color w:val="auto"/>
          <w:szCs w:val="21"/>
        </w:rPr>
      </w:pPr>
    </w:p>
    <w:p>
      <w:pPr>
        <w:pStyle w:val="2"/>
        <w:spacing w:before="120" w:after="120" w:line="400" w:lineRule="exact"/>
        <w:rPr>
          <w:rFonts w:hint="eastAsia" w:ascii="黑体" w:hAnsi="黑体" w:eastAsia="黑体"/>
          <w:color w:val="auto"/>
          <w:sz w:val="32"/>
          <w:szCs w:val="32"/>
        </w:rPr>
      </w:pPr>
      <w:bookmarkStart w:id="190" w:name="_Toc5165"/>
      <w:bookmarkStart w:id="191" w:name="_Toc491089640"/>
      <w:r>
        <w:rPr>
          <w:rFonts w:hint="eastAsia" w:ascii="黑体" w:hAnsi="黑体" w:eastAsia="黑体"/>
          <w:b w:val="0"/>
          <w:bCs w:val="0"/>
          <w:color w:val="auto"/>
          <w:sz w:val="32"/>
        </w:rPr>
        <w:t>第二章  投标人须知</w:t>
      </w:r>
      <w:bookmarkEnd w:id="190"/>
      <w:bookmarkEnd w:id="191"/>
    </w:p>
    <w:p>
      <w:pPr>
        <w:adjustRightInd w:val="0"/>
        <w:snapToGrid w:val="0"/>
        <w:spacing w:before="156" w:beforeLines="50" w:after="156" w:afterLines="50" w:line="320" w:lineRule="exact"/>
        <w:jc w:val="left"/>
        <w:outlineLvl w:val="1"/>
        <w:rPr>
          <w:rFonts w:hint="eastAsia" w:ascii="黑体" w:hAnsi="黑体" w:eastAsia="黑体"/>
          <w:color w:val="auto"/>
          <w:sz w:val="24"/>
        </w:rPr>
      </w:pPr>
      <w:bookmarkStart w:id="192" w:name="_Toc491089641"/>
      <w:bookmarkStart w:id="193" w:name="_Toc31873"/>
      <w:r>
        <w:rPr>
          <w:rFonts w:hint="eastAsia" w:ascii="黑体" w:hAnsi="黑体" w:eastAsia="黑体"/>
          <w:color w:val="auto"/>
          <w:sz w:val="24"/>
        </w:rPr>
        <w:t>投标人须知前附表</w:t>
      </w:r>
      <w:bookmarkEnd w:id="192"/>
      <w:bookmarkEnd w:id="193"/>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6"/>
        <w:gridCol w:w="2360"/>
        <w:gridCol w:w="5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72" w:type="pct"/>
            <w:noWrap w:val="0"/>
            <w:tcMar>
              <w:top w:w="28" w:type="dxa"/>
              <w:bottom w:w="28" w:type="dxa"/>
            </w:tcMar>
            <w:vAlign w:val="center"/>
          </w:tcPr>
          <w:p>
            <w:pPr>
              <w:jc w:val="center"/>
              <w:rPr>
                <w:rFonts w:ascii="宋体" w:hAnsi="宋体"/>
                <w:b/>
                <w:color w:val="auto"/>
                <w:szCs w:val="21"/>
              </w:rPr>
            </w:pPr>
            <w:r>
              <w:rPr>
                <w:rFonts w:ascii="宋体" w:hAnsi="宋体"/>
                <w:b/>
                <w:color w:val="auto"/>
                <w:szCs w:val="21"/>
              </w:rPr>
              <w:t>条款号</w:t>
            </w:r>
          </w:p>
        </w:tc>
        <w:tc>
          <w:tcPr>
            <w:tcW w:w="1277" w:type="pct"/>
            <w:noWrap w:val="0"/>
            <w:tcMar>
              <w:top w:w="28" w:type="dxa"/>
              <w:bottom w:w="28" w:type="dxa"/>
            </w:tcMar>
            <w:vAlign w:val="center"/>
          </w:tcPr>
          <w:p>
            <w:pPr>
              <w:jc w:val="center"/>
              <w:rPr>
                <w:rFonts w:ascii="宋体" w:hAnsi="宋体"/>
                <w:b/>
                <w:color w:val="auto"/>
                <w:szCs w:val="21"/>
              </w:rPr>
            </w:pPr>
            <w:r>
              <w:rPr>
                <w:rFonts w:ascii="宋体" w:hAnsi="宋体"/>
                <w:b/>
                <w:color w:val="auto"/>
                <w:szCs w:val="21"/>
              </w:rPr>
              <w:t>条  款  名  称</w:t>
            </w:r>
          </w:p>
        </w:tc>
        <w:tc>
          <w:tcPr>
            <w:tcW w:w="3149" w:type="pct"/>
            <w:noWrap w:val="0"/>
            <w:tcMar>
              <w:top w:w="28" w:type="dxa"/>
              <w:bottom w:w="28" w:type="dxa"/>
            </w:tcMar>
            <w:vAlign w:val="center"/>
          </w:tcPr>
          <w:p>
            <w:pPr>
              <w:jc w:val="center"/>
              <w:rPr>
                <w:rFonts w:ascii="宋体" w:hAnsi="宋体"/>
                <w:b/>
                <w:color w:val="auto"/>
                <w:szCs w:val="21"/>
              </w:rPr>
            </w:pPr>
            <w:r>
              <w:rPr>
                <w:rFonts w:ascii="宋体" w:hAnsi="宋体"/>
                <w:b/>
                <w:color w:val="auto"/>
                <w:szCs w:val="21"/>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1.1.2</w:t>
            </w:r>
          </w:p>
        </w:tc>
        <w:tc>
          <w:tcPr>
            <w:tcW w:w="1277"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招标人</w:t>
            </w:r>
            <w:r>
              <w:rPr>
                <w:rFonts w:hint="eastAsia" w:ascii="宋体" w:hAnsi="宋体"/>
                <w:color w:val="auto"/>
                <w:szCs w:val="21"/>
              </w:rPr>
              <w:t xml:space="preserve"> </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名  称：</w:t>
            </w:r>
            <w:r>
              <w:rPr>
                <w:rFonts w:hint="eastAsia"/>
                <w:color w:val="auto"/>
              </w:rPr>
              <w:t>同招标公告或投标邀请书，下同</w:t>
            </w:r>
          </w:p>
          <w:p>
            <w:pPr>
              <w:rPr>
                <w:rFonts w:hint="eastAsia" w:ascii="宋体" w:hAnsi="宋体"/>
                <w:color w:val="auto"/>
                <w:szCs w:val="21"/>
              </w:rPr>
            </w:pPr>
            <w:r>
              <w:rPr>
                <w:rFonts w:hint="eastAsia" w:ascii="宋体" w:hAnsi="宋体"/>
                <w:color w:val="auto"/>
                <w:szCs w:val="21"/>
              </w:rPr>
              <w:t>地  址：</w:t>
            </w:r>
            <w:r>
              <w:rPr>
                <w:rFonts w:hint="eastAsia" w:ascii="宋体" w:hAnsi="宋体"/>
                <w:color w:val="auto"/>
                <w:szCs w:val="21"/>
                <w:u w:val="single"/>
              </w:rPr>
              <w:t xml:space="preserve">                             </w:t>
            </w:r>
          </w:p>
          <w:p>
            <w:pPr>
              <w:rPr>
                <w:rFonts w:hint="eastAsia" w:ascii="宋体" w:hAnsi="宋体"/>
                <w:color w:val="auto"/>
                <w:szCs w:val="21"/>
              </w:rPr>
            </w:pPr>
            <w:r>
              <w:rPr>
                <w:rFonts w:hint="eastAsia" w:ascii="宋体" w:hAnsi="宋体"/>
                <w:color w:val="auto"/>
                <w:szCs w:val="21"/>
              </w:rPr>
              <w:t>联系人：</w:t>
            </w:r>
            <w:r>
              <w:rPr>
                <w:rFonts w:hint="eastAsia" w:ascii="宋体" w:hAnsi="宋体"/>
                <w:color w:val="auto"/>
                <w:szCs w:val="21"/>
                <w:u w:val="single"/>
              </w:rPr>
              <w:t xml:space="preserve">                             </w:t>
            </w:r>
          </w:p>
          <w:p>
            <w:pPr>
              <w:rPr>
                <w:rFonts w:hint="eastAsia" w:ascii="宋体" w:hAnsi="宋体"/>
                <w:color w:val="auto"/>
                <w:szCs w:val="21"/>
              </w:rPr>
            </w:pPr>
            <w:r>
              <w:rPr>
                <w:rFonts w:hint="eastAsia" w:ascii="宋体" w:hAnsi="宋体"/>
                <w:color w:val="auto"/>
                <w:szCs w:val="21"/>
              </w:rPr>
              <w:t>电  话：</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1.1.3</w:t>
            </w:r>
          </w:p>
        </w:tc>
        <w:tc>
          <w:tcPr>
            <w:tcW w:w="1277"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招标代理机构</w:t>
            </w:r>
            <w:r>
              <w:rPr>
                <w:rFonts w:hint="eastAsia" w:ascii="宋体" w:hAnsi="宋体"/>
                <w:color w:val="auto"/>
                <w:szCs w:val="21"/>
              </w:rPr>
              <w:t xml:space="preserve"> </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名  称：</w:t>
            </w:r>
            <w:r>
              <w:rPr>
                <w:rFonts w:hint="eastAsia"/>
                <w:color w:val="auto"/>
              </w:rPr>
              <w:t>同招标公告或投标邀请书，下同</w:t>
            </w:r>
          </w:p>
          <w:p>
            <w:pPr>
              <w:rPr>
                <w:rFonts w:hint="eastAsia" w:ascii="宋体" w:hAnsi="宋体"/>
                <w:color w:val="auto"/>
                <w:szCs w:val="21"/>
              </w:rPr>
            </w:pPr>
            <w:r>
              <w:rPr>
                <w:rFonts w:hint="eastAsia" w:ascii="宋体" w:hAnsi="宋体"/>
                <w:color w:val="auto"/>
                <w:szCs w:val="21"/>
              </w:rPr>
              <w:t>地  址：</w:t>
            </w:r>
            <w:r>
              <w:rPr>
                <w:rFonts w:hint="eastAsia" w:ascii="宋体" w:hAnsi="宋体"/>
                <w:color w:val="auto"/>
                <w:szCs w:val="21"/>
                <w:u w:val="single"/>
              </w:rPr>
              <w:t xml:space="preserve">                             </w:t>
            </w:r>
          </w:p>
          <w:p>
            <w:pPr>
              <w:rPr>
                <w:rFonts w:hint="eastAsia" w:ascii="宋体" w:hAnsi="宋体"/>
                <w:color w:val="auto"/>
                <w:szCs w:val="21"/>
              </w:rPr>
            </w:pPr>
            <w:r>
              <w:rPr>
                <w:rFonts w:hint="eastAsia" w:ascii="宋体" w:hAnsi="宋体"/>
                <w:color w:val="auto"/>
                <w:szCs w:val="21"/>
              </w:rPr>
              <w:t>联系人：</w:t>
            </w:r>
            <w:r>
              <w:rPr>
                <w:rFonts w:hint="eastAsia" w:ascii="宋体" w:hAnsi="宋体"/>
                <w:color w:val="auto"/>
                <w:szCs w:val="21"/>
                <w:u w:val="single"/>
              </w:rPr>
              <w:t xml:space="preserve">                             </w:t>
            </w:r>
          </w:p>
          <w:p>
            <w:pPr>
              <w:rPr>
                <w:rFonts w:hint="eastAsia" w:ascii="宋体" w:hAnsi="宋体"/>
                <w:color w:val="auto"/>
                <w:szCs w:val="21"/>
              </w:rPr>
            </w:pPr>
            <w:r>
              <w:rPr>
                <w:rFonts w:hint="eastAsia" w:ascii="宋体" w:hAnsi="宋体"/>
                <w:color w:val="auto"/>
                <w:szCs w:val="21"/>
              </w:rPr>
              <w:t>电  话：</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1.1.4</w:t>
            </w:r>
          </w:p>
        </w:tc>
        <w:tc>
          <w:tcPr>
            <w:tcW w:w="1277"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项目</w:t>
            </w:r>
            <w:r>
              <w:rPr>
                <w:rFonts w:hint="eastAsia" w:ascii="宋体" w:hAnsi="宋体"/>
                <w:color w:val="auto"/>
                <w:szCs w:val="21"/>
              </w:rPr>
              <w:t>名称</w:t>
            </w:r>
          </w:p>
          <w:p>
            <w:pPr>
              <w:jc w:val="center"/>
              <w:rPr>
                <w:rFonts w:hint="eastAsia" w:ascii="宋体" w:hAnsi="宋体"/>
                <w:color w:val="auto"/>
                <w:szCs w:val="21"/>
              </w:rPr>
            </w:pPr>
            <w:r>
              <w:rPr>
                <w:rFonts w:hint="eastAsia" w:ascii="宋体" w:hAnsi="宋体"/>
                <w:color w:val="auto"/>
                <w:szCs w:val="21"/>
              </w:rPr>
              <w:t>合同</w:t>
            </w:r>
            <w:r>
              <w:rPr>
                <w:rFonts w:ascii="宋体" w:hAnsi="宋体"/>
                <w:color w:val="auto"/>
                <w:szCs w:val="21"/>
              </w:rPr>
              <w:t>名称</w:t>
            </w:r>
          </w:p>
          <w:p>
            <w:pPr>
              <w:jc w:val="center"/>
              <w:rPr>
                <w:rFonts w:ascii="宋体" w:hAnsi="宋体"/>
                <w:color w:val="auto"/>
                <w:szCs w:val="21"/>
              </w:rPr>
            </w:pPr>
            <w:r>
              <w:rPr>
                <w:rFonts w:hint="eastAsia" w:ascii="宋体" w:hAnsi="宋体"/>
                <w:color w:val="auto"/>
                <w:szCs w:val="21"/>
              </w:rPr>
              <w:t>（合同编号）</w:t>
            </w:r>
          </w:p>
        </w:tc>
        <w:tc>
          <w:tcPr>
            <w:tcW w:w="3149" w:type="pct"/>
            <w:noWrap w:val="0"/>
            <w:tcMar>
              <w:top w:w="28" w:type="dxa"/>
              <w:bottom w:w="28" w:type="dxa"/>
            </w:tcMar>
            <w:vAlign w:val="center"/>
          </w:tcPr>
          <w:p>
            <w:pPr>
              <w:rPr>
                <w:rFonts w:hint="eastAsia" w:ascii="宋体" w:hAnsi="宋体"/>
                <w:color w:val="auto"/>
                <w:szCs w:val="21"/>
                <w:u w:val="single"/>
              </w:rPr>
            </w:pPr>
            <w:r>
              <w:rPr>
                <w:rFonts w:hint="eastAsia" w:ascii="宋体" w:hAnsi="宋体"/>
                <w:color w:val="auto"/>
                <w:szCs w:val="21"/>
              </w:rPr>
              <w:t>项目名称：</w:t>
            </w:r>
            <w:r>
              <w:rPr>
                <w:rFonts w:hint="eastAsia" w:ascii="宋体" w:hAnsi="宋体"/>
                <w:color w:val="auto"/>
                <w:szCs w:val="21"/>
                <w:u w:val="single"/>
              </w:rPr>
              <w:t xml:space="preserve">                              </w:t>
            </w:r>
          </w:p>
          <w:p>
            <w:pPr>
              <w:rPr>
                <w:rFonts w:hint="eastAsia" w:ascii="宋体" w:hAnsi="宋体"/>
                <w:color w:val="auto"/>
                <w:szCs w:val="21"/>
                <w:u w:val="single"/>
              </w:rPr>
            </w:pPr>
            <w:r>
              <w:rPr>
                <w:rFonts w:hint="eastAsia" w:ascii="宋体" w:hAnsi="宋体"/>
                <w:color w:val="auto"/>
                <w:szCs w:val="21"/>
              </w:rPr>
              <w:t>合同名称：</w:t>
            </w:r>
            <w:r>
              <w:rPr>
                <w:rFonts w:hint="eastAsia" w:ascii="宋体" w:hAnsi="宋体"/>
                <w:color w:val="auto"/>
                <w:szCs w:val="21"/>
                <w:u w:val="single"/>
              </w:rPr>
              <w:t xml:space="preserve">                    </w:t>
            </w:r>
            <w:r>
              <w:rPr>
                <w:rFonts w:hint="eastAsia" w:ascii="宋体" w:hAnsi="宋体"/>
                <w:color w:val="auto"/>
                <w:szCs w:val="21"/>
              </w:rPr>
              <w:t>（标段名称）</w:t>
            </w:r>
          </w:p>
          <w:p>
            <w:pPr>
              <w:rPr>
                <w:rFonts w:hint="eastAsia" w:ascii="宋体" w:hAnsi="宋体"/>
                <w:color w:val="auto"/>
                <w:szCs w:val="21"/>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1.1.5</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建设地点</w:t>
            </w:r>
          </w:p>
        </w:tc>
        <w:tc>
          <w:tcPr>
            <w:tcW w:w="3149" w:type="pct"/>
            <w:noWrap w:val="0"/>
            <w:tcMar>
              <w:top w:w="28" w:type="dxa"/>
              <w:bottom w:w="28" w:type="dxa"/>
            </w:tcMar>
            <w:vAlign w:val="center"/>
          </w:tcPr>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1.1.6</w:t>
            </w:r>
          </w:p>
        </w:tc>
        <w:tc>
          <w:tcPr>
            <w:tcW w:w="1277"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现场管理机构</w:t>
            </w:r>
          </w:p>
        </w:tc>
        <w:tc>
          <w:tcPr>
            <w:tcW w:w="3149" w:type="pct"/>
            <w:noWrap w:val="0"/>
            <w:tcMar>
              <w:top w:w="28" w:type="dxa"/>
              <w:bottom w:w="28" w:type="dxa"/>
            </w:tcMar>
            <w:vAlign w:val="center"/>
          </w:tcPr>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1.1.7</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设计人</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1.1.8</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监理人</w:t>
            </w:r>
          </w:p>
        </w:tc>
        <w:tc>
          <w:tcPr>
            <w:tcW w:w="3149" w:type="pct"/>
            <w:noWrap w:val="0"/>
            <w:tcMar>
              <w:top w:w="28" w:type="dxa"/>
              <w:bottom w:w="28" w:type="dxa"/>
            </w:tcMar>
            <w:vAlign w:val="center"/>
          </w:tcPr>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1.1.9</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代建人</w:t>
            </w:r>
          </w:p>
        </w:tc>
        <w:tc>
          <w:tcPr>
            <w:tcW w:w="3149" w:type="pct"/>
            <w:noWrap w:val="0"/>
            <w:tcMar>
              <w:top w:w="28" w:type="dxa"/>
              <w:bottom w:w="28" w:type="dxa"/>
            </w:tcMar>
            <w:vAlign w:val="center"/>
          </w:tcPr>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1.2.1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资金来源</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1.2.2</w:t>
            </w:r>
          </w:p>
        </w:tc>
        <w:tc>
          <w:tcPr>
            <w:tcW w:w="1277"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出资比例</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1.2.3</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资金</w:t>
            </w:r>
            <w:r>
              <w:rPr>
                <w:rFonts w:ascii="宋体" w:hAnsi="宋体"/>
                <w:color w:val="auto"/>
                <w:szCs w:val="21"/>
              </w:rPr>
              <w:t>落实情况</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w:t>
            </w:r>
            <w:r>
              <w:rPr>
                <w:rFonts w:hint="eastAsia" w:ascii="宋体" w:hAnsi="宋体"/>
                <w:color w:val="auto"/>
                <w:szCs w:val="21"/>
              </w:rPr>
              <w:t>3</w:t>
            </w:r>
            <w:r>
              <w:rPr>
                <w:rFonts w:ascii="宋体" w:hAnsi="宋体"/>
                <w:color w:val="auto"/>
                <w:szCs w:val="21"/>
              </w:rPr>
              <w:t>.1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招标范围</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1.3.2</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计划工期</w:t>
            </w:r>
          </w:p>
        </w:tc>
        <w:tc>
          <w:tcPr>
            <w:tcW w:w="3149" w:type="pct"/>
            <w:noWrap w:val="0"/>
            <w:tcMar>
              <w:top w:w="28" w:type="dxa"/>
              <w:bottom w:w="28" w:type="dxa"/>
            </w:tcMar>
            <w:vAlign w:val="center"/>
          </w:tcPr>
          <w:p>
            <w:pPr>
              <w:rPr>
                <w:rFonts w:ascii="宋体" w:hAnsi="宋体"/>
                <w:color w:val="auto"/>
                <w:szCs w:val="21"/>
              </w:rPr>
            </w:pPr>
            <w:r>
              <w:rPr>
                <w:rFonts w:ascii="宋体" w:hAnsi="宋体"/>
                <w:color w:val="auto"/>
                <w:szCs w:val="21"/>
              </w:rPr>
              <w:t>计划工期：</w:t>
            </w:r>
            <w:r>
              <w:rPr>
                <w:rFonts w:ascii="宋体" w:hAnsi="宋体"/>
                <w:color w:val="auto"/>
                <w:szCs w:val="21"/>
                <w:u w:val="single"/>
              </w:rPr>
              <w:t xml:space="preserve">        </w:t>
            </w:r>
            <w:r>
              <w:rPr>
                <w:rFonts w:ascii="宋体" w:hAnsi="宋体"/>
                <w:color w:val="auto"/>
                <w:szCs w:val="21"/>
              </w:rPr>
              <w:t>日历天</w:t>
            </w:r>
          </w:p>
          <w:p>
            <w:pPr>
              <w:rPr>
                <w:rFonts w:ascii="宋体" w:hAnsi="宋体"/>
                <w:color w:val="auto"/>
                <w:szCs w:val="21"/>
              </w:rPr>
            </w:pPr>
            <w:r>
              <w:rPr>
                <w:rFonts w:ascii="宋体" w:hAnsi="宋体"/>
                <w:color w:val="auto"/>
                <w:szCs w:val="21"/>
              </w:rPr>
              <w:t>计划开工日期：</w:t>
            </w:r>
            <w:r>
              <w:rPr>
                <w:rFonts w:ascii="宋体" w:hAnsi="宋体"/>
                <w:color w:val="auto"/>
                <w:szCs w:val="21"/>
                <w:u w:val="single"/>
              </w:rPr>
              <w:t xml:space="preserve">    </w:t>
            </w:r>
            <w:r>
              <w:rPr>
                <w:rFonts w:ascii="宋体" w:hAnsi="宋体"/>
                <w:color w:val="auto"/>
                <w:szCs w:val="21"/>
              </w:rPr>
              <w:t xml:space="preserve">年 </w:t>
            </w:r>
            <w:r>
              <w:rPr>
                <w:rFonts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ascii="宋体" w:hAnsi="宋体"/>
                <w:color w:val="auto"/>
                <w:szCs w:val="21"/>
              </w:rPr>
              <w:t>日</w:t>
            </w:r>
          </w:p>
          <w:p>
            <w:pPr>
              <w:rPr>
                <w:rFonts w:ascii="宋体" w:hAnsi="宋体"/>
                <w:color w:val="auto"/>
                <w:szCs w:val="21"/>
              </w:rPr>
            </w:pPr>
            <w:r>
              <w:rPr>
                <w:rFonts w:ascii="宋体" w:hAnsi="宋体"/>
                <w:color w:val="auto"/>
                <w:szCs w:val="21"/>
              </w:rPr>
              <w:t>计划</w:t>
            </w:r>
            <w:r>
              <w:rPr>
                <w:rFonts w:hint="eastAsia" w:ascii="宋体" w:hAnsi="宋体"/>
                <w:color w:val="auto"/>
                <w:szCs w:val="21"/>
              </w:rPr>
              <w:t>完工</w:t>
            </w:r>
            <w:r>
              <w:rPr>
                <w:rFonts w:ascii="宋体" w:hAnsi="宋体"/>
                <w:color w:val="auto"/>
                <w:szCs w:val="21"/>
              </w:rPr>
              <w:t>日期：</w:t>
            </w:r>
            <w:r>
              <w:rPr>
                <w:rFonts w:ascii="宋体" w:hAnsi="宋体"/>
                <w:color w:val="auto"/>
                <w:szCs w:val="21"/>
                <w:u w:val="single"/>
              </w:rPr>
              <w:t xml:space="preserve">    </w:t>
            </w:r>
            <w:r>
              <w:rPr>
                <w:rFonts w:ascii="宋体" w:hAnsi="宋体"/>
                <w:color w:val="auto"/>
                <w:szCs w:val="21"/>
              </w:rPr>
              <w:t xml:space="preserve">年 </w:t>
            </w:r>
            <w:r>
              <w:rPr>
                <w:rFonts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ascii="宋体" w:hAnsi="宋体"/>
                <w:color w:val="auto"/>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1.3.3</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质量要求</w:t>
            </w:r>
          </w:p>
        </w:tc>
        <w:tc>
          <w:tcPr>
            <w:tcW w:w="3149" w:type="pct"/>
            <w:noWrap w:val="0"/>
            <w:tcMar>
              <w:top w:w="28" w:type="dxa"/>
              <w:bottom w:w="28" w:type="dxa"/>
            </w:tcMar>
            <w:vAlign w:val="center"/>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highlight w:val="yellow"/>
              </w:rPr>
            </w:pPr>
            <w:r>
              <w:rPr>
                <w:rFonts w:hint="eastAsia" w:ascii="宋体" w:hAnsi="宋体"/>
                <w:color w:val="auto"/>
                <w:szCs w:val="21"/>
                <w:highlight w:val="yellow"/>
              </w:rPr>
              <w:t>1.4.1</w:t>
            </w:r>
          </w:p>
        </w:tc>
        <w:tc>
          <w:tcPr>
            <w:tcW w:w="1277" w:type="pct"/>
            <w:noWrap w:val="0"/>
            <w:tcMar>
              <w:top w:w="28" w:type="dxa"/>
              <w:bottom w:w="28" w:type="dxa"/>
            </w:tcMar>
            <w:vAlign w:val="center"/>
          </w:tcPr>
          <w:p>
            <w:pPr>
              <w:jc w:val="center"/>
              <w:rPr>
                <w:rFonts w:ascii="宋体" w:hAnsi="宋体"/>
                <w:color w:val="auto"/>
                <w:szCs w:val="21"/>
                <w:highlight w:val="yellow"/>
              </w:rPr>
            </w:pPr>
            <w:r>
              <w:rPr>
                <w:rFonts w:hint="eastAsia" w:ascii="宋体" w:hAnsi="宋体"/>
                <w:color w:val="auto"/>
                <w:szCs w:val="21"/>
                <w:highlight w:val="yellow"/>
              </w:rPr>
              <w:t>投标人资质条件、能力和信誉</w:t>
            </w:r>
          </w:p>
        </w:tc>
        <w:tc>
          <w:tcPr>
            <w:tcW w:w="3149" w:type="pct"/>
            <w:noWrap w:val="0"/>
            <w:tcMar>
              <w:top w:w="28" w:type="dxa"/>
              <w:bottom w:w="28" w:type="dxa"/>
            </w:tcMar>
            <w:vAlign w:val="center"/>
          </w:tcPr>
          <w:p>
            <w:pPr>
              <w:pStyle w:val="14"/>
              <w:topLinePunct/>
              <w:rPr>
                <w:rFonts w:hAnsi="宋体"/>
                <w:color w:val="auto"/>
                <w:sz w:val="21"/>
                <w:szCs w:val="21"/>
                <w:highlight w:val="yellow"/>
              </w:rPr>
            </w:pPr>
            <w:r>
              <w:rPr>
                <w:rFonts w:hint="eastAsia" w:hAnsi="宋体"/>
                <w:color w:val="auto"/>
                <w:sz w:val="21"/>
                <w:szCs w:val="21"/>
                <w:highlight w:val="yellow"/>
              </w:rPr>
              <w:t>资质要求：见本章附表</w:t>
            </w:r>
          </w:p>
          <w:p>
            <w:pPr>
              <w:jc w:val="left"/>
              <w:rPr>
                <w:rFonts w:hint="eastAsia" w:hAnsi="宋体"/>
                <w:color w:val="auto"/>
                <w:szCs w:val="21"/>
                <w:highlight w:val="yellow"/>
              </w:rPr>
            </w:pPr>
            <w:r>
              <w:rPr>
                <w:rFonts w:hint="eastAsia" w:ascii="宋体" w:hAnsi="宋体"/>
                <w:color w:val="auto"/>
                <w:szCs w:val="21"/>
                <w:highlight w:val="yellow"/>
              </w:rPr>
              <w:t>信誉要求：</w:t>
            </w:r>
            <w:r>
              <w:rPr>
                <w:rFonts w:hint="eastAsia" w:hAnsi="宋体"/>
                <w:color w:val="auto"/>
                <w:szCs w:val="21"/>
                <w:highlight w:val="yellow"/>
              </w:rPr>
              <w:t>见本章附表</w:t>
            </w:r>
          </w:p>
          <w:p>
            <w:pPr>
              <w:rPr>
                <w:rFonts w:ascii="宋体" w:hAnsi="宋体"/>
                <w:color w:val="auto"/>
                <w:szCs w:val="21"/>
                <w:highlight w:val="yellow"/>
              </w:rPr>
            </w:pPr>
            <w:r>
              <w:rPr>
                <w:rFonts w:hint="eastAsia" w:ascii="宋体" w:hAnsi="宋体"/>
                <w:color w:val="auto"/>
                <w:szCs w:val="21"/>
                <w:highlight w:val="yellow"/>
              </w:rPr>
              <w:t>业绩要求：</w:t>
            </w:r>
            <w:r>
              <w:rPr>
                <w:rFonts w:hint="eastAsia" w:hAnsi="宋体"/>
                <w:color w:val="auto"/>
                <w:szCs w:val="21"/>
                <w:highlight w:val="yellow"/>
              </w:rPr>
              <w:t>见本章附表</w:t>
            </w:r>
          </w:p>
          <w:p>
            <w:pPr>
              <w:rPr>
                <w:rFonts w:ascii="宋体" w:hAnsi="宋体"/>
                <w:color w:val="auto"/>
                <w:szCs w:val="21"/>
                <w:highlight w:val="yellow"/>
              </w:rPr>
            </w:pPr>
            <w:r>
              <w:rPr>
                <w:rFonts w:hint="eastAsia" w:ascii="宋体" w:hAnsi="宋体"/>
                <w:color w:val="auto"/>
                <w:szCs w:val="21"/>
                <w:highlight w:val="yellow"/>
              </w:rPr>
              <w:t>人员要求：</w:t>
            </w:r>
            <w:r>
              <w:rPr>
                <w:rFonts w:hint="eastAsia" w:hAnsi="宋体"/>
                <w:color w:val="auto"/>
                <w:szCs w:val="21"/>
                <w:highlight w:val="yellow"/>
              </w:rPr>
              <w:t>见本章附表</w:t>
            </w:r>
          </w:p>
          <w:p>
            <w:pPr>
              <w:rPr>
                <w:rFonts w:hint="eastAsia" w:ascii="宋体" w:hAnsi="宋体"/>
                <w:color w:val="auto"/>
                <w:szCs w:val="21"/>
                <w:highlight w:val="yellow"/>
              </w:rPr>
            </w:pPr>
            <w:r>
              <w:rPr>
                <w:rFonts w:hint="eastAsia" w:ascii="宋体" w:hAnsi="宋体"/>
                <w:color w:val="auto"/>
                <w:szCs w:val="21"/>
                <w:highlight w:val="yellow"/>
              </w:rPr>
              <w:t>其他要求：</w:t>
            </w:r>
            <w:r>
              <w:rPr>
                <w:rFonts w:hint="eastAsia" w:hAnsi="宋体"/>
                <w:color w:val="auto"/>
                <w:szCs w:val="21"/>
                <w:highlight w:val="yellow"/>
              </w:rPr>
              <w:t>见本章附表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1.4.2</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是否接受</w:t>
            </w:r>
          </w:p>
          <w:p>
            <w:pPr>
              <w:jc w:val="center"/>
              <w:rPr>
                <w:rFonts w:ascii="宋体" w:hAnsi="宋体"/>
                <w:color w:val="auto"/>
                <w:szCs w:val="21"/>
              </w:rPr>
            </w:pPr>
            <w:r>
              <w:rPr>
                <w:rFonts w:hint="eastAsia" w:ascii="宋体" w:hAnsi="宋体"/>
                <w:color w:val="auto"/>
                <w:szCs w:val="21"/>
              </w:rPr>
              <w:t>联合体投标</w:t>
            </w:r>
          </w:p>
        </w:tc>
        <w:tc>
          <w:tcPr>
            <w:tcW w:w="3149" w:type="pct"/>
            <w:noWrap w:val="0"/>
            <w:tcMar>
              <w:top w:w="28" w:type="dxa"/>
              <w:bottom w:w="28" w:type="dxa"/>
            </w:tcMar>
            <w:vAlign w:val="center"/>
          </w:tcPr>
          <w:p>
            <w:pPr>
              <w:ind w:firstLine="71" w:firstLineChars="34"/>
              <w:rPr>
                <w:rFonts w:hint="eastAsia" w:ascii="宋体" w:hAnsi="宋体"/>
                <w:color w:val="auto"/>
                <w:szCs w:val="21"/>
              </w:rPr>
            </w:pPr>
            <w:r>
              <w:rPr>
                <w:rFonts w:hint="eastAsia" w:ascii="宋体" w:hAnsi="宋体"/>
                <w:color w:val="auto"/>
                <w:szCs w:val="21"/>
              </w:rPr>
              <w:t>□不接受</w:t>
            </w:r>
          </w:p>
          <w:p>
            <w:pPr>
              <w:ind w:firstLine="71" w:firstLineChars="34"/>
              <w:rPr>
                <w:rFonts w:hint="eastAsia" w:ascii="宋体" w:hAnsi="宋体"/>
                <w:color w:val="auto"/>
                <w:szCs w:val="21"/>
                <w:u w:val="single"/>
              </w:rPr>
            </w:pPr>
            <w:r>
              <w:rPr>
                <w:rFonts w:hint="eastAsia" w:ascii="宋体" w:hAnsi="宋体"/>
                <w:color w:val="auto"/>
                <w:szCs w:val="21"/>
              </w:rPr>
              <w:t>□接受，应满足下列条件：</w:t>
            </w:r>
            <w:r>
              <w:rPr>
                <w:rFonts w:hint="eastAsia" w:ascii="宋体" w:hAnsi="宋体"/>
                <w:color w:val="auto"/>
                <w:szCs w:val="21"/>
                <w:u w:val="single"/>
              </w:rPr>
              <w:t xml:space="preserve">                        </w:t>
            </w:r>
          </w:p>
          <w:p>
            <w:pPr>
              <w:ind w:firstLine="71" w:firstLineChars="34"/>
              <w:rPr>
                <w:rFonts w:hint="eastAsia" w:ascii="宋体" w:hAnsi="宋体"/>
                <w:color w:val="auto"/>
                <w:szCs w:val="21"/>
              </w:rPr>
            </w:pPr>
            <w:r>
              <w:rPr>
                <w:rFonts w:hint="eastAsia"/>
                <w:color w:val="auto"/>
              </w:rPr>
              <w:t>联合体资质按照联合体协议约定的分工认定。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ind w:right="-20"/>
              <w:jc w:val="center"/>
              <w:rPr>
                <w:rFonts w:ascii="宋体" w:hAnsi="宋体"/>
                <w:color w:val="auto"/>
                <w:szCs w:val="21"/>
              </w:rPr>
            </w:pPr>
            <w:r>
              <w:rPr>
                <w:rFonts w:ascii="宋体" w:hAnsi="宋体"/>
                <w:color w:val="auto"/>
                <w:szCs w:val="21"/>
              </w:rPr>
              <w:t>1.4.3</w:t>
            </w:r>
            <w:r>
              <w:rPr>
                <w:rFonts w:hint="eastAsia" w:ascii="宋体" w:hAnsi="宋体" w:cs="宋体"/>
                <w:color w:val="auto"/>
                <w:kern w:val="0"/>
                <w:szCs w:val="21"/>
              </w:rPr>
              <w:t>（1</w:t>
            </w:r>
            <w:r>
              <w:rPr>
                <w:rFonts w:ascii="宋体" w:hAnsi="宋体" w:cs="宋体"/>
                <w:color w:val="auto"/>
                <w:kern w:val="0"/>
                <w:szCs w:val="21"/>
              </w:rPr>
              <w:t>7</w:t>
            </w:r>
            <w:r>
              <w:rPr>
                <w:rFonts w:hint="eastAsia" w:ascii="宋体" w:hAnsi="宋体" w:cs="宋体"/>
                <w:color w:val="auto"/>
                <w:kern w:val="0"/>
                <w:szCs w:val="21"/>
              </w:rPr>
              <w:t>）</w:t>
            </w:r>
          </w:p>
        </w:tc>
        <w:tc>
          <w:tcPr>
            <w:tcW w:w="1277" w:type="pct"/>
            <w:noWrap w:val="0"/>
            <w:tcMar>
              <w:top w:w="28" w:type="dxa"/>
              <w:bottom w:w="28" w:type="dxa"/>
            </w:tcMar>
            <w:vAlign w:val="center"/>
          </w:tcPr>
          <w:p>
            <w:pPr>
              <w:ind w:right="-20"/>
              <w:jc w:val="center"/>
              <w:rPr>
                <w:rFonts w:hint="eastAsia" w:ascii="宋体" w:hAnsi="宋体"/>
                <w:color w:val="auto"/>
                <w:szCs w:val="21"/>
              </w:rPr>
            </w:pPr>
            <w:r>
              <w:rPr>
                <w:rFonts w:hint="eastAsia" w:ascii="宋体" w:hAnsi="宋体"/>
                <w:color w:val="auto"/>
                <w:szCs w:val="21"/>
              </w:rPr>
              <w:t>投标人不得存在的</w:t>
            </w:r>
          </w:p>
          <w:p>
            <w:pPr>
              <w:ind w:right="-20"/>
              <w:jc w:val="center"/>
              <w:rPr>
                <w:rFonts w:ascii="宋体" w:hAnsi="宋体"/>
                <w:color w:val="auto"/>
                <w:szCs w:val="21"/>
              </w:rPr>
            </w:pPr>
            <w:r>
              <w:rPr>
                <w:rFonts w:hint="eastAsia" w:ascii="宋体" w:hAnsi="宋体"/>
                <w:color w:val="auto"/>
                <w:szCs w:val="21"/>
              </w:rPr>
              <w:t>其他情形</w:t>
            </w:r>
          </w:p>
        </w:tc>
        <w:tc>
          <w:tcPr>
            <w:tcW w:w="3149" w:type="pct"/>
            <w:noWrap w:val="0"/>
            <w:tcMar>
              <w:top w:w="28" w:type="dxa"/>
              <w:bottom w:w="28" w:type="dxa"/>
            </w:tcMar>
            <w:vAlign w:val="center"/>
          </w:tcPr>
          <w:p>
            <w:pPr>
              <w:ind w:firstLine="71" w:firstLineChars="34"/>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1.9.1</w:t>
            </w:r>
          </w:p>
        </w:tc>
        <w:tc>
          <w:tcPr>
            <w:tcW w:w="1277"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踏勘现场</w:t>
            </w:r>
          </w:p>
        </w:tc>
        <w:tc>
          <w:tcPr>
            <w:tcW w:w="3149" w:type="pct"/>
            <w:noWrap w:val="0"/>
            <w:tcMar>
              <w:top w:w="28" w:type="dxa"/>
              <w:bottom w:w="28" w:type="dxa"/>
            </w:tcMar>
            <w:vAlign w:val="center"/>
          </w:tcPr>
          <w:p>
            <w:pPr>
              <w:adjustRightInd w:val="0"/>
              <w:snapToGrid w:val="0"/>
              <w:ind w:firstLine="71" w:firstLineChars="34"/>
              <w:jc w:val="left"/>
              <w:rPr>
                <w:rFonts w:hint="eastAsia" w:ascii="宋体" w:hAnsi="宋体"/>
                <w:color w:val="auto"/>
                <w:szCs w:val="21"/>
              </w:rPr>
            </w:pPr>
            <w:r>
              <w:rPr>
                <w:rFonts w:ascii="宋体" w:hAnsi="宋体"/>
                <w:color w:val="auto"/>
                <w:szCs w:val="21"/>
              </w:rPr>
              <w:t>□</w:t>
            </w:r>
            <w:r>
              <w:rPr>
                <w:rFonts w:hint="eastAsia" w:ascii="宋体" w:hAnsi="宋体"/>
                <w:color w:val="auto"/>
                <w:szCs w:val="21"/>
              </w:rPr>
              <w:t>不组织；</w:t>
            </w:r>
          </w:p>
          <w:p>
            <w:pPr>
              <w:ind w:firstLine="71" w:firstLineChars="34"/>
              <w:rPr>
                <w:rFonts w:hint="eastAsia" w:ascii="宋体" w:hAnsi="宋体"/>
                <w:color w:val="auto"/>
                <w:szCs w:val="21"/>
              </w:rPr>
            </w:pPr>
            <w:r>
              <w:rPr>
                <w:rFonts w:ascii="宋体" w:hAnsi="宋体"/>
                <w:color w:val="auto"/>
                <w:szCs w:val="21"/>
              </w:rPr>
              <w:t>□</w:t>
            </w:r>
            <w:r>
              <w:rPr>
                <w:rFonts w:hint="eastAsia" w:ascii="宋体" w:hAnsi="宋体"/>
                <w:color w:val="auto"/>
                <w:szCs w:val="21"/>
              </w:rPr>
              <w:t>组  织，踏勘</w:t>
            </w:r>
            <w:r>
              <w:rPr>
                <w:rFonts w:ascii="宋体" w:hAnsi="宋体"/>
                <w:color w:val="auto"/>
                <w:szCs w:val="21"/>
              </w:rPr>
              <w:t>时间</w:t>
            </w:r>
            <w:r>
              <w:rPr>
                <w:rFonts w:hint="eastAsia" w:ascii="宋体" w:hAnsi="宋体"/>
                <w:color w:val="auto"/>
                <w:szCs w:val="21"/>
              </w:rPr>
              <w:t>：</w:t>
            </w:r>
            <w:r>
              <w:rPr>
                <w:rFonts w:hint="eastAsia" w:ascii="宋体" w:hAnsi="宋体"/>
                <w:color w:val="auto"/>
                <w:szCs w:val="21"/>
                <w:u w:val="single"/>
              </w:rPr>
              <w:t xml:space="preserve">                </w:t>
            </w:r>
            <w:r>
              <w:rPr>
                <w:rFonts w:hint="eastAsia" w:ascii="宋体" w:hAnsi="宋体"/>
                <w:color w:val="auto"/>
                <w:szCs w:val="21"/>
              </w:rPr>
              <w:t xml:space="preserve">， </w:t>
            </w:r>
          </w:p>
          <w:p>
            <w:pPr>
              <w:ind w:firstLine="1113" w:firstLineChars="530"/>
              <w:rPr>
                <w:rFonts w:hint="eastAsia" w:ascii="宋体" w:hAnsi="宋体"/>
                <w:color w:val="auto"/>
                <w:szCs w:val="21"/>
              </w:rPr>
            </w:pPr>
            <w:r>
              <w:rPr>
                <w:rFonts w:hint="eastAsia" w:ascii="宋体" w:hAnsi="宋体"/>
                <w:color w:val="auto"/>
                <w:szCs w:val="21"/>
              </w:rPr>
              <w:t>踏勘集中地点：</w:t>
            </w:r>
            <w:r>
              <w:rPr>
                <w:rFonts w:hint="eastAsia" w:ascii="宋体" w:hAnsi="宋体"/>
                <w:color w:val="auto"/>
                <w:szCs w:val="21"/>
                <w:u w:val="single"/>
              </w:rPr>
              <w:t xml:space="preserve">           </w:t>
            </w:r>
            <w:r>
              <w:rPr>
                <w:rFonts w:hint="eastAsia" w:ascii="宋体" w:hAnsi="宋体"/>
                <w:color w:val="auto"/>
                <w:sz w:val="18"/>
                <w:szCs w:val="18"/>
                <w:u w:val="single"/>
              </w:rPr>
              <w:t xml:space="preserve"> </w:t>
            </w:r>
            <w:r>
              <w:rPr>
                <w:rFonts w:hint="eastAsia" w:ascii="宋体" w:hAnsi="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1.10.1</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投标预备会</w:t>
            </w:r>
          </w:p>
        </w:tc>
        <w:tc>
          <w:tcPr>
            <w:tcW w:w="3149" w:type="pct"/>
            <w:noWrap w:val="0"/>
            <w:tcMar>
              <w:top w:w="28" w:type="dxa"/>
              <w:bottom w:w="28" w:type="dxa"/>
            </w:tcMar>
            <w:vAlign w:val="center"/>
          </w:tcPr>
          <w:p>
            <w:pPr>
              <w:adjustRightInd w:val="0"/>
              <w:snapToGrid w:val="0"/>
              <w:ind w:firstLine="71" w:firstLineChars="34"/>
              <w:jc w:val="left"/>
              <w:rPr>
                <w:rFonts w:hint="eastAsia" w:ascii="宋体" w:hAnsi="宋体"/>
                <w:color w:val="auto"/>
                <w:szCs w:val="21"/>
              </w:rPr>
            </w:pPr>
            <w:r>
              <w:rPr>
                <w:rFonts w:ascii="宋体" w:hAnsi="宋体"/>
                <w:color w:val="auto"/>
                <w:szCs w:val="21"/>
              </w:rPr>
              <w:t>□</w:t>
            </w:r>
            <w:r>
              <w:rPr>
                <w:rFonts w:hint="eastAsia" w:ascii="宋体" w:hAnsi="宋体"/>
                <w:color w:val="auto"/>
                <w:szCs w:val="21"/>
              </w:rPr>
              <w:t>不</w:t>
            </w:r>
            <w:r>
              <w:rPr>
                <w:rFonts w:ascii="宋体" w:hAnsi="宋体"/>
                <w:color w:val="auto"/>
                <w:szCs w:val="21"/>
              </w:rPr>
              <w:t>召开</w:t>
            </w:r>
            <w:r>
              <w:rPr>
                <w:rFonts w:hint="eastAsia" w:ascii="宋体" w:hAnsi="宋体"/>
                <w:color w:val="auto"/>
                <w:szCs w:val="21"/>
              </w:rPr>
              <w:t>；</w:t>
            </w:r>
          </w:p>
          <w:p>
            <w:pPr>
              <w:ind w:firstLine="71" w:firstLineChars="34"/>
              <w:rPr>
                <w:rFonts w:hint="eastAsia" w:ascii="宋体" w:hAnsi="宋体"/>
                <w:color w:val="auto"/>
                <w:szCs w:val="21"/>
              </w:rPr>
            </w:pPr>
            <w:r>
              <w:rPr>
                <w:rFonts w:ascii="宋体" w:hAnsi="宋体"/>
                <w:color w:val="auto"/>
                <w:szCs w:val="21"/>
              </w:rPr>
              <w:t>□召</w:t>
            </w:r>
            <w:r>
              <w:rPr>
                <w:rFonts w:hint="eastAsia" w:ascii="宋体" w:hAnsi="宋体"/>
                <w:color w:val="auto"/>
                <w:szCs w:val="21"/>
              </w:rPr>
              <w:t xml:space="preserve">  </w:t>
            </w:r>
            <w:r>
              <w:rPr>
                <w:rFonts w:ascii="宋体" w:hAnsi="宋体"/>
                <w:color w:val="auto"/>
                <w:szCs w:val="21"/>
              </w:rPr>
              <w:t>开</w:t>
            </w:r>
            <w:r>
              <w:rPr>
                <w:rFonts w:hint="eastAsia" w:ascii="宋体" w:hAnsi="宋体"/>
                <w:color w:val="auto"/>
                <w:szCs w:val="21"/>
              </w:rPr>
              <w:t>，</w:t>
            </w:r>
            <w:r>
              <w:rPr>
                <w:rFonts w:ascii="宋体" w:hAnsi="宋体"/>
                <w:color w:val="auto"/>
                <w:szCs w:val="21"/>
              </w:rPr>
              <w:t>召开时间：</w:t>
            </w:r>
            <w:r>
              <w:rPr>
                <w:rFonts w:hint="eastAsia" w:ascii="宋体" w:hAnsi="宋体"/>
                <w:color w:val="auto"/>
                <w:szCs w:val="21"/>
                <w:u w:val="single"/>
              </w:rPr>
              <w:t xml:space="preserve">         </w:t>
            </w:r>
            <w:r>
              <w:rPr>
                <w:rFonts w:hint="eastAsia" w:ascii="宋体" w:hAnsi="宋体"/>
                <w:color w:val="auto"/>
                <w:szCs w:val="21"/>
              </w:rPr>
              <w:t xml:space="preserve">， </w:t>
            </w:r>
          </w:p>
          <w:p>
            <w:pPr>
              <w:ind w:firstLine="1113" w:firstLineChars="530"/>
              <w:rPr>
                <w:rFonts w:hint="eastAsia" w:ascii="宋体" w:hAnsi="宋体"/>
                <w:color w:val="auto"/>
                <w:szCs w:val="21"/>
              </w:rPr>
            </w:pPr>
            <w:r>
              <w:rPr>
                <w:rFonts w:ascii="宋体" w:hAnsi="宋体"/>
                <w:color w:val="auto"/>
                <w:szCs w:val="21"/>
              </w:rPr>
              <w:t>召开地点：</w:t>
            </w:r>
            <w:r>
              <w:rPr>
                <w:rFonts w:hint="eastAsia" w:ascii="宋体" w:hAnsi="宋体"/>
                <w:color w:val="auto"/>
                <w:szCs w:val="21"/>
                <w:u w:val="single"/>
              </w:rPr>
              <w:t xml:space="preserve">         </w:t>
            </w:r>
            <w:r>
              <w:rPr>
                <w:rFonts w:hint="eastAsia" w:ascii="宋体" w:hAnsi="宋体"/>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color w:val="auto"/>
              </w:rPr>
            </w:pPr>
            <w:r>
              <w:rPr>
                <w:rFonts w:hint="eastAsia" w:ascii="宋体" w:hAnsi="宋体"/>
                <w:color w:val="auto"/>
                <w:szCs w:val="21"/>
              </w:rPr>
              <w:t>1.10.2</w:t>
            </w:r>
          </w:p>
        </w:tc>
        <w:tc>
          <w:tcPr>
            <w:tcW w:w="1277" w:type="pct"/>
            <w:noWrap w:val="0"/>
            <w:tcMar>
              <w:top w:w="28" w:type="dxa"/>
              <w:bottom w:w="28" w:type="dxa"/>
            </w:tcMar>
            <w:vAlign w:val="center"/>
          </w:tcPr>
          <w:p>
            <w:pPr>
              <w:jc w:val="center"/>
              <w:rPr>
                <w:rFonts w:hint="eastAsia"/>
                <w:color w:val="auto"/>
              </w:rPr>
            </w:pPr>
            <w:r>
              <w:rPr>
                <w:rFonts w:hint="eastAsia"/>
                <w:color w:val="auto"/>
              </w:rPr>
              <w:t>投标人提出问题的</w:t>
            </w:r>
          </w:p>
          <w:p>
            <w:pPr>
              <w:jc w:val="center"/>
              <w:rPr>
                <w:rFonts w:hint="eastAsia"/>
                <w:color w:val="auto"/>
              </w:rPr>
            </w:pPr>
            <w:r>
              <w:rPr>
                <w:rFonts w:hint="eastAsia"/>
                <w:color w:val="auto"/>
              </w:rPr>
              <w:t>截止时间</w:t>
            </w:r>
          </w:p>
        </w:tc>
        <w:tc>
          <w:tcPr>
            <w:tcW w:w="3149" w:type="pct"/>
            <w:noWrap w:val="0"/>
            <w:tcMar>
              <w:top w:w="28" w:type="dxa"/>
              <w:bottom w:w="28" w:type="dxa"/>
            </w:tcMar>
            <w:vAlign w:val="center"/>
          </w:tcPr>
          <w:p>
            <w:pPr>
              <w:ind w:left="210" w:hanging="210" w:hangingChars="100"/>
              <w:rPr>
                <w:rFonts w:hint="eastAsia"/>
                <w:color w:val="auto"/>
              </w:rPr>
            </w:pPr>
            <w:r>
              <w:rPr>
                <w:rFonts w:hint="eastAsia"/>
                <w:color w:val="auto"/>
              </w:rPr>
              <w:t>召开投标预备会</w:t>
            </w:r>
            <w:r>
              <w:rPr>
                <w:rFonts w:hint="eastAsia"/>
                <w:color w:val="auto"/>
                <w:szCs w:val="21"/>
              </w:rPr>
              <w:t>之日</w:t>
            </w:r>
            <w:r>
              <w:rPr>
                <w:color w:val="auto"/>
                <w:szCs w:val="21"/>
                <w:u w:val="single"/>
              </w:rPr>
              <w:t xml:space="preserve"> </w:t>
            </w:r>
            <w:r>
              <w:rPr>
                <w:rFonts w:hint="eastAsia"/>
                <w:color w:val="auto"/>
                <w:szCs w:val="21"/>
                <w:u w:val="single"/>
              </w:rPr>
              <w:t xml:space="preserve">  </w:t>
            </w:r>
            <w:r>
              <w:rPr>
                <w:rFonts w:hint="eastAsia"/>
                <w:color w:val="auto"/>
                <w:szCs w:val="21"/>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1.1</w:t>
            </w:r>
            <w:r>
              <w:rPr>
                <w:rFonts w:hint="eastAsia" w:ascii="宋体" w:hAnsi="宋体"/>
                <w:color w:val="auto"/>
                <w:szCs w:val="21"/>
              </w:rPr>
              <w:t>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分包</w:t>
            </w:r>
          </w:p>
        </w:tc>
        <w:tc>
          <w:tcPr>
            <w:tcW w:w="3149" w:type="pct"/>
            <w:noWrap w:val="0"/>
            <w:tcMar>
              <w:top w:w="28" w:type="dxa"/>
              <w:bottom w:w="28" w:type="dxa"/>
            </w:tcMar>
            <w:vAlign w:val="center"/>
          </w:tcPr>
          <w:p>
            <w:pPr>
              <w:ind w:firstLine="71" w:firstLineChars="34"/>
              <w:rPr>
                <w:rFonts w:hint="eastAsia" w:ascii="宋体" w:hAnsi="宋体"/>
                <w:color w:val="auto"/>
                <w:szCs w:val="21"/>
              </w:rPr>
            </w:pPr>
            <w:r>
              <w:rPr>
                <w:rFonts w:hint="eastAsia" w:ascii="宋体" w:hAnsi="宋体"/>
                <w:color w:val="auto"/>
                <w:szCs w:val="21"/>
              </w:rPr>
              <w:t>□不允许</w:t>
            </w:r>
          </w:p>
          <w:p>
            <w:pPr>
              <w:ind w:firstLine="71" w:firstLineChars="34"/>
              <w:rPr>
                <w:rFonts w:hint="eastAsia" w:ascii="宋体" w:hAnsi="宋体"/>
                <w:color w:val="auto"/>
                <w:szCs w:val="21"/>
              </w:rPr>
            </w:pPr>
            <w:r>
              <w:rPr>
                <w:rFonts w:hint="eastAsia" w:ascii="宋体" w:hAnsi="宋体"/>
                <w:color w:val="auto"/>
                <w:szCs w:val="21"/>
              </w:rPr>
              <w:t>□允许，</w:t>
            </w:r>
            <w:r>
              <w:rPr>
                <w:rFonts w:ascii="宋体" w:hAnsi="宋体"/>
                <w:color w:val="auto"/>
                <w:szCs w:val="21"/>
              </w:rPr>
              <w:t>分包内容</w:t>
            </w:r>
            <w:r>
              <w:rPr>
                <w:rFonts w:hint="eastAsia" w:ascii="宋体" w:hAnsi="宋体"/>
                <w:color w:val="auto"/>
                <w:szCs w:val="21"/>
              </w:rPr>
              <w:t>要求</w:t>
            </w:r>
            <w:r>
              <w:rPr>
                <w:rFonts w:ascii="宋体" w:hAnsi="宋体"/>
                <w:color w:val="auto"/>
                <w:szCs w:val="21"/>
              </w:rPr>
              <w:t>：</w:t>
            </w:r>
            <w:r>
              <w:rPr>
                <w:rFonts w:hint="eastAsia" w:ascii="宋体" w:hAnsi="宋体"/>
                <w:color w:val="auto"/>
                <w:szCs w:val="21"/>
                <w:u w:val="single"/>
              </w:rPr>
              <w:t xml:space="preserve">         </w:t>
            </w:r>
            <w:r>
              <w:rPr>
                <w:rFonts w:hint="eastAsia" w:ascii="宋体" w:hAnsi="宋体"/>
                <w:color w:val="auto"/>
                <w:szCs w:val="21"/>
              </w:rPr>
              <w:t>；</w:t>
            </w:r>
          </w:p>
          <w:p>
            <w:pPr>
              <w:ind w:firstLine="71" w:firstLineChars="34"/>
              <w:rPr>
                <w:rFonts w:hint="eastAsia" w:ascii="宋体" w:hAnsi="宋体"/>
                <w:color w:val="auto"/>
                <w:szCs w:val="21"/>
              </w:rPr>
            </w:pPr>
            <w:r>
              <w:rPr>
                <w:rFonts w:hint="eastAsia" w:ascii="宋体" w:hAnsi="宋体"/>
                <w:color w:val="auto"/>
                <w:szCs w:val="21"/>
              </w:rPr>
              <w:t xml:space="preserve">        分包金额要求：</w:t>
            </w:r>
            <w:r>
              <w:rPr>
                <w:rFonts w:hint="eastAsia" w:ascii="宋体" w:hAnsi="宋体"/>
                <w:color w:val="auto"/>
                <w:szCs w:val="21"/>
                <w:u w:val="single"/>
              </w:rPr>
              <w:t xml:space="preserve">         </w:t>
            </w:r>
            <w:r>
              <w:rPr>
                <w:rFonts w:hint="eastAsia" w:ascii="宋体" w:hAnsi="宋体"/>
                <w:color w:val="auto"/>
                <w:szCs w:val="21"/>
              </w:rPr>
              <w:t>；</w:t>
            </w:r>
          </w:p>
          <w:p>
            <w:pPr>
              <w:rPr>
                <w:rFonts w:hint="eastAsia" w:ascii="宋体" w:hAnsi="宋体"/>
                <w:color w:val="auto"/>
                <w:szCs w:val="21"/>
              </w:rPr>
            </w:pPr>
            <w:r>
              <w:rPr>
                <w:rFonts w:hint="eastAsia" w:ascii="宋体" w:hAnsi="宋体"/>
                <w:color w:val="auto"/>
                <w:szCs w:val="21"/>
              </w:rPr>
              <w:t xml:space="preserve">         接受分包的第三人资质要求：</w:t>
            </w:r>
            <w:r>
              <w:rPr>
                <w:rFonts w:hint="eastAsia" w:ascii="宋体" w:hAnsi="宋体"/>
                <w:color w:val="auto"/>
                <w:szCs w:val="21"/>
                <w:u w:val="single"/>
              </w:rPr>
              <w:t xml:space="preserve">         </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1.12</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偏离</w:t>
            </w:r>
          </w:p>
        </w:tc>
        <w:tc>
          <w:tcPr>
            <w:tcW w:w="3149" w:type="pct"/>
            <w:noWrap w:val="0"/>
            <w:tcMar>
              <w:top w:w="28" w:type="dxa"/>
              <w:bottom w:w="28" w:type="dxa"/>
            </w:tcMar>
            <w:vAlign w:val="center"/>
          </w:tcPr>
          <w:p>
            <w:pPr>
              <w:ind w:firstLine="71" w:firstLineChars="34"/>
              <w:rPr>
                <w:rFonts w:hint="eastAsia" w:ascii="宋体" w:hAnsi="宋体"/>
                <w:color w:val="auto"/>
                <w:szCs w:val="21"/>
              </w:rPr>
            </w:pPr>
            <w:r>
              <w:rPr>
                <w:rFonts w:hint="eastAsia" w:ascii="宋体" w:hAnsi="宋体"/>
                <w:color w:val="auto"/>
                <w:szCs w:val="21"/>
              </w:rPr>
              <w:t>□不允许；</w:t>
            </w:r>
          </w:p>
          <w:p>
            <w:pPr>
              <w:ind w:firstLine="71" w:firstLineChars="34"/>
              <w:rPr>
                <w:rFonts w:hint="eastAsia" w:ascii="宋体" w:hAnsi="宋体"/>
                <w:color w:val="auto"/>
                <w:szCs w:val="21"/>
                <w:u w:val="single"/>
              </w:rPr>
            </w:pPr>
            <w:r>
              <w:rPr>
                <w:rFonts w:hint="eastAsia" w:ascii="宋体" w:hAnsi="宋体"/>
                <w:color w:val="auto"/>
                <w:szCs w:val="21"/>
              </w:rPr>
              <w:t>□允许，偏离允许幅度及其处理办法：</w:t>
            </w:r>
            <w:r>
              <w:rPr>
                <w:rFonts w:ascii="宋体" w:hAnsi="宋体"/>
                <w:color w:val="auto"/>
                <w:szCs w:val="21"/>
                <w:u w:val="single"/>
              </w:rPr>
              <w:t> </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color w:val="auto"/>
              </w:rPr>
            </w:pPr>
            <w:r>
              <w:rPr>
                <w:rFonts w:hint="eastAsia" w:ascii="宋体" w:hAnsi="宋体"/>
                <w:color w:val="auto"/>
                <w:szCs w:val="21"/>
              </w:rPr>
              <w:t>2.1（9）</w:t>
            </w:r>
          </w:p>
        </w:tc>
        <w:tc>
          <w:tcPr>
            <w:tcW w:w="1277" w:type="pct"/>
            <w:noWrap w:val="0"/>
            <w:tcMar>
              <w:top w:w="28" w:type="dxa"/>
              <w:bottom w:w="28" w:type="dxa"/>
            </w:tcMar>
            <w:vAlign w:val="center"/>
          </w:tcPr>
          <w:p>
            <w:pPr>
              <w:jc w:val="center"/>
              <w:rPr>
                <w:rFonts w:hint="eastAsia"/>
                <w:color w:val="auto"/>
              </w:rPr>
            </w:pPr>
            <w:r>
              <w:rPr>
                <w:rFonts w:hint="eastAsia"/>
                <w:color w:val="auto"/>
              </w:rPr>
              <w:t>构成招标文件</w:t>
            </w:r>
          </w:p>
          <w:p>
            <w:pPr>
              <w:jc w:val="center"/>
              <w:rPr>
                <w:rFonts w:hint="eastAsia"/>
                <w:color w:val="auto"/>
              </w:rPr>
            </w:pPr>
            <w:r>
              <w:rPr>
                <w:rFonts w:hint="eastAsia"/>
                <w:color w:val="auto"/>
              </w:rPr>
              <w:t>的其他材料</w:t>
            </w:r>
          </w:p>
        </w:tc>
        <w:tc>
          <w:tcPr>
            <w:tcW w:w="3149" w:type="pct"/>
            <w:noWrap w:val="0"/>
            <w:tcMar>
              <w:top w:w="28" w:type="dxa"/>
              <w:bottom w:w="28" w:type="dxa"/>
            </w:tcMar>
            <w:vAlign w:val="center"/>
          </w:tcPr>
          <w:p>
            <w:pPr>
              <w:jc w:val="left"/>
              <w:rPr>
                <w:color w:val="FF0000"/>
                <w:u w:val="single"/>
              </w:rPr>
            </w:pPr>
            <w:r>
              <w:rPr>
                <w:rFonts w:hint="eastAsia"/>
                <w:color w:val="FF0000"/>
                <w:u w:val="single"/>
              </w:rPr>
              <w:t xml:space="preserve">                          </w:t>
            </w:r>
            <w:r>
              <w:rPr>
                <w:color w:val="FF0000"/>
                <w:u w:val="single"/>
              </w:rPr>
              <w:t xml:space="preserve">                   </w:t>
            </w:r>
          </w:p>
          <w:p>
            <w:pPr>
              <w:jc w:val="left"/>
              <w:rPr>
                <w:color w:val="FF0000"/>
                <w:u w:val="single"/>
              </w:rPr>
            </w:pPr>
            <w:r>
              <w:rPr>
                <w:color w:val="FF0000"/>
                <w:u w:val="single"/>
              </w:rPr>
              <w:t xml:space="preserve">                                            </w:t>
            </w:r>
            <w:r>
              <w:rPr>
                <w:rFonts w:hint="eastAsia"/>
                <w:color w:val="FF0000"/>
                <w:u w:val="single"/>
              </w:rPr>
              <w:t xml:space="preserve"> </w:t>
            </w:r>
          </w:p>
          <w:p>
            <w:pPr>
              <w:ind w:firstLine="71" w:firstLineChars="34"/>
              <w:rPr>
                <w:rFonts w:hint="eastAsia" w:ascii="宋体" w:hAnsi="宋体" w:eastAsia="宋体"/>
                <w:color w:val="auto"/>
                <w:szCs w:val="21"/>
                <w:lang w:eastAsia="zh-CN"/>
              </w:rPr>
            </w:pPr>
            <w:r>
              <w:rPr>
                <w:rFonts w:hint="eastAsia"/>
                <w:color w:val="FF0000"/>
              </w:rPr>
              <w:t>（招标人或招标代理机构应明确需要补充的若干项具体内容，投标人按补充的具体内容一一对应上传</w:t>
            </w:r>
            <w:r>
              <w:rPr>
                <w:rFonts w:hint="eastAsia"/>
                <w:color w:val="FF000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2.2.1</w:t>
            </w:r>
          </w:p>
        </w:tc>
        <w:tc>
          <w:tcPr>
            <w:tcW w:w="1277" w:type="pct"/>
            <w:noWrap w:val="0"/>
            <w:tcMar>
              <w:top w:w="28" w:type="dxa"/>
              <w:bottom w:w="28" w:type="dxa"/>
            </w:tcMar>
            <w:vAlign w:val="center"/>
          </w:tcPr>
          <w:p>
            <w:pPr>
              <w:jc w:val="center"/>
              <w:rPr>
                <w:rFonts w:hint="eastAsia"/>
                <w:color w:val="auto"/>
              </w:rPr>
            </w:pPr>
            <w:r>
              <w:rPr>
                <w:rFonts w:hint="eastAsia"/>
                <w:color w:val="auto"/>
              </w:rPr>
              <w:t>投标人要求</w:t>
            </w:r>
          </w:p>
          <w:p>
            <w:pPr>
              <w:jc w:val="center"/>
              <w:rPr>
                <w:rFonts w:hint="eastAsia"/>
                <w:color w:val="auto"/>
              </w:rPr>
            </w:pPr>
            <w:r>
              <w:rPr>
                <w:rFonts w:hint="eastAsia"/>
                <w:color w:val="auto"/>
              </w:rPr>
              <w:t>澄清招标文件</w:t>
            </w:r>
          </w:p>
          <w:p>
            <w:pPr>
              <w:jc w:val="center"/>
              <w:rPr>
                <w:rFonts w:hint="eastAsia"/>
                <w:color w:val="auto"/>
              </w:rPr>
            </w:pPr>
            <w:r>
              <w:rPr>
                <w:rFonts w:hint="eastAsia"/>
                <w:color w:val="auto"/>
              </w:rPr>
              <w:t>的截止时间</w:t>
            </w:r>
          </w:p>
        </w:tc>
        <w:tc>
          <w:tcPr>
            <w:tcW w:w="3149" w:type="pct"/>
            <w:noWrap w:val="0"/>
            <w:tcMar>
              <w:top w:w="28" w:type="dxa"/>
              <w:bottom w:w="28" w:type="dxa"/>
            </w:tcMar>
            <w:vAlign w:val="center"/>
          </w:tcPr>
          <w:p>
            <w:pPr>
              <w:rPr>
                <w:rFonts w:hint="eastAsia"/>
                <w:color w:val="auto"/>
              </w:rPr>
            </w:pPr>
            <w:r>
              <w:rPr>
                <w:rFonts w:hint="eastAsia"/>
                <w:color w:val="auto"/>
                <w:szCs w:val="21"/>
              </w:rPr>
              <w:t>递交投标文件截止之日</w:t>
            </w:r>
            <w:r>
              <w:rPr>
                <w:color w:val="auto"/>
                <w:szCs w:val="21"/>
                <w:u w:val="single"/>
              </w:rPr>
              <w:t xml:space="preserve"> </w:t>
            </w:r>
            <w:r>
              <w:rPr>
                <w:rFonts w:hint="eastAsia"/>
                <w:color w:val="auto"/>
                <w:szCs w:val="21"/>
                <w:u w:val="single"/>
              </w:rPr>
              <w:t xml:space="preserve">  </w:t>
            </w:r>
            <w:r>
              <w:rPr>
                <w:rFonts w:hint="eastAsia"/>
                <w:color w:val="auto"/>
                <w:szCs w:val="21"/>
              </w:rPr>
              <w:t>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color w:val="auto"/>
              </w:rPr>
            </w:pPr>
            <w:r>
              <w:rPr>
                <w:rFonts w:hint="eastAsia" w:ascii="宋体" w:hAnsi="宋体"/>
                <w:color w:val="auto"/>
                <w:szCs w:val="21"/>
              </w:rPr>
              <w:t>3.1.1</w:t>
            </w:r>
            <w:r>
              <w:rPr>
                <w:rFonts w:hint="eastAsia" w:ascii="宋体" w:hAnsi="宋体"/>
                <w:color w:val="auto"/>
              </w:rPr>
              <w:t>（10）</w:t>
            </w:r>
          </w:p>
        </w:tc>
        <w:tc>
          <w:tcPr>
            <w:tcW w:w="1277" w:type="pct"/>
            <w:noWrap w:val="0"/>
            <w:tcMar>
              <w:top w:w="28" w:type="dxa"/>
              <w:bottom w:w="28" w:type="dxa"/>
            </w:tcMar>
            <w:vAlign w:val="center"/>
          </w:tcPr>
          <w:p>
            <w:pPr>
              <w:jc w:val="center"/>
              <w:rPr>
                <w:rFonts w:hint="eastAsia"/>
                <w:color w:val="auto"/>
              </w:rPr>
            </w:pPr>
            <w:r>
              <w:rPr>
                <w:rFonts w:hint="eastAsia"/>
                <w:color w:val="auto"/>
              </w:rPr>
              <w:t>构成投标文件</w:t>
            </w:r>
          </w:p>
          <w:p>
            <w:pPr>
              <w:jc w:val="center"/>
              <w:rPr>
                <w:rFonts w:hint="eastAsia"/>
                <w:color w:val="auto"/>
              </w:rPr>
            </w:pPr>
            <w:r>
              <w:rPr>
                <w:rFonts w:hint="eastAsia"/>
                <w:color w:val="auto"/>
              </w:rPr>
              <w:t>的其他材料</w:t>
            </w:r>
          </w:p>
        </w:tc>
        <w:tc>
          <w:tcPr>
            <w:tcW w:w="3149" w:type="pct"/>
            <w:noWrap w:val="0"/>
            <w:tcMar>
              <w:top w:w="28" w:type="dxa"/>
              <w:bottom w:w="28" w:type="dxa"/>
            </w:tcMar>
            <w:vAlign w:val="center"/>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3.3</w:t>
            </w:r>
            <w:r>
              <w:rPr>
                <w:rFonts w:hint="eastAsia" w:ascii="宋体" w:hAnsi="宋体"/>
                <w:color w:val="auto"/>
                <w:szCs w:val="21"/>
              </w:rPr>
              <w:t>.1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投标有效期</w:t>
            </w:r>
          </w:p>
        </w:tc>
        <w:tc>
          <w:tcPr>
            <w:tcW w:w="3149" w:type="pct"/>
            <w:noWrap w:val="0"/>
            <w:tcMar>
              <w:top w:w="28" w:type="dxa"/>
              <w:bottom w:w="28" w:type="dxa"/>
            </w:tcMar>
            <w:vAlign w:val="center"/>
          </w:tcPr>
          <w:p>
            <w:pPr>
              <w:rPr>
                <w:rFonts w:ascii="宋体" w:hAnsi="宋体"/>
                <w:color w:val="auto"/>
                <w:szCs w:val="21"/>
              </w:rPr>
            </w:pPr>
            <w:r>
              <w:rPr>
                <w:rFonts w:hint="eastAsia" w:ascii="宋体" w:hAnsi="宋体"/>
                <w:caps/>
                <w:color w:val="auto"/>
                <w:szCs w:val="21"/>
              </w:rPr>
              <w:t>自投标截止时间起</w:t>
            </w:r>
            <w:r>
              <w:rPr>
                <w:rFonts w:hint="eastAsia" w:ascii="宋体" w:hAnsi="宋体"/>
                <w:caps/>
                <w:color w:val="auto"/>
                <w:szCs w:val="21"/>
                <w:u w:val="single"/>
              </w:rPr>
              <w:t xml:space="preserve">     </w:t>
            </w:r>
            <w:r>
              <w:rPr>
                <w:rFonts w:hint="eastAsia" w:ascii="宋体" w:hAnsi="宋体"/>
                <w:caps/>
                <w:color w:val="auto"/>
                <w:szCs w:val="21"/>
              </w:rPr>
              <w:t>日内有效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3.4.1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投标保证金</w:t>
            </w:r>
          </w:p>
        </w:tc>
        <w:tc>
          <w:tcPr>
            <w:tcW w:w="3149" w:type="pct"/>
            <w:noWrap w:val="0"/>
            <w:tcMar>
              <w:top w:w="28" w:type="dxa"/>
              <w:bottom w:w="28" w:type="dxa"/>
            </w:tcMar>
            <w:vAlign w:val="center"/>
          </w:tcPr>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口不提交</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口提交，</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1．投标保证金的金额：人民币（大写）    元（¥    元）。</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2．投标保证金交纳方式：投标人（联合体牵头人）在投标文件递交截止时间前缴纳至公共资源交易中心投标保证金专用账户（以银行到账时间为准）。</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开户单位：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开户银行：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 xml:space="preserve">开户账号：                             </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3. 投标保证金递交形式：</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口银行转账（柜面转账、网银支付）：应当从其基本账户转出</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口银行保函（电子保函）：应当通过襄阳市公共资源交易平台“电子保函管理系统”选择已完成对接测试的银行出具</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特别提示：</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在投标保证金递交截止时间前未按规定金额、未按规定的递交方式、未从基本存款帐户（银行保函除外）汇至招标人指定的帐户视其未提交投标保证金。</w:t>
            </w:r>
          </w:p>
          <w:p>
            <w:pPr>
              <w:widowControl/>
              <w:ind w:left="-46" w:leftChars="-22"/>
              <w:jc w:val="left"/>
              <w:rPr>
                <w:rFonts w:hint="eastAsia" w:ascii="宋体" w:hAnsi="宋体" w:eastAsia="宋体" w:cs="宋体"/>
                <w:color w:val="auto"/>
                <w:kern w:val="0"/>
                <w:sz w:val="21"/>
                <w:szCs w:val="21"/>
                <w:highlight w:val="yellow"/>
                <w:lang w:val="en-US" w:eastAsia="zh-CN" w:bidi="ar-SA"/>
              </w:rPr>
            </w:pPr>
            <w:r>
              <w:rPr>
                <w:rFonts w:hint="eastAsia" w:ascii="宋体" w:hAnsi="宋体" w:eastAsia="宋体" w:cs="宋体"/>
                <w:color w:val="auto"/>
                <w:kern w:val="0"/>
                <w:sz w:val="21"/>
                <w:szCs w:val="21"/>
                <w:highlight w:val="yellow"/>
                <w:lang w:val="en-US" w:eastAsia="zh-CN" w:bidi="ar-SA"/>
              </w:rPr>
              <w:t>投标保证金咨询电话：0710-3223870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autoSpaceDE w:val="0"/>
              <w:autoSpaceDN w:val="0"/>
              <w:adjustRightInd w:val="0"/>
              <w:jc w:val="center"/>
              <w:rPr>
                <w:rFonts w:hint="eastAsia" w:ascii="宋体" w:hAnsi="宋体"/>
                <w:color w:val="auto"/>
                <w:szCs w:val="21"/>
              </w:rPr>
            </w:pPr>
            <w:r>
              <w:rPr>
                <w:rFonts w:hint="eastAsia" w:ascii="宋体" w:hAnsi="宋体"/>
                <w:color w:val="auto"/>
                <w:szCs w:val="21"/>
              </w:rPr>
              <w:t>3.4.3</w:t>
            </w:r>
          </w:p>
        </w:tc>
        <w:tc>
          <w:tcPr>
            <w:tcW w:w="1277" w:type="pct"/>
            <w:noWrap w:val="0"/>
            <w:tcMar>
              <w:top w:w="28" w:type="dxa"/>
              <w:bottom w:w="28" w:type="dxa"/>
            </w:tcMar>
            <w:vAlign w:val="center"/>
          </w:tcPr>
          <w:p>
            <w:pPr>
              <w:adjustRightInd w:val="0"/>
              <w:snapToGrid w:val="0"/>
              <w:ind w:firstLine="420" w:firstLineChars="200"/>
              <w:rPr>
                <w:rFonts w:hint="eastAsia" w:ascii="宋体" w:hAnsi="宋体"/>
                <w:snapToGrid w:val="0"/>
                <w:color w:val="auto"/>
                <w:szCs w:val="21"/>
              </w:rPr>
            </w:pPr>
            <w:r>
              <w:rPr>
                <w:rFonts w:hint="eastAsia" w:ascii="宋体" w:hAnsi="宋体"/>
                <w:snapToGrid w:val="0"/>
                <w:color w:val="auto"/>
                <w:szCs w:val="21"/>
              </w:rPr>
              <w:t>退还投标保证金</w:t>
            </w:r>
          </w:p>
          <w:p>
            <w:pPr>
              <w:jc w:val="center"/>
              <w:rPr>
                <w:rFonts w:hint="eastAsia" w:ascii="宋体" w:hAnsi="宋体"/>
                <w:color w:val="auto"/>
                <w:szCs w:val="21"/>
              </w:rPr>
            </w:pPr>
            <w:r>
              <w:rPr>
                <w:rFonts w:hint="eastAsia" w:ascii="宋体" w:hAnsi="宋体"/>
                <w:snapToGrid w:val="0"/>
                <w:color w:val="auto"/>
                <w:szCs w:val="21"/>
              </w:rPr>
              <w:t>及利息</w:t>
            </w:r>
          </w:p>
        </w:tc>
        <w:tc>
          <w:tcPr>
            <w:tcW w:w="3149" w:type="pct"/>
            <w:noWrap w:val="0"/>
            <w:tcMar>
              <w:top w:w="28" w:type="dxa"/>
              <w:bottom w:w="28" w:type="dxa"/>
            </w:tcMar>
            <w:vAlign w:val="center"/>
          </w:tcPr>
          <w:p>
            <w:pPr>
              <w:ind w:left="1050" w:hanging="1050" w:hangingChars="500"/>
              <w:rPr>
                <w:color w:val="auto"/>
                <w:szCs w:val="21"/>
              </w:rPr>
            </w:pPr>
            <w:r>
              <w:rPr>
                <w:color w:val="auto"/>
              </w:rPr>
              <w:t>计息标准：人民银行同期活期存款利率</w:t>
            </w:r>
            <w:r>
              <w:rPr>
                <w:color w:val="auto"/>
              </w:rPr>
              <w:br w:type="textWrapping"/>
            </w:r>
            <w:r>
              <w:rPr>
                <w:color w:val="auto"/>
              </w:rPr>
              <w:t>计息时间：投标保证金到账之日至退还的前一日</w:t>
            </w:r>
            <w:r>
              <w:rPr>
                <w:color w:val="auto"/>
              </w:rPr>
              <w:br w:type="textWrapping"/>
            </w:r>
            <w:r>
              <w:rPr>
                <w:color w:val="auto"/>
              </w:rPr>
              <w:t>退还办法：退还投标保证金及利息的，按来款渠道退还。</w:t>
            </w:r>
            <w:r>
              <w:rPr>
                <w:color w:val="auto"/>
              </w:rPr>
              <w:br w:type="textWrapping"/>
            </w:r>
            <w:r>
              <w:rPr>
                <w:color w:val="auto"/>
              </w:rPr>
              <w:t>退还投标保证金时间（现金方式缴纳的，同时退还同期银行活期存款利息）：</w:t>
            </w:r>
            <w:r>
              <w:rPr>
                <w:color w:val="auto"/>
              </w:rPr>
              <w:br w:type="textWrapping"/>
            </w:r>
            <w:r>
              <w:rPr>
                <w:color w:val="auto"/>
              </w:rPr>
              <w:t>（1）招标人终止招标的，应当及时发布公告，发布公告后2个工作日内，退还所收取的投标保证金及银行同期存款利息。</w:t>
            </w:r>
            <w:r>
              <w:rPr>
                <w:color w:val="auto"/>
              </w:rPr>
              <w:br w:type="textWrapping"/>
            </w:r>
            <w:r>
              <w:rPr>
                <w:color w:val="auto"/>
              </w:rPr>
              <w:t>（2）招标项目中标候选人公示期满后2个工作日内，退还中标侯选人之外的投标人投标保证金及银行同期存款利息。</w:t>
            </w:r>
            <w:r>
              <w:rPr>
                <w:color w:val="auto"/>
              </w:rPr>
              <w:br w:type="textWrapping"/>
            </w:r>
            <w:r>
              <w:rPr>
                <w:color w:val="auto"/>
              </w:rPr>
              <w:t>（3）招标项目中标结果公示发布后2个工作日内，退还中标人之外的中标候选人投标保证金及银行同期存款利息。</w:t>
            </w:r>
            <w:r>
              <w:rPr>
                <w:color w:val="auto"/>
              </w:rPr>
              <w:br w:type="textWrapping"/>
            </w:r>
            <w:r>
              <w:rPr>
                <w:color w:val="auto"/>
              </w:rPr>
              <w:t>（4）书面合同签订后，由招标人向市公共资源交易监督管理局提出备案申请，市公共资源交易中心收到备案通知书后2个工作日内，退还中标人投标保证金及银行同期存款利息。</w:t>
            </w:r>
            <w:r>
              <w:rPr>
                <w:color w:val="auto"/>
              </w:rPr>
              <w:br w:type="textWrapping"/>
            </w:r>
            <w:r>
              <w:rPr>
                <w:color w:val="auto"/>
              </w:rPr>
              <w:t>特别说明：上述几种情况，投标保证金的退还无需招标人提交申请，遇特殊情况不能及时退还的，参照以下方式处理：1.招标人与中标人在中标通知书约定时间内未签订合同,经招标人向市公共资源交易中心提出书面意见，可退还其投标保证金及银行同期存款利息。2.招标人与中标人在投标有效期到期后仍未签订合同，经招标人向市公共资源交易中心提出书面意见，可退还其投标保证金及银行同期存款利息。3.中标候选人公示期内，如有质疑投诉等，需暂缓退还保证金的，由招标人在公示期结束前提出书面意见，市公共资源交易中心按意见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color w:val="auto"/>
              </w:rPr>
            </w:pPr>
            <w:r>
              <w:rPr>
                <w:rFonts w:hint="eastAsia" w:ascii="宋体" w:hAnsi="宋体"/>
                <w:color w:val="auto"/>
                <w:szCs w:val="21"/>
              </w:rPr>
              <w:t>3.6</w:t>
            </w:r>
          </w:p>
        </w:tc>
        <w:tc>
          <w:tcPr>
            <w:tcW w:w="1277" w:type="pct"/>
            <w:noWrap w:val="0"/>
            <w:tcMar>
              <w:top w:w="28" w:type="dxa"/>
              <w:bottom w:w="28" w:type="dxa"/>
            </w:tcMar>
            <w:vAlign w:val="center"/>
          </w:tcPr>
          <w:p>
            <w:pPr>
              <w:jc w:val="center"/>
              <w:rPr>
                <w:rFonts w:hint="eastAsia"/>
                <w:color w:val="auto"/>
              </w:rPr>
            </w:pPr>
            <w:r>
              <w:rPr>
                <w:rFonts w:hint="eastAsia"/>
                <w:color w:val="auto"/>
              </w:rPr>
              <w:t>是否允许递交</w:t>
            </w:r>
          </w:p>
          <w:p>
            <w:pPr>
              <w:jc w:val="center"/>
              <w:rPr>
                <w:rFonts w:hint="eastAsia"/>
                <w:color w:val="auto"/>
              </w:rPr>
            </w:pPr>
            <w:r>
              <w:rPr>
                <w:rFonts w:hint="eastAsia"/>
                <w:color w:val="auto"/>
              </w:rPr>
              <w:t>备选投标方案</w:t>
            </w:r>
          </w:p>
        </w:tc>
        <w:tc>
          <w:tcPr>
            <w:tcW w:w="3149" w:type="pct"/>
            <w:noWrap w:val="0"/>
            <w:tcMar>
              <w:top w:w="28" w:type="dxa"/>
              <w:bottom w:w="28" w:type="dxa"/>
            </w:tcMar>
            <w:vAlign w:val="center"/>
          </w:tcPr>
          <w:p>
            <w:pPr>
              <w:rPr>
                <w:rFonts w:hint="eastAsia"/>
                <w:color w:val="auto"/>
              </w:rPr>
            </w:pPr>
            <w:r>
              <w:rPr>
                <w:rFonts w:hint="eastAsia"/>
                <w:color w:val="auto"/>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4.2.1</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投标截止时间</w:t>
            </w:r>
          </w:p>
        </w:tc>
        <w:tc>
          <w:tcPr>
            <w:tcW w:w="3149" w:type="pct"/>
            <w:noWrap w:val="0"/>
            <w:tcMar>
              <w:top w:w="28" w:type="dxa"/>
              <w:bottom w:w="28" w:type="dxa"/>
            </w:tcMar>
            <w:vAlign w:val="center"/>
          </w:tcPr>
          <w:p>
            <w:pPr>
              <w:rPr>
                <w:rFonts w:hint="eastAsia" w:ascii="宋体" w:hAnsi="宋体" w:cs="宋体"/>
                <w:color w:val="auto"/>
                <w:kern w:val="0"/>
                <w:szCs w:val="21"/>
              </w:rPr>
            </w:pPr>
            <w:r>
              <w:rPr>
                <w:rFonts w:hint="eastAsia" w:ascii="宋体" w:hAnsi="宋体"/>
                <w:color w:val="auto"/>
                <w:kern w:val="0"/>
                <w:szCs w:val="21"/>
                <w:u w:val="single"/>
              </w:rPr>
              <w:t>　　　</w:t>
            </w:r>
            <w:r>
              <w:rPr>
                <w:rFonts w:hint="eastAsia" w:ascii="宋体" w:hAnsi="宋体"/>
                <w:color w:val="auto"/>
                <w:kern w:val="0"/>
                <w:szCs w:val="21"/>
              </w:rPr>
              <w:t>年</w:t>
            </w:r>
            <w:r>
              <w:rPr>
                <w:rFonts w:hint="eastAsia" w:ascii="宋体" w:hAnsi="宋体"/>
                <w:color w:val="auto"/>
                <w:kern w:val="0"/>
                <w:szCs w:val="21"/>
                <w:u w:val="single"/>
              </w:rPr>
              <w:t xml:space="preserve">　  </w:t>
            </w:r>
            <w:r>
              <w:rPr>
                <w:rFonts w:hint="eastAsia" w:ascii="宋体" w:hAnsi="宋体"/>
                <w:color w:val="auto"/>
                <w:kern w:val="0"/>
                <w:szCs w:val="21"/>
              </w:rPr>
              <w:t>月</w:t>
            </w:r>
            <w:r>
              <w:rPr>
                <w:rFonts w:hint="eastAsia" w:ascii="宋体" w:hAnsi="宋体"/>
                <w:color w:val="auto"/>
                <w:kern w:val="0"/>
                <w:szCs w:val="21"/>
                <w:u w:val="single"/>
              </w:rPr>
              <w:t xml:space="preserve">  　</w:t>
            </w:r>
            <w:r>
              <w:rPr>
                <w:rFonts w:hint="eastAsia" w:ascii="宋体" w:hAnsi="宋体"/>
                <w:color w:val="auto"/>
                <w:kern w:val="0"/>
                <w:szCs w:val="21"/>
              </w:rPr>
              <w:t>日</w:t>
            </w:r>
            <w:r>
              <w:rPr>
                <w:rFonts w:hint="eastAsia" w:ascii="宋体" w:hAnsi="宋体"/>
                <w:color w:val="auto"/>
                <w:kern w:val="0"/>
                <w:szCs w:val="21"/>
                <w:u w:val="single"/>
              </w:rPr>
              <w:t xml:space="preserve">     </w:t>
            </w:r>
            <w:r>
              <w:rPr>
                <w:rFonts w:hint="eastAsia" w:ascii="宋体" w:hAnsi="宋体"/>
                <w:color w:val="auto"/>
                <w:kern w:val="0"/>
                <w:szCs w:val="21"/>
              </w:rPr>
              <w:t>时</w:t>
            </w:r>
            <w:r>
              <w:rPr>
                <w:rFonts w:hint="eastAsia" w:ascii="宋体" w:hAnsi="宋体"/>
                <w:color w:val="auto"/>
                <w:kern w:val="0"/>
                <w:szCs w:val="21"/>
                <w:u w:val="single"/>
              </w:rPr>
              <w:t xml:space="preserve">    </w:t>
            </w:r>
            <w:r>
              <w:rPr>
                <w:rFonts w:hint="eastAsia" w:ascii="宋体" w:hAnsi="宋体"/>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4</w:t>
            </w:r>
            <w:r>
              <w:rPr>
                <w:rFonts w:ascii="宋体" w:hAnsi="宋体"/>
                <w:color w:val="auto"/>
                <w:szCs w:val="21"/>
              </w:rPr>
              <w:t>.2.3</w:t>
            </w:r>
          </w:p>
        </w:tc>
        <w:tc>
          <w:tcPr>
            <w:tcW w:w="1277" w:type="pct"/>
            <w:noWrap w:val="0"/>
            <w:tcMar>
              <w:top w:w="28" w:type="dxa"/>
              <w:bottom w:w="28" w:type="dxa"/>
            </w:tcMar>
            <w:vAlign w:val="center"/>
          </w:tcPr>
          <w:p>
            <w:pPr>
              <w:jc w:val="center"/>
              <w:rPr>
                <w:rFonts w:hint="eastAsia"/>
                <w:color w:val="auto"/>
              </w:rPr>
            </w:pPr>
            <w:r>
              <w:rPr>
                <w:rFonts w:hint="eastAsia"/>
                <w:color w:val="auto"/>
              </w:rPr>
              <w:t>是否退还投标文件</w:t>
            </w:r>
          </w:p>
        </w:tc>
        <w:tc>
          <w:tcPr>
            <w:tcW w:w="3149" w:type="pct"/>
            <w:noWrap w:val="0"/>
            <w:tcMar>
              <w:top w:w="28" w:type="dxa"/>
              <w:bottom w:w="28" w:type="dxa"/>
            </w:tcMar>
            <w:vAlign w:val="center"/>
          </w:tcPr>
          <w:p>
            <w:pPr>
              <w:spacing w:line="288" w:lineRule="auto"/>
              <w:rPr>
                <w:rFonts w:hint="eastAsia"/>
                <w:color w:val="auto"/>
              </w:rPr>
            </w:pPr>
            <w:r>
              <w:rPr>
                <w:rFonts w:hint="eastAsia"/>
                <w:color w:val="auto"/>
              </w:rPr>
              <w:t>□否</w:t>
            </w:r>
          </w:p>
          <w:p>
            <w:pPr>
              <w:spacing w:line="288" w:lineRule="auto"/>
              <w:rPr>
                <w:rFonts w:hint="eastAsia"/>
                <w:color w:val="auto"/>
                <w:u w:val="single"/>
              </w:rPr>
            </w:pPr>
            <w:r>
              <w:rPr>
                <w:rFonts w:hint="eastAsia"/>
                <w:color w:val="auto"/>
              </w:rPr>
              <w:t>□是，退还安排：</w:t>
            </w:r>
            <w:r>
              <w:rPr>
                <w:rFonts w:hint="eastAsia"/>
                <w:color w:val="auto"/>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5.1</w:t>
            </w:r>
            <w:r>
              <w:rPr>
                <w:rFonts w:hint="eastAsia" w:ascii="宋体" w:hAnsi="宋体"/>
                <w:color w:val="auto"/>
                <w:szCs w:val="21"/>
              </w:rPr>
              <w:t>.</w:t>
            </w:r>
            <w:r>
              <w:rPr>
                <w:rFonts w:ascii="宋体" w:hAnsi="宋体"/>
                <w:color w:val="auto"/>
                <w:szCs w:val="21"/>
              </w:rPr>
              <w:t>2</w:t>
            </w:r>
          </w:p>
        </w:tc>
        <w:tc>
          <w:tcPr>
            <w:tcW w:w="1277"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组织开标地点</w:t>
            </w:r>
          </w:p>
        </w:tc>
        <w:tc>
          <w:tcPr>
            <w:tcW w:w="3149" w:type="pct"/>
            <w:noWrap w:val="0"/>
            <w:tcMar>
              <w:top w:w="28" w:type="dxa"/>
              <w:bottom w:w="28" w:type="dxa"/>
            </w:tcMar>
            <w:vAlign w:val="center"/>
          </w:tcPr>
          <w:p>
            <w:pPr>
              <w:rPr>
                <w:rFonts w:ascii="宋体" w:hAnsi="宋体"/>
                <w:color w:val="auto"/>
                <w:szCs w:val="21"/>
              </w:rPr>
            </w:pPr>
            <w:r>
              <w:rPr>
                <w:rFonts w:hint="eastAsia"/>
                <w:color w:val="auto"/>
                <w:szCs w:val="21"/>
              </w:rPr>
              <w:t>襄阳市公共资源交易中心</w:t>
            </w:r>
            <w:r>
              <w:rPr>
                <w:rFonts w:hint="eastAsia"/>
                <w:color w:val="auto"/>
                <w:szCs w:val="21"/>
                <w:u w:val="single"/>
              </w:rPr>
              <w:t xml:space="preserve">   </w:t>
            </w:r>
            <w:r>
              <w:rPr>
                <w:rFonts w:hint="eastAsia"/>
                <w:color w:val="auto"/>
                <w:szCs w:val="21"/>
              </w:rPr>
              <w:t>号开标室（地址：襄阳市高新区汉江北路16号六楼）。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5.2.1（</w:t>
            </w:r>
            <w:r>
              <w:rPr>
                <w:rFonts w:ascii="宋体" w:hAnsi="宋体"/>
                <w:color w:val="auto"/>
                <w:szCs w:val="21"/>
              </w:rPr>
              <w:t>6</w:t>
            </w:r>
            <w:r>
              <w:rPr>
                <w:rFonts w:hint="eastAsia" w:ascii="宋体" w:hAnsi="宋体"/>
                <w:color w:val="auto"/>
                <w:szCs w:val="21"/>
              </w:rPr>
              <w:t>）</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解密时间</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招标人发出解密提示后</w:t>
            </w:r>
            <w:r>
              <w:rPr>
                <w:rFonts w:hint="eastAsia" w:ascii="宋体" w:hAnsi="宋体"/>
                <w:color w:val="auto"/>
                <w:szCs w:val="21"/>
                <w:u w:val="single"/>
              </w:rPr>
              <w:t xml:space="preserve">  30 </w:t>
            </w:r>
            <w:r>
              <w:rPr>
                <w:rFonts w:hint="eastAsia" w:ascii="宋体" w:hAnsi="宋体"/>
                <w:color w:val="auto"/>
                <w:szCs w:val="21"/>
              </w:rPr>
              <w:t>分钟内</w:t>
            </w:r>
          </w:p>
          <w:p>
            <w:pPr>
              <w:rPr>
                <w:rFonts w:hint="eastAsia" w:ascii="宋体" w:hAnsi="宋体"/>
                <w:color w:val="auto"/>
                <w:szCs w:val="21"/>
              </w:rPr>
            </w:pPr>
            <w:r>
              <w:rPr>
                <w:rFonts w:hint="eastAsia" w:ascii="宋体" w:hAnsi="宋体"/>
                <w:color w:val="auto"/>
                <w:szCs w:val="21"/>
              </w:rPr>
              <w:t>（招标人应充分考虑标段数和投标人数量，合理设置解密时间，该时间不应少于20分钟）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6.1.1</w:t>
            </w:r>
          </w:p>
        </w:tc>
        <w:tc>
          <w:tcPr>
            <w:tcW w:w="1277"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评标委员会的组建</w:t>
            </w:r>
          </w:p>
        </w:tc>
        <w:tc>
          <w:tcPr>
            <w:tcW w:w="3149" w:type="pct"/>
            <w:noWrap w:val="0"/>
            <w:tcMar>
              <w:top w:w="28" w:type="dxa"/>
              <w:bottom w:w="28" w:type="dxa"/>
            </w:tcMar>
            <w:vAlign w:val="center"/>
          </w:tcPr>
          <w:p>
            <w:pPr>
              <w:rPr>
                <w:rFonts w:hint="eastAsia"/>
                <w:color w:val="auto"/>
                <w:szCs w:val="21"/>
              </w:rPr>
            </w:pPr>
            <w:r>
              <w:rPr>
                <w:color w:val="auto"/>
                <w:szCs w:val="21"/>
              </w:rPr>
              <w:t>评标委员会</w:t>
            </w:r>
            <w:r>
              <w:rPr>
                <w:rFonts w:hint="eastAsia"/>
                <w:color w:val="auto"/>
                <w:szCs w:val="21"/>
              </w:rPr>
              <w:t>构成：</w:t>
            </w:r>
            <w:r>
              <w:rPr>
                <w:rFonts w:hint="eastAsia"/>
                <w:color w:val="auto"/>
                <w:szCs w:val="21"/>
                <w:u w:val="single"/>
              </w:rPr>
              <w:t xml:space="preserve">   </w:t>
            </w:r>
            <w:r>
              <w:rPr>
                <w:rFonts w:hint="eastAsia"/>
                <w:color w:val="auto"/>
                <w:szCs w:val="21"/>
              </w:rPr>
              <w:t>人，其中招标人代表</w:t>
            </w:r>
            <w:r>
              <w:rPr>
                <w:rFonts w:hint="eastAsia"/>
                <w:color w:val="auto"/>
                <w:szCs w:val="21"/>
                <w:u w:val="single"/>
              </w:rPr>
              <w:t xml:space="preserve">   </w:t>
            </w:r>
            <w:r>
              <w:rPr>
                <w:rFonts w:hint="eastAsia"/>
                <w:color w:val="auto"/>
                <w:szCs w:val="21"/>
              </w:rPr>
              <w:t>人，专家</w:t>
            </w:r>
            <w:r>
              <w:rPr>
                <w:rFonts w:hint="eastAsia"/>
                <w:color w:val="auto"/>
                <w:szCs w:val="21"/>
                <w:u w:val="single"/>
              </w:rPr>
              <w:t xml:space="preserve">   </w:t>
            </w:r>
            <w:r>
              <w:rPr>
                <w:rFonts w:hint="eastAsia"/>
                <w:color w:val="auto"/>
                <w:szCs w:val="21"/>
              </w:rPr>
              <w:t>人；</w:t>
            </w:r>
          </w:p>
          <w:p>
            <w:pPr>
              <w:rPr>
                <w:color w:val="auto"/>
                <w:szCs w:val="21"/>
              </w:rPr>
            </w:pPr>
            <w:r>
              <w:rPr>
                <w:color w:val="auto"/>
                <w:szCs w:val="21"/>
              </w:rPr>
              <w:t>评标专家确定方式</w:t>
            </w:r>
            <w:r>
              <w:rPr>
                <w:rFonts w:hint="eastAsia"/>
                <w:color w:val="auto"/>
                <w:szCs w:val="21"/>
              </w:rPr>
              <w:t>：除招标人代表外，其他专家从湖北省综合评标（评审）专家库或襄阳市区域性评标（评审）专家库相应专业中随机抽取产生。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6</w:t>
            </w:r>
            <w:r>
              <w:rPr>
                <w:rFonts w:ascii="宋体" w:hAnsi="宋体"/>
                <w:color w:val="auto"/>
                <w:szCs w:val="21"/>
              </w:rPr>
              <w:t>.4</w:t>
            </w:r>
          </w:p>
        </w:tc>
        <w:tc>
          <w:tcPr>
            <w:tcW w:w="1277" w:type="pct"/>
            <w:noWrap w:val="0"/>
            <w:tcMar>
              <w:top w:w="28" w:type="dxa"/>
              <w:bottom w:w="28" w:type="dxa"/>
            </w:tcMar>
            <w:vAlign w:val="center"/>
          </w:tcPr>
          <w:p>
            <w:pPr>
              <w:spacing w:line="440" w:lineRule="exact"/>
              <w:rPr>
                <w:color w:val="auto"/>
              </w:rPr>
            </w:pPr>
            <w:r>
              <w:rPr>
                <w:rFonts w:hint="eastAsia"/>
                <w:color w:val="auto"/>
              </w:rPr>
              <w:t>评标结果公示媒介</w:t>
            </w:r>
          </w:p>
        </w:tc>
        <w:tc>
          <w:tcPr>
            <w:tcW w:w="3149" w:type="pct"/>
            <w:noWrap w:val="0"/>
            <w:tcMar>
              <w:top w:w="28" w:type="dxa"/>
              <w:bottom w:w="28" w:type="dxa"/>
            </w:tcMar>
            <w:vAlign w:val="center"/>
          </w:tcPr>
          <w:p>
            <w:pPr>
              <w:rPr>
                <w:rFonts w:hint="eastAsia"/>
                <w:color w:val="auto"/>
              </w:rPr>
            </w:pPr>
            <w:r>
              <w:rPr>
                <w:rFonts w:hint="eastAsia"/>
                <w:color w:val="auto"/>
              </w:rPr>
              <w:t>襄阳市人民政府门户网站</w:t>
            </w:r>
          </w:p>
          <w:p>
            <w:pPr>
              <w:rPr>
                <w:rFonts w:hint="eastAsia"/>
                <w:color w:val="auto"/>
              </w:rPr>
            </w:pPr>
            <w:r>
              <w:rPr>
                <w:rFonts w:hint="eastAsia"/>
                <w:color w:val="auto"/>
              </w:rPr>
              <w:t>网址：http://www.xiangyang.gov.cn/wzsy/</w:t>
            </w:r>
          </w:p>
          <w:p>
            <w:pPr>
              <w:rPr>
                <w:color w:val="auto"/>
              </w:rPr>
            </w:pPr>
          </w:p>
          <w:p>
            <w:pPr>
              <w:rPr>
                <w:rFonts w:hint="eastAsia"/>
                <w:color w:val="auto"/>
              </w:rPr>
            </w:pPr>
            <w:r>
              <w:rPr>
                <w:rFonts w:hint="eastAsia"/>
                <w:color w:val="auto"/>
              </w:rPr>
              <w:t>襄阳市公共资源交易网</w:t>
            </w:r>
          </w:p>
          <w:p>
            <w:pPr>
              <w:rPr>
                <w:rFonts w:hint="eastAsia"/>
                <w:color w:val="auto"/>
              </w:rPr>
            </w:pPr>
            <w:r>
              <w:rPr>
                <w:rFonts w:hint="eastAsia"/>
                <w:color w:val="auto"/>
              </w:rPr>
              <w:t>网址：http://jyzx.xiangyang.gov.cn</w:t>
            </w:r>
          </w:p>
          <w:p>
            <w:pPr>
              <w:rPr>
                <w:color w:val="auto"/>
              </w:rPr>
            </w:pPr>
          </w:p>
          <w:p>
            <w:pPr>
              <w:rPr>
                <w:rFonts w:hint="eastAsia"/>
                <w:color w:val="auto"/>
              </w:rPr>
            </w:pPr>
            <w:r>
              <w:rPr>
                <w:rFonts w:hint="eastAsia"/>
                <w:color w:val="auto"/>
              </w:rPr>
              <w:t>湖北省公共资源交易电子服务系统</w:t>
            </w:r>
          </w:p>
          <w:p>
            <w:pPr>
              <w:rPr>
                <w:rFonts w:hint="eastAsia"/>
                <w:color w:val="auto"/>
              </w:rPr>
            </w:pPr>
            <w:r>
              <w:rPr>
                <w:rFonts w:hint="eastAsia"/>
                <w:color w:val="auto"/>
              </w:rPr>
              <w:t>网址：www.hbggzyfwpt.cn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snapToGrid w:val="0"/>
              <w:jc w:val="center"/>
              <w:rPr>
                <w:rFonts w:ascii="宋体" w:hAnsi="宋体"/>
                <w:color w:val="auto"/>
                <w:szCs w:val="21"/>
              </w:rPr>
            </w:pPr>
            <w:r>
              <w:rPr>
                <w:rFonts w:hint="eastAsia" w:ascii="宋体" w:hAnsi="宋体"/>
                <w:color w:val="auto"/>
                <w:szCs w:val="21"/>
              </w:rPr>
              <w:t>7.1</w:t>
            </w:r>
          </w:p>
        </w:tc>
        <w:tc>
          <w:tcPr>
            <w:tcW w:w="1277" w:type="pct"/>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是否授权评标委员会确定中标人</w:t>
            </w:r>
          </w:p>
        </w:tc>
        <w:tc>
          <w:tcPr>
            <w:tcW w:w="3149" w:type="pct"/>
            <w:noWrap w:val="0"/>
            <w:tcMar>
              <w:top w:w="28" w:type="dxa"/>
              <w:bottom w:w="28" w:type="dxa"/>
            </w:tcMar>
            <w:vAlign w:val="center"/>
          </w:tcPr>
          <w:p>
            <w:pPr>
              <w:adjustRightInd w:val="0"/>
              <w:snapToGrid w:val="0"/>
              <w:rPr>
                <w:rFonts w:hint="eastAsia" w:ascii="宋体" w:hAnsi="宋体"/>
                <w:color w:val="auto"/>
                <w:szCs w:val="21"/>
              </w:rPr>
            </w:pPr>
            <w:r>
              <w:rPr>
                <w:rFonts w:hint="eastAsia" w:ascii="宋体" w:hAnsi="宋体"/>
                <w:color w:val="auto"/>
                <w:szCs w:val="21"/>
              </w:rPr>
              <w:t>□是</w:t>
            </w:r>
          </w:p>
          <w:p>
            <w:pPr>
              <w:adjustRightInd w:val="0"/>
              <w:snapToGrid w:val="0"/>
              <w:rPr>
                <w:rFonts w:ascii="宋体" w:hAnsi="宋体"/>
                <w:color w:val="auto"/>
                <w:szCs w:val="21"/>
              </w:rPr>
            </w:pPr>
            <w:r>
              <w:rPr>
                <w:rFonts w:hint="eastAsia" w:ascii="宋体" w:hAnsi="宋体"/>
                <w:color w:val="auto"/>
                <w:szCs w:val="21"/>
              </w:rPr>
              <w:t>□否，推荐的中标候选人数：不超过3个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7.</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1</w:t>
            </w:r>
          </w:p>
        </w:tc>
        <w:tc>
          <w:tcPr>
            <w:tcW w:w="1277" w:type="pct"/>
            <w:noWrap w:val="0"/>
            <w:tcMar>
              <w:top w:w="28" w:type="dxa"/>
              <w:bottom w:w="28" w:type="dxa"/>
            </w:tcMar>
            <w:vAlign w:val="center"/>
          </w:tcPr>
          <w:p>
            <w:pPr>
              <w:jc w:val="center"/>
              <w:rPr>
                <w:rFonts w:ascii="宋体" w:hAnsi="宋体"/>
                <w:color w:val="auto"/>
                <w:szCs w:val="21"/>
              </w:rPr>
            </w:pPr>
            <w:r>
              <w:rPr>
                <w:rFonts w:ascii="宋体" w:hAnsi="宋体"/>
                <w:color w:val="auto"/>
                <w:szCs w:val="21"/>
              </w:rPr>
              <w:t>履约担保</w:t>
            </w:r>
          </w:p>
        </w:tc>
        <w:tc>
          <w:tcPr>
            <w:tcW w:w="3149" w:type="pct"/>
            <w:noWrap w:val="0"/>
            <w:tcMar>
              <w:top w:w="28" w:type="dxa"/>
              <w:bottom w:w="28" w:type="dxa"/>
            </w:tcMar>
            <w:vAlign w:val="center"/>
          </w:tcPr>
          <w:p>
            <w:pPr>
              <w:adjustRightInd w:val="0"/>
              <w:snapToGrid w:val="0"/>
              <w:jc w:val="left"/>
              <w:rPr>
                <w:rFonts w:hint="eastAsia" w:ascii="宋体" w:hAnsi="宋体"/>
                <w:color w:val="auto"/>
                <w:szCs w:val="21"/>
              </w:rPr>
            </w:pPr>
            <w:r>
              <w:rPr>
                <w:rFonts w:ascii="宋体" w:hAnsi="宋体"/>
                <w:color w:val="auto"/>
                <w:szCs w:val="21"/>
              </w:rPr>
              <w:t>□</w:t>
            </w:r>
            <w:r>
              <w:rPr>
                <w:rFonts w:hint="eastAsia" w:ascii="宋体" w:hAnsi="宋体"/>
                <w:color w:val="auto"/>
                <w:szCs w:val="21"/>
              </w:rPr>
              <w:t>不提交</w:t>
            </w:r>
          </w:p>
          <w:p>
            <w:pPr>
              <w:rPr>
                <w:rFonts w:hint="eastAsia" w:ascii="宋体" w:hAnsi="宋体"/>
                <w:color w:val="auto"/>
                <w:szCs w:val="21"/>
              </w:rPr>
            </w:pPr>
            <w:r>
              <w:rPr>
                <w:rFonts w:ascii="宋体" w:hAnsi="宋体"/>
                <w:color w:val="auto"/>
                <w:szCs w:val="21"/>
              </w:rPr>
              <w:t>□</w:t>
            </w:r>
            <w:r>
              <w:rPr>
                <w:rFonts w:hint="eastAsia" w:ascii="宋体" w:hAnsi="宋体"/>
                <w:color w:val="auto"/>
                <w:szCs w:val="21"/>
              </w:rPr>
              <w:t>提  交：</w:t>
            </w:r>
          </w:p>
          <w:p>
            <w:pPr>
              <w:rPr>
                <w:rFonts w:hint="eastAsia" w:ascii="宋体" w:hAnsi="宋体"/>
                <w:color w:val="auto"/>
                <w:szCs w:val="21"/>
              </w:rPr>
            </w:pPr>
            <w:r>
              <w:rPr>
                <w:rFonts w:hint="eastAsia" w:ascii="宋体" w:hAnsi="宋体"/>
                <w:color w:val="auto"/>
                <w:szCs w:val="21"/>
              </w:rPr>
              <w:t xml:space="preserve">  </w:t>
            </w:r>
            <w:r>
              <w:rPr>
                <w:rFonts w:ascii="宋体" w:hAnsi="宋体"/>
                <w:color w:val="auto"/>
                <w:szCs w:val="21"/>
              </w:rPr>
              <w:t>履约担保的形式：</w:t>
            </w:r>
            <w:r>
              <w:rPr>
                <w:rFonts w:hint="eastAsia" w:ascii="宋体" w:hAnsi="宋体"/>
                <w:color w:val="auto"/>
                <w:szCs w:val="21"/>
                <w:u w:val="single"/>
              </w:rPr>
              <w:t xml:space="preserve">                          </w:t>
            </w:r>
          </w:p>
          <w:p>
            <w:pPr>
              <w:rPr>
                <w:rFonts w:hint="eastAsia" w:ascii="宋体" w:hAnsi="宋体"/>
                <w:color w:val="auto"/>
                <w:szCs w:val="21"/>
              </w:rPr>
            </w:pPr>
            <w:r>
              <w:rPr>
                <w:rFonts w:hint="eastAsia" w:ascii="宋体" w:hAnsi="宋体"/>
                <w:color w:val="auto"/>
                <w:szCs w:val="21"/>
              </w:rPr>
              <w:t xml:space="preserve">  </w:t>
            </w:r>
            <w:r>
              <w:rPr>
                <w:rFonts w:ascii="宋体" w:hAnsi="宋体"/>
                <w:color w:val="auto"/>
                <w:szCs w:val="21"/>
              </w:rPr>
              <w:t>履约担保的金额：</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vMerge w:val="restart"/>
            <w:noWrap w:val="0"/>
            <w:tcMar>
              <w:top w:w="28" w:type="dxa"/>
              <w:bottom w:w="28" w:type="dxa"/>
            </w:tcMar>
            <w:vAlign w:val="center"/>
          </w:tcPr>
          <w:p>
            <w:pPr>
              <w:jc w:val="center"/>
              <w:rPr>
                <w:rFonts w:hint="eastAsia"/>
                <w:color w:val="auto"/>
                <w:szCs w:val="21"/>
              </w:rPr>
            </w:pPr>
            <w:r>
              <w:rPr>
                <w:rFonts w:hint="eastAsia"/>
                <w:color w:val="auto"/>
              </w:rPr>
              <w:t>9</w:t>
            </w:r>
            <w:r>
              <w:rPr>
                <w:color w:val="auto"/>
              </w:rPr>
              <w:t>.</w:t>
            </w:r>
            <w:r>
              <w:rPr>
                <w:rFonts w:hint="eastAsia"/>
                <w:color w:val="auto"/>
              </w:rPr>
              <w:t>5</w:t>
            </w:r>
          </w:p>
        </w:tc>
        <w:tc>
          <w:tcPr>
            <w:tcW w:w="1277" w:type="pct"/>
            <w:noWrap w:val="0"/>
            <w:tcMar>
              <w:top w:w="28" w:type="dxa"/>
              <w:bottom w:w="28" w:type="dxa"/>
            </w:tcMar>
            <w:vAlign w:val="center"/>
          </w:tcPr>
          <w:p>
            <w:pPr>
              <w:jc w:val="center"/>
              <w:rPr>
                <w:rFonts w:hint="eastAsia"/>
                <w:color w:val="auto"/>
              </w:rPr>
            </w:pPr>
            <w:r>
              <w:rPr>
                <w:rFonts w:hint="eastAsia"/>
                <w:color w:val="auto"/>
              </w:rPr>
              <w:t>行政监督部门</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名    称</w:t>
            </w:r>
            <w:r>
              <w:rPr>
                <w:rFonts w:ascii="宋体" w:hAnsi="宋体"/>
                <w:color w:val="auto"/>
                <w:szCs w:val="21"/>
              </w:rPr>
              <w:t>：</w:t>
            </w:r>
            <w:r>
              <w:rPr>
                <w:rFonts w:hint="eastAsia" w:ascii="宋体" w:hAnsi="宋体"/>
                <w:color w:val="auto"/>
                <w:szCs w:val="21"/>
              </w:rPr>
              <w:t>襄阳市水利</w:t>
            </w:r>
            <w:r>
              <w:rPr>
                <w:rFonts w:ascii="宋体" w:hAnsi="宋体"/>
                <w:color w:val="auto"/>
                <w:szCs w:val="21"/>
              </w:rPr>
              <w:t>和湖泊局</w:t>
            </w:r>
          </w:p>
          <w:p>
            <w:pPr>
              <w:rPr>
                <w:rFonts w:hint="eastAsia" w:ascii="宋体" w:hAnsi="宋体"/>
                <w:color w:val="auto"/>
                <w:szCs w:val="21"/>
              </w:rPr>
            </w:pPr>
            <w:r>
              <w:rPr>
                <w:rFonts w:ascii="宋体" w:hAnsi="宋体"/>
                <w:color w:val="auto"/>
                <w:szCs w:val="21"/>
              </w:rPr>
              <w:t>地    址：</w:t>
            </w:r>
            <w:r>
              <w:rPr>
                <w:rFonts w:hint="eastAsia" w:ascii="宋体" w:hAnsi="宋体"/>
                <w:color w:val="auto"/>
                <w:szCs w:val="21"/>
              </w:rPr>
              <w:t>襄阳市滨江</w:t>
            </w:r>
            <w:r>
              <w:rPr>
                <w:rFonts w:ascii="宋体" w:hAnsi="宋体"/>
                <w:color w:val="auto"/>
                <w:szCs w:val="21"/>
              </w:rPr>
              <w:t>路</w:t>
            </w:r>
            <w:r>
              <w:rPr>
                <w:rFonts w:hint="eastAsia" w:ascii="宋体" w:hAnsi="宋体"/>
                <w:color w:val="auto"/>
                <w:szCs w:val="21"/>
              </w:rPr>
              <w:t>190号</w:t>
            </w:r>
          </w:p>
          <w:p>
            <w:pPr>
              <w:rPr>
                <w:rFonts w:hint="eastAsia" w:ascii="宋体" w:hAnsi="宋体"/>
                <w:color w:val="auto"/>
                <w:szCs w:val="21"/>
              </w:rPr>
            </w:pPr>
            <w:r>
              <w:rPr>
                <w:rFonts w:ascii="宋体" w:hAnsi="宋体"/>
                <w:color w:val="auto"/>
                <w:szCs w:val="21"/>
              </w:rPr>
              <w:t>电    话：</w:t>
            </w:r>
            <w:r>
              <w:rPr>
                <w:rFonts w:hint="eastAsia" w:ascii="宋体" w:hAnsi="宋体"/>
                <w:color w:val="auto"/>
                <w:szCs w:val="21"/>
              </w:rPr>
              <w:t>0</w:t>
            </w:r>
            <w:r>
              <w:rPr>
                <w:rFonts w:ascii="宋体" w:hAnsi="宋体"/>
                <w:color w:val="auto"/>
                <w:szCs w:val="21"/>
              </w:rPr>
              <w:t>710</w:t>
            </w:r>
            <w:r>
              <w:rPr>
                <w:rFonts w:hint="eastAsia" w:ascii="宋体" w:hAnsi="宋体"/>
                <w:color w:val="auto"/>
                <w:szCs w:val="21"/>
              </w:rPr>
              <w:t>-</w:t>
            </w:r>
            <w:r>
              <w:rPr>
                <w:rFonts w:ascii="宋体" w:hAnsi="宋体"/>
                <w:color w:val="auto"/>
                <w:szCs w:val="21"/>
              </w:rPr>
              <w:t>3692071</w:t>
            </w:r>
          </w:p>
          <w:p>
            <w:pPr>
              <w:rPr>
                <w:rFonts w:hint="eastAsia"/>
                <w:color w:val="auto"/>
                <w:szCs w:val="21"/>
              </w:rPr>
            </w:pPr>
            <w:r>
              <w:rPr>
                <w:rFonts w:ascii="宋体" w:hAnsi="宋体"/>
                <w:color w:val="auto"/>
                <w:szCs w:val="21"/>
              </w:rPr>
              <w:t>邮政编码：441000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vMerge w:val="continue"/>
            <w:noWrap w:val="0"/>
            <w:tcMar>
              <w:top w:w="28" w:type="dxa"/>
              <w:bottom w:w="28" w:type="dxa"/>
            </w:tcMar>
            <w:vAlign w:val="center"/>
          </w:tcPr>
          <w:p>
            <w:pPr>
              <w:jc w:val="center"/>
              <w:rPr>
                <w:rFonts w:hint="eastAsia"/>
                <w:color w:val="auto"/>
              </w:rPr>
            </w:pPr>
          </w:p>
        </w:tc>
        <w:tc>
          <w:tcPr>
            <w:tcW w:w="1277" w:type="pct"/>
            <w:noWrap w:val="0"/>
            <w:tcMar>
              <w:top w:w="28" w:type="dxa"/>
              <w:bottom w:w="28" w:type="dxa"/>
            </w:tcMar>
            <w:vAlign w:val="center"/>
          </w:tcPr>
          <w:p>
            <w:pPr>
              <w:jc w:val="center"/>
              <w:rPr>
                <w:rFonts w:hint="eastAsia"/>
                <w:color w:val="auto"/>
              </w:rPr>
            </w:pPr>
            <w:r>
              <w:rPr>
                <w:rFonts w:hint="eastAsia"/>
                <w:color w:val="auto"/>
              </w:rPr>
              <w:t>综合监管部门</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名    称</w:t>
            </w:r>
            <w:r>
              <w:rPr>
                <w:rFonts w:ascii="宋体" w:hAnsi="宋体"/>
                <w:color w:val="auto"/>
                <w:szCs w:val="21"/>
              </w:rPr>
              <w:t>：</w:t>
            </w:r>
            <w:r>
              <w:rPr>
                <w:rFonts w:hint="eastAsia" w:ascii="宋体" w:hAnsi="宋体"/>
                <w:color w:val="auto"/>
                <w:szCs w:val="21"/>
              </w:rPr>
              <w:t>襄阳市公共资源交易监督管理</w:t>
            </w:r>
            <w:r>
              <w:rPr>
                <w:rFonts w:ascii="宋体" w:hAnsi="宋体"/>
                <w:color w:val="auto"/>
                <w:szCs w:val="21"/>
              </w:rPr>
              <w:t>局</w:t>
            </w:r>
          </w:p>
          <w:p>
            <w:pPr>
              <w:rPr>
                <w:rFonts w:ascii="宋体" w:hAnsi="宋体"/>
                <w:color w:val="auto"/>
                <w:szCs w:val="21"/>
              </w:rPr>
            </w:pPr>
            <w:r>
              <w:rPr>
                <w:rFonts w:ascii="宋体" w:hAnsi="宋体"/>
                <w:color w:val="auto"/>
                <w:szCs w:val="21"/>
              </w:rPr>
              <w:t>地    址：</w:t>
            </w:r>
            <w:r>
              <w:rPr>
                <w:rFonts w:hint="eastAsia" w:ascii="宋体" w:hAnsi="宋体"/>
                <w:color w:val="auto"/>
                <w:szCs w:val="21"/>
              </w:rPr>
              <w:t>襄阳市紫贞路市民服务中心（中原智慧港）三楼357、358</w:t>
            </w:r>
          </w:p>
          <w:p>
            <w:pPr>
              <w:rPr>
                <w:rFonts w:ascii="宋体" w:hAnsi="宋体"/>
                <w:color w:val="auto"/>
                <w:szCs w:val="21"/>
              </w:rPr>
            </w:pPr>
            <w:r>
              <w:rPr>
                <w:rFonts w:ascii="宋体" w:hAnsi="宋体"/>
                <w:color w:val="auto"/>
                <w:szCs w:val="21"/>
              </w:rPr>
              <w:t>电    话：</w:t>
            </w:r>
            <w:r>
              <w:rPr>
                <w:rFonts w:hint="eastAsia" w:ascii="宋体" w:hAnsi="宋体"/>
                <w:color w:val="auto"/>
                <w:szCs w:val="21"/>
              </w:rPr>
              <w:t>0</w:t>
            </w:r>
            <w:r>
              <w:rPr>
                <w:rFonts w:ascii="宋体" w:hAnsi="宋体"/>
                <w:color w:val="auto"/>
                <w:szCs w:val="21"/>
              </w:rPr>
              <w:t>710</w:t>
            </w:r>
            <w:r>
              <w:rPr>
                <w:rFonts w:hint="eastAsia" w:ascii="宋体" w:hAnsi="宋体"/>
                <w:color w:val="auto"/>
                <w:szCs w:val="21"/>
              </w:rPr>
              <w:t>-3273186</w:t>
            </w:r>
          </w:p>
          <w:p>
            <w:pPr>
              <w:rPr>
                <w:rFonts w:ascii="宋体" w:hAnsi="宋体"/>
                <w:b/>
                <w:bCs/>
                <w:color w:val="auto"/>
                <w:szCs w:val="21"/>
              </w:rPr>
            </w:pPr>
            <w:r>
              <w:rPr>
                <w:rFonts w:ascii="宋体" w:hAnsi="宋体"/>
                <w:color w:val="auto"/>
                <w:szCs w:val="21"/>
              </w:rPr>
              <w:t>邮政编码：441000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10</w:t>
            </w:r>
          </w:p>
        </w:tc>
        <w:tc>
          <w:tcPr>
            <w:tcW w:w="1277" w:type="pct"/>
            <w:noWrap w:val="0"/>
            <w:tcMar>
              <w:top w:w="28" w:type="dxa"/>
              <w:bottom w:w="28" w:type="dxa"/>
            </w:tcMar>
            <w:vAlign w:val="center"/>
          </w:tcPr>
          <w:p>
            <w:pPr>
              <w:jc w:val="center"/>
              <w:rPr>
                <w:rFonts w:ascii="宋体" w:hAnsi="宋体"/>
                <w:color w:val="auto"/>
                <w:szCs w:val="21"/>
              </w:rPr>
            </w:pPr>
            <w:r>
              <w:rPr>
                <w:rFonts w:hint="eastAsia" w:ascii="宋体" w:hAnsi="宋体"/>
                <w:color w:val="auto"/>
                <w:szCs w:val="21"/>
              </w:rPr>
              <w:t>需要补充的其他内容</w:t>
            </w:r>
          </w:p>
        </w:tc>
        <w:tc>
          <w:tcPr>
            <w:tcW w:w="3149" w:type="pct"/>
            <w:noWrap w:val="0"/>
            <w:tcMar>
              <w:top w:w="28" w:type="dxa"/>
              <w:bottom w:w="28" w:type="dxa"/>
            </w:tcMar>
            <w:vAlign w:val="center"/>
          </w:tcPr>
          <w:p>
            <w:pPr>
              <w:jc w:val="left"/>
              <w:rPr>
                <w:color w:val="FF0000"/>
                <w:u w:val="single"/>
              </w:rPr>
            </w:pPr>
            <w:r>
              <w:rPr>
                <w:rFonts w:hint="eastAsia"/>
                <w:color w:val="FF0000"/>
                <w:u w:val="single"/>
              </w:rPr>
              <w:t xml:space="preserve">                          </w:t>
            </w:r>
            <w:r>
              <w:rPr>
                <w:color w:val="FF0000"/>
                <w:u w:val="single"/>
              </w:rPr>
              <w:t xml:space="preserve">                   </w:t>
            </w:r>
          </w:p>
          <w:p>
            <w:pPr>
              <w:jc w:val="left"/>
              <w:rPr>
                <w:color w:val="FF0000"/>
                <w:u w:val="single"/>
              </w:rPr>
            </w:pPr>
            <w:r>
              <w:rPr>
                <w:color w:val="FF0000"/>
                <w:u w:val="single"/>
              </w:rPr>
              <w:t xml:space="preserve">                                            </w:t>
            </w:r>
            <w:r>
              <w:rPr>
                <w:rFonts w:hint="eastAsia"/>
                <w:color w:val="FF0000"/>
                <w:u w:val="single"/>
              </w:rPr>
              <w:t xml:space="preserve"> </w:t>
            </w:r>
          </w:p>
          <w:p>
            <w:pPr>
              <w:jc w:val="both"/>
              <w:rPr>
                <w:rFonts w:hint="eastAsia" w:ascii="宋体" w:hAnsi="宋体"/>
                <w:color w:val="auto"/>
                <w:szCs w:val="21"/>
              </w:rPr>
            </w:pPr>
            <w:r>
              <w:rPr>
                <w:rFonts w:hint="eastAsia"/>
                <w:color w:val="FF0000"/>
              </w:rPr>
              <w:t>（招标人或招标代理机构应明确需要补充的若干项具体内容，投标人按补充的具体内容一一对应上传）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10.1</w:t>
            </w:r>
          </w:p>
        </w:tc>
        <w:tc>
          <w:tcPr>
            <w:tcW w:w="1277" w:type="pct"/>
            <w:noWrap w:val="0"/>
            <w:tcMar>
              <w:top w:w="28" w:type="dxa"/>
              <w:bottom w:w="28" w:type="dxa"/>
            </w:tcMar>
            <w:vAlign w:val="center"/>
          </w:tcPr>
          <w:p>
            <w:pPr>
              <w:jc w:val="center"/>
              <w:rPr>
                <w:rFonts w:hint="eastAsia"/>
                <w:color w:val="auto"/>
              </w:rPr>
            </w:pPr>
            <w:r>
              <w:rPr>
                <w:rFonts w:hint="eastAsia"/>
                <w:color w:val="auto"/>
              </w:rPr>
              <w:t>同类工程</w:t>
            </w:r>
            <w:r>
              <w:rPr>
                <w:rFonts w:hint="eastAsia" w:ascii="宋体" w:hAnsi="宋体"/>
                <w:color w:val="auto"/>
                <w:szCs w:val="21"/>
              </w:rPr>
              <w:t>和类似工程</w:t>
            </w:r>
          </w:p>
        </w:tc>
        <w:tc>
          <w:tcPr>
            <w:tcW w:w="3149" w:type="pct"/>
            <w:noWrap w:val="0"/>
            <w:tcMar>
              <w:top w:w="28" w:type="dxa"/>
              <w:bottom w:w="28" w:type="dxa"/>
            </w:tcMar>
            <w:vAlign w:val="center"/>
          </w:tcPr>
          <w:p>
            <w:pPr>
              <w:rPr>
                <w:rFonts w:hint="eastAsia"/>
                <w:color w:val="auto"/>
              </w:rPr>
            </w:pPr>
            <w:r>
              <w:rPr>
                <w:rFonts w:hint="eastAsia"/>
                <w:color w:val="auto"/>
              </w:rPr>
              <w:t>同类工程是指：</w:t>
            </w:r>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类似工程是指：</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10.2</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投标限价</w:t>
            </w:r>
          </w:p>
        </w:tc>
        <w:tc>
          <w:tcPr>
            <w:tcW w:w="3149" w:type="pct"/>
            <w:noWrap w:val="0"/>
            <w:tcMar>
              <w:top w:w="28" w:type="dxa"/>
              <w:bottom w:w="28" w:type="dxa"/>
            </w:tcMar>
            <w:vAlign w:val="center"/>
          </w:tcPr>
          <w:p>
            <w:pPr>
              <w:ind w:firstLine="71" w:firstLineChars="34"/>
              <w:rPr>
                <w:rFonts w:hint="eastAsia" w:ascii="宋体" w:hAnsi="宋体"/>
                <w:color w:val="auto"/>
                <w:szCs w:val="21"/>
              </w:rPr>
            </w:pPr>
            <w:r>
              <w:rPr>
                <w:rFonts w:hint="eastAsia" w:ascii="宋体" w:hAnsi="宋体"/>
                <w:color w:val="auto"/>
                <w:szCs w:val="21"/>
              </w:rPr>
              <w:t>□不设置</w:t>
            </w:r>
          </w:p>
          <w:p>
            <w:pPr>
              <w:ind w:left="281" w:leftChars="34" w:hanging="210" w:hangingChars="100"/>
              <w:rPr>
                <w:rFonts w:hint="eastAsia" w:ascii="宋体" w:hAnsi="宋体"/>
                <w:color w:val="auto"/>
                <w:szCs w:val="21"/>
              </w:rPr>
            </w:pPr>
            <w:r>
              <w:rPr>
                <w:rFonts w:hint="eastAsia" w:ascii="宋体" w:hAnsi="宋体"/>
                <w:color w:val="auto"/>
                <w:szCs w:val="21"/>
              </w:rPr>
              <w:t>□设置：最高投标限价为</w:t>
            </w:r>
            <w:r>
              <w:rPr>
                <w:rFonts w:hint="eastAsia" w:ascii="宋体" w:hAnsi="宋体"/>
                <w:color w:val="auto"/>
                <w:szCs w:val="21"/>
                <w:u w:val="single"/>
              </w:rPr>
              <w:t xml:space="preserve">      </w:t>
            </w:r>
            <w:r>
              <w:rPr>
                <w:rFonts w:hint="eastAsia" w:ascii="宋体" w:hAnsi="宋体"/>
                <w:color w:val="auto"/>
                <w:szCs w:val="21"/>
              </w:rPr>
              <w:t xml:space="preserve"> 万元，其中</w:t>
            </w:r>
            <w:r>
              <w:rPr>
                <w:rFonts w:hint="eastAsia" w:ascii="宋体" w:hAnsi="宋体"/>
                <w:color w:val="auto"/>
                <w:szCs w:val="21"/>
                <w:u w:val="single"/>
              </w:rPr>
              <w:t xml:space="preserve">  （一级项目限价或分组限价）  </w:t>
            </w:r>
            <w:r>
              <w:rPr>
                <w:rFonts w:hint="eastAsia" w:ascii="宋体" w:hAnsi="宋体"/>
                <w:color w:val="auto"/>
                <w:szCs w:val="21"/>
              </w:rPr>
              <w:t>限价为</w:t>
            </w:r>
            <w:r>
              <w:rPr>
                <w:rFonts w:hint="eastAsia" w:ascii="宋体" w:hAnsi="宋体"/>
                <w:color w:val="auto"/>
                <w:szCs w:val="21"/>
                <w:u w:val="single"/>
              </w:rPr>
              <w:t xml:space="preserve">      </w:t>
            </w:r>
            <w:r>
              <w:rPr>
                <w:rFonts w:hint="eastAsia" w:ascii="宋体" w:hAnsi="宋体"/>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bdr w:val="single" w:color="auto" w:sz="4" w:space="0"/>
              </w:rPr>
            </w:pPr>
            <w:r>
              <w:rPr>
                <w:rFonts w:hint="eastAsia" w:ascii="宋体" w:hAnsi="宋体"/>
                <w:color w:val="auto"/>
                <w:szCs w:val="21"/>
              </w:rPr>
              <w:t>10.3</w:t>
            </w:r>
          </w:p>
        </w:tc>
        <w:tc>
          <w:tcPr>
            <w:tcW w:w="1277" w:type="pct"/>
            <w:noWrap w:val="0"/>
            <w:tcMar>
              <w:top w:w="28" w:type="dxa"/>
              <w:bottom w:w="28" w:type="dxa"/>
            </w:tcMar>
            <w:vAlign w:val="center"/>
          </w:tcPr>
          <w:p>
            <w:pPr>
              <w:jc w:val="center"/>
              <w:rPr>
                <w:rFonts w:hint="eastAsia" w:ascii="宋体" w:cs="宋体"/>
                <w:color w:val="auto"/>
                <w:spacing w:val="4"/>
                <w:kern w:val="0"/>
                <w:sz w:val="22"/>
                <w:szCs w:val="22"/>
              </w:rPr>
            </w:pPr>
            <w:r>
              <w:rPr>
                <w:rFonts w:hint="eastAsia" w:ascii="宋体" w:hAnsi="宋体"/>
                <w:color w:val="auto"/>
                <w:szCs w:val="21"/>
              </w:rPr>
              <w:t>多标段投标</w:t>
            </w:r>
          </w:p>
        </w:tc>
        <w:tc>
          <w:tcPr>
            <w:tcW w:w="3149" w:type="pc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投标人可同时对本次招标标段中的</w:t>
            </w:r>
            <w:r>
              <w:rPr>
                <w:rFonts w:hint="eastAsia" w:ascii="宋体" w:hAnsi="宋体"/>
                <w:color w:val="auto"/>
                <w:szCs w:val="21"/>
                <w:u w:val="single"/>
              </w:rPr>
              <w:t xml:space="preserve">   </w:t>
            </w:r>
            <w:r>
              <w:rPr>
                <w:rFonts w:hint="eastAsia" w:ascii="宋体" w:hAnsi="宋体"/>
                <w:color w:val="auto"/>
                <w:szCs w:val="21"/>
              </w:rPr>
              <w:t>个标段投标。招标人按下列原则选择中标人：</w:t>
            </w:r>
          </w:p>
          <w:p>
            <w:pPr>
              <w:ind w:firstLine="210" w:firstLineChars="100"/>
              <w:rPr>
                <w:rFonts w:hint="eastAsia" w:ascii="宋体" w:hAnsi="宋体"/>
                <w:color w:val="auto"/>
                <w:szCs w:val="21"/>
              </w:rPr>
            </w:pPr>
            <w:r>
              <w:rPr>
                <w:rFonts w:hint="eastAsia" w:ascii="宋体" w:hAnsi="宋体"/>
                <w:color w:val="auto"/>
                <w:szCs w:val="21"/>
              </w:rPr>
              <w:t>□招标人按标段择优选择中标人。</w:t>
            </w:r>
          </w:p>
          <w:p>
            <w:pPr>
              <w:ind w:firstLine="210" w:firstLineChars="100"/>
              <w:rPr>
                <w:rFonts w:hint="eastAsia" w:ascii="宋体" w:hAnsi="宋体"/>
                <w:color w:val="auto"/>
                <w:szCs w:val="21"/>
              </w:rPr>
            </w:pPr>
            <w:r>
              <w:rPr>
                <w:rFonts w:hint="eastAsia" w:ascii="宋体" w:hAnsi="宋体"/>
                <w:color w:val="auto"/>
                <w:szCs w:val="21"/>
              </w:rPr>
              <w:t>□投标人最多只允许中标</w:t>
            </w:r>
            <w:r>
              <w:rPr>
                <w:rFonts w:hint="eastAsia" w:ascii="宋体" w:hAnsi="宋体"/>
                <w:color w:val="auto"/>
                <w:szCs w:val="21"/>
                <w:u w:val="single"/>
              </w:rPr>
              <w:t xml:space="preserve">   </w:t>
            </w:r>
            <w:r>
              <w:rPr>
                <w:rFonts w:hint="eastAsia" w:ascii="宋体" w:hAnsi="宋体"/>
                <w:color w:val="auto"/>
                <w:szCs w:val="21"/>
              </w:rPr>
              <w:t>个标段。如果同一投标人在多个标段中均排序第一，</w:t>
            </w:r>
            <w:r>
              <w:rPr>
                <w:rFonts w:ascii="宋体" w:hAnsi="宋体"/>
                <w:color w:val="auto"/>
                <w:szCs w:val="21"/>
              </w:rPr>
              <w:t>推荐中标候选人顺序为：</w:t>
            </w:r>
          </w:p>
          <w:p>
            <w:pPr>
              <w:rPr>
                <w:rFonts w:hint="eastAsia" w:ascii="宋体" w:hAnsi="宋体"/>
                <w:color w:val="auto"/>
                <w:szCs w:val="21"/>
              </w:rPr>
            </w:pPr>
            <w:r>
              <w:rPr>
                <w:rFonts w:hint="eastAsia" w:ascii="宋体" w:hAnsi="宋体"/>
                <w:color w:val="auto"/>
                <w:szCs w:val="21"/>
              </w:rPr>
              <w:t xml:space="preserve">     □</w:t>
            </w:r>
            <w:r>
              <w:rPr>
                <w:rFonts w:ascii="宋体" w:hAnsi="宋体"/>
                <w:color w:val="auto"/>
                <w:szCs w:val="21"/>
              </w:rPr>
              <w:t>按照标段顺序，投标人在前面标段被推荐为第一中标候选人后，所投其他标段将不再被推荐为中标候选人。</w:t>
            </w:r>
          </w:p>
          <w:p>
            <w:pPr>
              <w:rPr>
                <w:rFonts w:ascii="宋体" w:hAnsi="宋体"/>
                <w:color w:val="auto"/>
                <w:szCs w:val="21"/>
              </w:rPr>
            </w:pPr>
            <w:r>
              <w:rPr>
                <w:rFonts w:hint="eastAsia" w:ascii="宋体" w:hAnsi="宋体"/>
                <w:color w:val="auto"/>
                <w:szCs w:val="21"/>
              </w:rPr>
              <w:t xml:space="preserve">     □</w:t>
            </w:r>
            <w:r>
              <w:rPr>
                <w:rFonts w:ascii="宋体" w:hAnsi="宋体"/>
                <w:color w:val="auto"/>
                <w:szCs w:val="21"/>
              </w:rPr>
              <w:t>按照标段最高</w:t>
            </w:r>
            <w:r>
              <w:rPr>
                <w:rFonts w:hint="eastAsia" w:ascii="宋体" w:hAnsi="宋体"/>
                <w:color w:val="auto"/>
                <w:szCs w:val="21"/>
              </w:rPr>
              <w:t>投标</w:t>
            </w:r>
            <w:r>
              <w:rPr>
                <w:rFonts w:ascii="宋体" w:hAnsi="宋体"/>
                <w:color w:val="auto"/>
                <w:szCs w:val="21"/>
              </w:rPr>
              <w:t>限价从大到小的顺序，投标人在最高</w:t>
            </w:r>
            <w:r>
              <w:rPr>
                <w:rFonts w:hint="eastAsia" w:ascii="宋体" w:hAnsi="宋体"/>
                <w:color w:val="auto"/>
                <w:szCs w:val="21"/>
              </w:rPr>
              <w:t>投标</w:t>
            </w:r>
            <w:r>
              <w:rPr>
                <w:rFonts w:ascii="宋体" w:hAnsi="宋体"/>
                <w:color w:val="auto"/>
                <w:szCs w:val="21"/>
              </w:rPr>
              <w:t>限价大的标段被推荐为第一中标候选人后，所投其他标段将不再被推荐为中标候选人。</w:t>
            </w:r>
          </w:p>
          <w:p>
            <w:pPr>
              <w:ind w:left="315" w:leftChars="150" w:firstLine="210" w:firstLineChars="100"/>
              <w:rPr>
                <w:rFonts w:hint="eastAsia"/>
                <w:color w:val="auto"/>
              </w:rPr>
            </w:pPr>
            <w:r>
              <w:rPr>
                <w:rFonts w:hint="eastAsia"/>
                <w:color w:val="auto"/>
              </w:rPr>
              <w:t>□</w:t>
            </w:r>
            <w:r>
              <w:rPr>
                <w:rFonts w:hint="eastAsia"/>
                <w:color w:val="auto"/>
                <w:u w:val="single"/>
              </w:rPr>
              <w:t xml:space="preserve">                                        </w:t>
            </w:r>
            <w:r>
              <w:rPr>
                <w:rFonts w:hint="eastAsia"/>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10.</w:t>
            </w:r>
            <w:r>
              <w:rPr>
                <w:rFonts w:ascii="宋体" w:hAnsi="宋体"/>
                <w:color w:val="auto"/>
                <w:szCs w:val="21"/>
              </w:rPr>
              <w:t>4</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中标后须提交的</w:t>
            </w:r>
          </w:p>
          <w:p>
            <w:pPr>
              <w:jc w:val="center"/>
              <w:rPr>
                <w:rFonts w:hint="eastAsia" w:ascii="宋体" w:hAnsi="宋体"/>
                <w:color w:val="auto"/>
                <w:szCs w:val="21"/>
              </w:rPr>
            </w:pPr>
            <w:r>
              <w:rPr>
                <w:rFonts w:hint="eastAsia" w:ascii="宋体" w:hAnsi="宋体"/>
                <w:color w:val="auto"/>
                <w:szCs w:val="21"/>
              </w:rPr>
              <w:t>纸质投标文件</w:t>
            </w:r>
          </w:p>
        </w:tc>
        <w:tc>
          <w:tcPr>
            <w:tcW w:w="3149" w:type="pct"/>
            <w:noWrap w:val="0"/>
            <w:tcMar>
              <w:top w:w="28" w:type="dxa"/>
              <w:bottom w:w="28" w:type="dxa"/>
            </w:tcMar>
            <w:vAlign w:val="center"/>
          </w:tcPr>
          <w:p>
            <w:pPr>
              <w:jc w:val="left"/>
              <w:rPr>
                <w:rFonts w:hint="eastAsia" w:ascii="宋体" w:hAnsi="宋体"/>
                <w:color w:val="auto"/>
                <w:szCs w:val="21"/>
              </w:rPr>
            </w:pPr>
            <w:r>
              <w:rPr>
                <w:rFonts w:hint="eastAsia" w:ascii="宋体" w:hAnsi="宋体"/>
                <w:color w:val="auto"/>
                <w:szCs w:val="21"/>
              </w:rPr>
              <w:t>份数：</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w:t>
            </w:r>
            <w:r>
              <w:rPr>
                <w:rFonts w:ascii="宋体" w:hAnsi="宋体"/>
                <w:color w:val="auto"/>
                <w:szCs w:val="21"/>
              </w:rPr>
              <w:t>0.5</w:t>
            </w:r>
          </w:p>
        </w:tc>
        <w:tc>
          <w:tcPr>
            <w:tcW w:w="1277" w:type="pct"/>
            <w:noWrap w:val="0"/>
            <w:tcMar>
              <w:top w:w="28" w:type="dxa"/>
              <w:bottom w:w="28" w:type="dxa"/>
            </w:tcMar>
            <w:vAlign w:val="center"/>
          </w:tcPr>
          <w:p>
            <w:pPr>
              <w:jc w:val="center"/>
              <w:rPr>
                <w:rFonts w:hint="eastAsia"/>
                <w:color w:val="auto"/>
              </w:rPr>
            </w:pPr>
            <w:r>
              <w:rPr>
                <w:rFonts w:hint="eastAsia"/>
                <w:color w:val="auto"/>
              </w:rPr>
              <w:t>交易平台信息服务费</w:t>
            </w:r>
          </w:p>
        </w:tc>
        <w:tc>
          <w:tcPr>
            <w:tcW w:w="3149" w:type="pct"/>
            <w:noWrap w:val="0"/>
            <w:tcMar>
              <w:top w:w="28" w:type="dxa"/>
              <w:bottom w:w="28" w:type="dxa"/>
            </w:tcMar>
            <w:vAlign w:val="center"/>
          </w:tcPr>
          <w:p>
            <w:pPr>
              <w:rPr>
                <w:rFonts w:hint="eastAsia"/>
                <w:color w:val="auto"/>
              </w:rPr>
            </w:pPr>
            <w:r>
              <w:rPr>
                <w:rFonts w:hint="eastAsia"/>
                <w:color w:val="auto"/>
                <w:u w:val="single"/>
                <w:shd w:val="clear" w:color="auto" w:fill="FFFFFF"/>
              </w:rPr>
              <w:t>发布中标结果公告时，中心窗口工作人员根据中标人的中标价和鄂价工服〔2017〕61号《关于降低公共资源交易平台信息服务收费标准的通知》规定的标准，向中标人发出交易平台信息服务费缴费通知单（开标项目开标收费情况）。中标人应当按照缴费通知单规定的金额向襄阳市公共资源交易中心缴纳交易平台信息服务费</w:t>
            </w:r>
            <w:r>
              <w:rPr>
                <w:rFonts w:hint="eastAsia"/>
                <w:color w:val="auto"/>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w:t>
            </w:r>
            <w:r>
              <w:rPr>
                <w:rFonts w:ascii="宋体" w:hAnsi="宋体"/>
                <w:color w:val="auto"/>
                <w:szCs w:val="21"/>
              </w:rPr>
              <w:t>0.6</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color w:val="auto"/>
              </w:rPr>
              <w:t>招标代理服务费</w:t>
            </w:r>
          </w:p>
        </w:tc>
        <w:tc>
          <w:tcPr>
            <w:tcW w:w="3149" w:type="pct"/>
            <w:noWrap w:val="0"/>
            <w:tcMar>
              <w:top w:w="28" w:type="dxa"/>
              <w:bottom w:w="28" w:type="dxa"/>
            </w:tcMar>
            <w:vAlign w:val="center"/>
          </w:tcPr>
          <w:p>
            <w:pPr>
              <w:spacing w:line="440" w:lineRule="exact"/>
              <w:rPr>
                <w:rFonts w:hint="eastAsia"/>
                <w:color w:val="auto"/>
                <w:szCs w:val="21"/>
              </w:rPr>
            </w:pPr>
            <w:r>
              <w:rPr>
                <w:color w:val="auto"/>
                <w:sz w:val="32"/>
                <w:szCs w:val="32"/>
              </w:rPr>
              <w:t>□</w:t>
            </w:r>
            <w:r>
              <w:rPr>
                <w:rFonts w:hint="eastAsia"/>
                <w:color w:val="auto"/>
                <w:szCs w:val="21"/>
              </w:rPr>
              <w:t>本次招标没有招标代理服务费。</w:t>
            </w:r>
          </w:p>
          <w:p>
            <w:pPr>
              <w:adjustRightInd w:val="0"/>
              <w:snapToGrid w:val="0"/>
              <w:jc w:val="left"/>
              <w:rPr>
                <w:rFonts w:hint="eastAsia"/>
                <w:color w:val="auto"/>
                <w:szCs w:val="21"/>
              </w:rPr>
            </w:pPr>
            <w:r>
              <w:rPr>
                <w:color w:val="auto"/>
                <w:sz w:val="32"/>
                <w:szCs w:val="32"/>
              </w:rPr>
              <w:t>□</w:t>
            </w:r>
            <w:r>
              <w:rPr>
                <w:rFonts w:hint="eastAsia"/>
                <w:color w:val="auto"/>
                <w:szCs w:val="21"/>
              </w:rPr>
              <w:t>本次招标有招标代理服务费。根据</w:t>
            </w:r>
            <w:r>
              <w:rPr>
                <w:color w:val="auto"/>
                <w:szCs w:val="21"/>
              </w:rPr>
              <w:t>招标人</w:t>
            </w:r>
            <w:r>
              <w:rPr>
                <w:rFonts w:hint="eastAsia"/>
                <w:color w:val="auto"/>
                <w:szCs w:val="21"/>
              </w:rPr>
              <w:t>和</w:t>
            </w:r>
            <w:r>
              <w:rPr>
                <w:color w:val="auto"/>
                <w:szCs w:val="21"/>
              </w:rPr>
              <w:t>招标代理机构</w:t>
            </w:r>
            <w:r>
              <w:rPr>
                <w:rFonts w:hint="eastAsia"/>
                <w:color w:val="auto"/>
                <w:szCs w:val="21"/>
              </w:rPr>
              <w:t>委托代理合同的约定，本项目招标代理服务费：</w:t>
            </w:r>
          </w:p>
          <w:p>
            <w:pPr>
              <w:spacing w:line="350" w:lineRule="exact"/>
              <w:ind w:firstLine="320" w:firstLineChars="100"/>
              <w:rPr>
                <w:rFonts w:hint="eastAsia"/>
                <w:color w:val="auto"/>
                <w:szCs w:val="21"/>
              </w:rPr>
            </w:pPr>
            <w:r>
              <w:rPr>
                <w:color w:val="auto"/>
                <w:sz w:val="32"/>
                <w:szCs w:val="32"/>
              </w:rPr>
              <w:t>□</w:t>
            </w:r>
            <w:r>
              <w:rPr>
                <w:rFonts w:hint="eastAsia"/>
                <w:color w:val="auto"/>
                <w:szCs w:val="21"/>
              </w:rPr>
              <w:t>由招标人支付。</w:t>
            </w:r>
          </w:p>
          <w:p>
            <w:pPr>
              <w:spacing w:line="360" w:lineRule="exact"/>
              <w:ind w:firstLine="320" w:firstLineChars="100"/>
              <w:rPr>
                <w:rFonts w:hint="eastAsia"/>
                <w:color w:val="auto"/>
                <w:szCs w:val="21"/>
              </w:rPr>
            </w:pPr>
            <w:r>
              <w:rPr>
                <w:color w:val="auto"/>
                <w:sz w:val="32"/>
                <w:szCs w:val="32"/>
              </w:rPr>
              <w:t>□</w:t>
            </w:r>
            <w:r>
              <w:rPr>
                <w:rFonts w:hint="eastAsia"/>
                <w:color w:val="auto"/>
                <w:szCs w:val="21"/>
              </w:rPr>
              <w:t>由中标人支付。</w:t>
            </w:r>
          </w:p>
          <w:p>
            <w:pPr>
              <w:rPr>
                <w:rFonts w:hint="eastAsia"/>
                <w:color w:val="auto"/>
                <w:szCs w:val="21"/>
              </w:rPr>
            </w:pPr>
            <w:r>
              <w:rPr>
                <w:rFonts w:hint="eastAsia"/>
                <w:color w:val="auto"/>
                <w:szCs w:val="21"/>
              </w:rPr>
              <w:t xml:space="preserve">     支付标准：</w:t>
            </w:r>
            <w:r>
              <w:rPr>
                <w:rFonts w:hint="eastAsia"/>
                <w:color w:val="auto"/>
                <w:szCs w:val="21"/>
                <w:u w:val="single"/>
              </w:rPr>
              <w:t xml:space="preserve">                           </w:t>
            </w:r>
            <w:r>
              <w:rPr>
                <w:rFonts w:hint="eastAsia"/>
                <w:color w:val="auto"/>
                <w:szCs w:val="21"/>
              </w:rPr>
              <w:t xml:space="preserve"> ；</w:t>
            </w:r>
          </w:p>
          <w:p>
            <w:pPr>
              <w:rPr>
                <w:rFonts w:hint="eastAsia"/>
                <w:color w:val="auto"/>
                <w:szCs w:val="21"/>
              </w:rPr>
            </w:pPr>
            <w:r>
              <w:rPr>
                <w:rFonts w:hint="eastAsia"/>
                <w:color w:val="auto"/>
                <w:szCs w:val="21"/>
              </w:rPr>
              <w:t xml:space="preserve">     支付方式：</w:t>
            </w:r>
            <w:r>
              <w:rPr>
                <w:rFonts w:hint="eastAsia"/>
                <w:color w:val="auto"/>
                <w:szCs w:val="21"/>
                <w:u w:val="single"/>
              </w:rPr>
              <w:t xml:space="preserve">                           </w:t>
            </w:r>
            <w:r>
              <w:rPr>
                <w:rFonts w:hint="eastAsia"/>
                <w:color w:val="auto"/>
                <w:szCs w:val="21"/>
              </w:rPr>
              <w:t xml:space="preserve"> ；</w:t>
            </w:r>
          </w:p>
          <w:p>
            <w:pPr>
              <w:rPr>
                <w:rFonts w:hint="eastAsia"/>
                <w:color w:val="auto"/>
              </w:rPr>
            </w:pPr>
            <w:r>
              <w:rPr>
                <w:rFonts w:hint="eastAsia"/>
                <w:color w:val="auto"/>
                <w:szCs w:val="21"/>
              </w:rPr>
              <w:t xml:space="preserve">     支付时间：</w:t>
            </w:r>
            <w:r>
              <w:rPr>
                <w:rFonts w:hint="eastAsia"/>
                <w:color w:val="auto"/>
                <w:szCs w:val="21"/>
                <w:u w:val="single"/>
              </w:rPr>
              <w:t xml:space="preserve">                           </w:t>
            </w:r>
            <w:r>
              <w:rPr>
                <w:rFonts w:hint="eastAsia"/>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572" w:type="pct"/>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10.</w:t>
            </w:r>
            <w:r>
              <w:rPr>
                <w:rFonts w:ascii="宋体" w:hAnsi="宋体"/>
                <w:color w:val="auto"/>
                <w:szCs w:val="21"/>
              </w:rPr>
              <w:t>7</w:t>
            </w:r>
          </w:p>
        </w:tc>
        <w:tc>
          <w:tcPr>
            <w:tcW w:w="1277" w:type="pct"/>
            <w:noWrap w:val="0"/>
            <w:tcMar>
              <w:top w:w="28" w:type="dxa"/>
              <w:bottom w:w="28" w:type="dxa"/>
            </w:tcMar>
            <w:vAlign w:val="center"/>
          </w:tcPr>
          <w:p>
            <w:pPr>
              <w:jc w:val="center"/>
              <w:rPr>
                <w:rFonts w:hint="eastAsia" w:ascii="宋体" w:hAnsi="宋体"/>
                <w:color w:val="auto"/>
                <w:szCs w:val="21"/>
              </w:rPr>
            </w:pPr>
            <w:r>
              <w:rPr>
                <w:rFonts w:hint="eastAsia"/>
                <w:color w:val="auto"/>
              </w:rPr>
              <w:t>招标人补充的其他内容</w:t>
            </w:r>
          </w:p>
        </w:tc>
        <w:tc>
          <w:tcPr>
            <w:tcW w:w="3149" w:type="pct"/>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（补充内容不得与投标人须知其他内容相抵触）</w:t>
            </w:r>
          </w:p>
        </w:tc>
      </w:tr>
    </w:tbl>
    <w:p>
      <w:pPr>
        <w:adjustRightInd w:val="0"/>
        <w:snapToGrid w:val="0"/>
        <w:spacing w:before="156" w:beforeLines="50"/>
        <w:rPr>
          <w:rFonts w:hint="eastAsia" w:ascii="宋体" w:hAnsi="宋体"/>
          <w:color w:val="auto"/>
          <w:szCs w:val="21"/>
        </w:rPr>
      </w:pPr>
      <w:r>
        <w:rPr>
          <w:rFonts w:hint="eastAsia" w:ascii="宋体" w:hAnsi="宋体"/>
          <w:color w:val="auto"/>
          <w:szCs w:val="21"/>
        </w:rPr>
        <w:t>备注：对同类工程和类似工程的说明。</w:t>
      </w:r>
    </w:p>
    <w:p>
      <w:pPr>
        <w:ind w:left="903" w:leftChars="280" w:hanging="315" w:hangingChars="150"/>
        <w:rPr>
          <w:rFonts w:hint="eastAsia" w:ascii="宋体" w:hAnsi="宋体"/>
          <w:color w:val="auto"/>
          <w:szCs w:val="21"/>
        </w:rPr>
      </w:pPr>
      <w:r>
        <w:rPr>
          <w:rFonts w:hint="eastAsia" w:ascii="宋体" w:hAnsi="宋体"/>
          <w:color w:val="auto"/>
          <w:szCs w:val="21"/>
        </w:rPr>
        <w:t>1．同类工程</w:t>
      </w:r>
      <w:r>
        <w:rPr>
          <w:rFonts w:ascii="宋体" w:hAnsi="宋体"/>
          <w:color w:val="auto"/>
          <w:szCs w:val="21"/>
        </w:rPr>
        <w:t>是指工程类型（如：土石坝、混凝土坝（含水库工程和水电站工程）、水闸、泵站、堤防、灌区、隧洞、渡槽、基础处理等）、规模（大一型、大二型、中型、小型）、等别（Ⅰ、Ⅱ、Ⅲ、Ⅳ、Ⅴ）、建筑物级别（1级、2级、3级、4级、5级）与招标工程相同及以上且投资达到一定程度的工程。</w:t>
      </w:r>
    </w:p>
    <w:p>
      <w:pPr>
        <w:ind w:left="903" w:leftChars="280" w:hanging="315" w:hangingChars="150"/>
        <w:rPr>
          <w:rFonts w:ascii="宋体" w:hAnsi="宋体"/>
          <w:color w:val="auto"/>
          <w:szCs w:val="21"/>
        </w:rPr>
      </w:pPr>
      <w:r>
        <w:rPr>
          <w:rFonts w:hint="eastAsia" w:ascii="宋体" w:hAnsi="宋体"/>
          <w:color w:val="auto"/>
          <w:szCs w:val="21"/>
        </w:rPr>
        <w:t>2.</w:t>
      </w:r>
      <w:r>
        <w:rPr>
          <w:rFonts w:ascii="宋体" w:hAnsi="宋体"/>
          <w:color w:val="auto"/>
          <w:szCs w:val="21"/>
        </w:rPr>
        <w:t xml:space="preserve"> 类似工程是指工程</w:t>
      </w:r>
      <w:r>
        <w:rPr>
          <w:rFonts w:hint="eastAsia" w:ascii="宋体" w:hAnsi="宋体"/>
          <w:color w:val="auto"/>
          <w:szCs w:val="21"/>
        </w:rPr>
        <w:t>类型</w:t>
      </w:r>
      <w:r>
        <w:rPr>
          <w:rFonts w:ascii="宋体" w:hAnsi="宋体"/>
          <w:color w:val="auto"/>
          <w:szCs w:val="21"/>
        </w:rPr>
        <w:t>与招标工程类似且投资达到一定程度的工程。</w:t>
      </w:r>
    </w:p>
    <w:p>
      <w:pPr>
        <w:ind w:left="903" w:leftChars="280" w:hanging="315" w:hangingChars="150"/>
        <w:rPr>
          <w:rFonts w:ascii="宋体" w:hAnsi="宋体"/>
          <w:color w:val="auto"/>
          <w:szCs w:val="21"/>
        </w:rPr>
      </w:pPr>
      <w:r>
        <w:rPr>
          <w:rFonts w:hint="eastAsia" w:ascii="宋体" w:hAnsi="宋体"/>
          <w:color w:val="auto"/>
          <w:szCs w:val="21"/>
        </w:rPr>
        <w:t>3.</w:t>
      </w:r>
      <w:r>
        <w:rPr>
          <w:rFonts w:ascii="宋体" w:hAnsi="宋体"/>
          <w:color w:val="auto"/>
          <w:szCs w:val="21"/>
        </w:rPr>
        <w:t xml:space="preserve"> </w:t>
      </w:r>
      <w:r>
        <w:rPr>
          <w:rFonts w:hint="eastAsia" w:ascii="宋体" w:hAnsi="宋体"/>
          <w:color w:val="auto"/>
          <w:szCs w:val="21"/>
        </w:rPr>
        <w:t>以上说明1和2中的“投资达到一定程度”按以下标准确定：</w:t>
      </w:r>
      <w:r>
        <w:rPr>
          <w:rFonts w:ascii="宋体" w:hAnsi="宋体"/>
          <w:color w:val="auto"/>
          <w:szCs w:val="21"/>
        </w:rPr>
        <w:t>若标段最高限价</w:t>
      </w:r>
      <w:r>
        <w:rPr>
          <w:rFonts w:hint="eastAsia" w:ascii="宋体" w:hAnsi="宋体"/>
          <w:color w:val="auto"/>
          <w:szCs w:val="21"/>
        </w:rPr>
        <w:t>大于或等于2</w:t>
      </w:r>
      <w:r>
        <w:rPr>
          <w:rFonts w:ascii="宋体" w:hAnsi="宋体"/>
          <w:color w:val="auto"/>
          <w:szCs w:val="21"/>
        </w:rPr>
        <w:t>000万元，同类工程须单项合同额不低于</w:t>
      </w:r>
      <w:r>
        <w:rPr>
          <w:rFonts w:hint="eastAsia" w:ascii="宋体" w:hAnsi="宋体"/>
          <w:color w:val="auto"/>
          <w:szCs w:val="21"/>
        </w:rPr>
        <w:t>1</w:t>
      </w:r>
      <w:r>
        <w:rPr>
          <w:rFonts w:ascii="宋体" w:hAnsi="宋体"/>
          <w:color w:val="auto"/>
          <w:szCs w:val="21"/>
        </w:rPr>
        <w:t>000万元，类似工程须单项合同额不低于</w:t>
      </w:r>
      <w:r>
        <w:rPr>
          <w:rFonts w:hint="eastAsia" w:ascii="宋体" w:hAnsi="宋体"/>
          <w:color w:val="auto"/>
          <w:szCs w:val="21"/>
        </w:rPr>
        <w:t>5</w:t>
      </w:r>
      <w:r>
        <w:rPr>
          <w:rFonts w:ascii="宋体" w:hAnsi="宋体"/>
          <w:color w:val="auto"/>
          <w:szCs w:val="21"/>
        </w:rPr>
        <w:t>00万元；若标段最高限价</w:t>
      </w:r>
      <w:r>
        <w:rPr>
          <w:rFonts w:hint="eastAsia" w:ascii="宋体" w:hAnsi="宋体"/>
          <w:color w:val="auto"/>
          <w:szCs w:val="21"/>
        </w:rPr>
        <w:t>小于2</w:t>
      </w:r>
      <w:r>
        <w:rPr>
          <w:rFonts w:ascii="宋体" w:hAnsi="宋体"/>
          <w:color w:val="auto"/>
          <w:szCs w:val="21"/>
        </w:rPr>
        <w:t>000万元，同类工程须单项合同额不低于本标段工程最高限价的</w:t>
      </w:r>
      <w:r>
        <w:rPr>
          <w:rFonts w:hint="eastAsia" w:ascii="宋体" w:hAnsi="宋体"/>
          <w:color w:val="auto"/>
          <w:szCs w:val="21"/>
        </w:rPr>
        <w:t>5</w:t>
      </w:r>
      <w:r>
        <w:rPr>
          <w:rFonts w:ascii="宋体" w:hAnsi="宋体"/>
          <w:color w:val="auto"/>
          <w:szCs w:val="21"/>
        </w:rPr>
        <w:t>0%，类似工程须单项合同额不低于本标段工程最高限价的</w:t>
      </w:r>
      <w:r>
        <w:rPr>
          <w:rFonts w:hint="eastAsia" w:ascii="宋体" w:hAnsi="宋体"/>
          <w:color w:val="auto"/>
          <w:szCs w:val="21"/>
        </w:rPr>
        <w:t>25</w:t>
      </w:r>
      <w:r>
        <w:rPr>
          <w:rFonts w:ascii="宋体" w:hAnsi="宋体"/>
          <w:color w:val="auto"/>
          <w:szCs w:val="21"/>
        </w:rPr>
        <w:t>%。</w:t>
      </w:r>
    </w:p>
    <w:p>
      <w:pPr>
        <w:ind w:left="903" w:leftChars="280" w:hanging="315" w:hangingChars="150"/>
        <w:rPr>
          <w:rFonts w:hint="eastAsia" w:ascii="宋体" w:hAnsi="宋体"/>
          <w:color w:val="auto"/>
          <w:szCs w:val="21"/>
        </w:rPr>
      </w:pPr>
      <w:r>
        <w:rPr>
          <w:rFonts w:hint="eastAsia" w:ascii="宋体" w:hAnsi="宋体"/>
          <w:color w:val="auto"/>
          <w:szCs w:val="21"/>
        </w:rPr>
        <w:t xml:space="preserve"> 4．在具体项目招标时，应在投标人须知前附表对同类工程、类似工程进行定义，对工程类型、规模、等别、建筑物级别及投资等加以明确。</w:t>
      </w:r>
      <w:bookmarkStart w:id="194" w:name="_Toc491089642"/>
      <w:bookmarkStart w:id="195" w:name="_Toc222032651"/>
      <w:bookmarkStart w:id="196" w:name="_Toc222029482"/>
      <w:bookmarkStart w:id="197" w:name="_Toc222030984"/>
      <w:bookmarkStart w:id="198" w:name="_Toc229305342"/>
      <w:bookmarkStart w:id="199" w:name="_Toc222033833"/>
      <w:bookmarkStart w:id="200" w:name="_Toc387753551"/>
    </w:p>
    <w:p>
      <w:pPr>
        <w:pStyle w:val="80"/>
        <w:spacing w:before="120" w:after="156" w:afterLines="50"/>
        <w:rPr>
          <w:rFonts w:hint="eastAsia"/>
          <w:color w:val="auto"/>
        </w:rPr>
        <w:sectPr>
          <w:footerReference r:id="rId8" w:type="first"/>
          <w:footerReference r:id="rId7" w:type="default"/>
          <w:pgSz w:w="11906" w:h="16838"/>
          <w:pgMar w:top="1418" w:right="1469" w:bottom="1418" w:left="1418" w:header="851" w:footer="992" w:gutter="0"/>
          <w:pgNumType w:start="1"/>
          <w:cols w:space="720" w:num="1"/>
          <w:docGrid w:type="linesAndChars" w:linePitch="312" w:charSpace="0"/>
        </w:sectPr>
      </w:pPr>
    </w:p>
    <w:p>
      <w:pPr>
        <w:pStyle w:val="80"/>
        <w:spacing w:before="120" w:after="156" w:afterLines="50"/>
        <w:rPr>
          <w:rFonts w:hint="eastAsia"/>
          <w:color w:val="auto"/>
        </w:rPr>
      </w:pPr>
      <w:bookmarkStart w:id="201" w:name="_Toc16367"/>
      <w:r>
        <w:rPr>
          <w:rFonts w:hint="eastAsia"/>
          <w:color w:val="auto"/>
        </w:rPr>
        <w:t>1. 总则</w:t>
      </w:r>
      <w:bookmarkEnd w:id="186"/>
      <w:bookmarkEnd w:id="187"/>
      <w:bookmarkEnd w:id="188"/>
      <w:bookmarkEnd w:id="189"/>
      <w:bookmarkEnd w:id="194"/>
      <w:bookmarkEnd w:id="195"/>
      <w:bookmarkEnd w:id="196"/>
      <w:bookmarkEnd w:id="197"/>
      <w:bookmarkEnd w:id="198"/>
      <w:bookmarkEnd w:id="199"/>
      <w:bookmarkEnd w:id="200"/>
      <w:bookmarkEnd w:id="201"/>
    </w:p>
    <w:p>
      <w:pPr>
        <w:pStyle w:val="87"/>
        <w:rPr>
          <w:rFonts w:hint="eastAsia" w:ascii="Times New Roman"/>
          <w:color w:val="auto"/>
        </w:rPr>
      </w:pPr>
      <w:bookmarkStart w:id="202" w:name="_Toc491089643"/>
      <w:bookmarkStart w:id="203" w:name="_Toc25749"/>
      <w:bookmarkStart w:id="204" w:name="_Toc494315115"/>
      <w:bookmarkStart w:id="205" w:name="_Toc221950086"/>
      <w:r>
        <w:rPr>
          <w:rFonts w:hint="eastAsia" w:ascii="Times New Roman"/>
          <w:color w:val="auto"/>
        </w:rPr>
        <w:t>1.1 项目概况</w:t>
      </w:r>
      <w:bookmarkEnd w:id="202"/>
      <w:bookmarkEnd w:id="203"/>
      <w:bookmarkEnd w:id="204"/>
    </w:p>
    <w:p>
      <w:pPr>
        <w:spacing w:line="360" w:lineRule="auto"/>
        <w:ind w:firstLine="420" w:firstLineChars="200"/>
        <w:rPr>
          <w:rFonts w:hint="eastAsia" w:ascii="宋体" w:hAnsi="宋体"/>
          <w:color w:val="auto"/>
          <w:szCs w:val="21"/>
        </w:rPr>
      </w:pPr>
      <w:r>
        <w:rPr>
          <w:rFonts w:hint="eastAsia" w:ascii="宋体" w:hAnsi="宋体"/>
          <w:color w:val="auto"/>
          <w:szCs w:val="21"/>
        </w:rPr>
        <w:t>1.1.1根据《中华人民共和国招标投标法》、《中华人民共和国招标投标法实施条例》等有关法律、法规和规章的规定，本招标项目已具备招标条件，现对本标段施工进行招标。</w:t>
      </w:r>
    </w:p>
    <w:p>
      <w:pPr>
        <w:spacing w:line="360" w:lineRule="auto"/>
        <w:ind w:firstLine="420" w:firstLineChars="200"/>
        <w:rPr>
          <w:rFonts w:hint="eastAsia" w:ascii="宋体" w:hAnsi="宋体"/>
          <w:color w:val="auto"/>
          <w:szCs w:val="21"/>
        </w:rPr>
      </w:pPr>
      <w:r>
        <w:rPr>
          <w:rFonts w:hint="eastAsia" w:ascii="宋体" w:hAnsi="宋体"/>
          <w:color w:val="auto"/>
          <w:szCs w:val="21"/>
        </w:rPr>
        <w:t>1.1.2 本招标项目招标人：见投标人须知前附表。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1.1.3 本标段招标代理机构：见投标人须知前附表。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1.1.4 本招标项目名称、合同名称（合同编号）：见投标人须知前附表。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1.1.5 本标段建设地点：见投标人须知前附表。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1.1.6本招标项目现场管理机构：见投标人须知前附表。</w:t>
      </w:r>
      <w:bookmarkEnd w:id="205"/>
    </w:p>
    <w:p>
      <w:pPr>
        <w:spacing w:line="360" w:lineRule="auto"/>
        <w:ind w:firstLine="420" w:firstLineChars="200"/>
        <w:rPr>
          <w:rFonts w:hint="eastAsia" w:ascii="宋体" w:hAnsi="宋体"/>
          <w:color w:val="auto"/>
          <w:szCs w:val="21"/>
        </w:rPr>
      </w:pPr>
      <w:bookmarkStart w:id="206" w:name="_Toc221950087"/>
      <w:r>
        <w:rPr>
          <w:rFonts w:hint="eastAsia" w:ascii="宋体" w:hAnsi="宋体"/>
          <w:color w:val="auto"/>
          <w:szCs w:val="21"/>
        </w:rPr>
        <w:t>1.1.7本招标项目设计人：见投标人须知前附表。</w:t>
      </w:r>
      <w:bookmarkEnd w:id="206"/>
    </w:p>
    <w:p>
      <w:pPr>
        <w:spacing w:line="360" w:lineRule="auto"/>
        <w:ind w:firstLine="420" w:firstLineChars="200"/>
        <w:rPr>
          <w:rFonts w:hint="eastAsia" w:ascii="宋体" w:hAnsi="宋体"/>
          <w:color w:val="auto"/>
          <w:szCs w:val="21"/>
        </w:rPr>
      </w:pPr>
      <w:bookmarkStart w:id="207" w:name="_Toc221950088"/>
      <w:r>
        <w:rPr>
          <w:rFonts w:hint="eastAsia" w:ascii="宋体" w:hAnsi="宋体"/>
          <w:color w:val="auto"/>
          <w:szCs w:val="21"/>
        </w:rPr>
        <w:t>1.1.8本招标项目监理人：见投标人须知前附表。</w:t>
      </w:r>
      <w:bookmarkEnd w:id="207"/>
    </w:p>
    <w:p>
      <w:pPr>
        <w:spacing w:line="360" w:lineRule="auto"/>
        <w:ind w:firstLine="420" w:firstLineChars="200"/>
        <w:rPr>
          <w:rFonts w:hint="eastAsia" w:ascii="宋体" w:hAnsi="宋体"/>
          <w:color w:val="auto"/>
          <w:szCs w:val="21"/>
        </w:rPr>
      </w:pPr>
      <w:bookmarkStart w:id="208" w:name="_Toc221950089"/>
      <w:r>
        <w:rPr>
          <w:rFonts w:hint="eastAsia" w:ascii="宋体" w:hAnsi="宋体"/>
          <w:color w:val="auto"/>
          <w:szCs w:val="21"/>
        </w:rPr>
        <w:t>1.1.9本招标项目代建人：见投标人须知前附表。</w:t>
      </w:r>
      <w:bookmarkEnd w:id="208"/>
    </w:p>
    <w:p>
      <w:pPr>
        <w:pStyle w:val="87"/>
        <w:rPr>
          <w:rFonts w:hint="eastAsia" w:ascii="Times New Roman"/>
          <w:color w:val="auto"/>
        </w:rPr>
      </w:pPr>
      <w:bookmarkStart w:id="209" w:name="_Toc15688"/>
      <w:bookmarkStart w:id="210" w:name="_Toc152045531"/>
      <w:bookmarkStart w:id="211" w:name="_Toc491089644"/>
      <w:bookmarkStart w:id="212" w:name="_Toc152042307"/>
      <w:bookmarkStart w:id="213" w:name="_Toc494315116"/>
      <w:bookmarkStart w:id="214" w:name="_Toc179632548"/>
      <w:bookmarkStart w:id="215" w:name="_Toc144974499"/>
      <w:r>
        <w:rPr>
          <w:rFonts w:hint="eastAsia" w:ascii="Times New Roman"/>
          <w:color w:val="auto"/>
        </w:rPr>
        <w:t>1.2 资金来源和落实情况</w:t>
      </w:r>
      <w:bookmarkEnd w:id="209"/>
      <w:bookmarkEnd w:id="210"/>
      <w:bookmarkEnd w:id="211"/>
      <w:bookmarkEnd w:id="212"/>
      <w:bookmarkEnd w:id="213"/>
      <w:bookmarkEnd w:id="214"/>
      <w:bookmarkEnd w:id="215"/>
    </w:p>
    <w:p>
      <w:pPr>
        <w:spacing w:line="360" w:lineRule="auto"/>
        <w:ind w:firstLine="420" w:firstLineChars="200"/>
        <w:rPr>
          <w:rFonts w:hint="eastAsia" w:ascii="宋体" w:hAnsi="宋体"/>
          <w:color w:val="auto"/>
          <w:szCs w:val="21"/>
        </w:rPr>
      </w:pPr>
      <w:r>
        <w:rPr>
          <w:rFonts w:hint="eastAsia" w:ascii="宋体" w:hAnsi="宋体"/>
          <w:color w:val="auto"/>
          <w:szCs w:val="21"/>
        </w:rPr>
        <w:t>1.2.1 本招标项目的资金来源：见投标人须知前附表。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1.2.2 本招标项目的出资比例：见投标人须知前附表。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1.2.3 本招标项目的资金落实情况：见投标人须知前附表。</w:t>
      </w:r>
    </w:p>
    <w:p>
      <w:pPr>
        <w:pStyle w:val="87"/>
        <w:rPr>
          <w:rFonts w:hint="eastAsia" w:ascii="Times New Roman"/>
          <w:color w:val="auto"/>
        </w:rPr>
      </w:pPr>
      <w:bookmarkStart w:id="216" w:name="_Toc144974500"/>
      <w:bookmarkStart w:id="217" w:name="_Toc179632549"/>
      <w:bookmarkStart w:id="218" w:name="_Toc491089645"/>
      <w:bookmarkStart w:id="219" w:name="_Toc25838"/>
      <w:bookmarkStart w:id="220" w:name="_Toc152045532"/>
      <w:bookmarkStart w:id="221" w:name="_Toc494315117"/>
      <w:bookmarkStart w:id="222" w:name="_Toc152042308"/>
      <w:r>
        <w:rPr>
          <w:rFonts w:hint="eastAsia" w:ascii="Times New Roman"/>
          <w:color w:val="auto"/>
        </w:rPr>
        <w:t>1.3 招标范围、计划工期和质量要求</w:t>
      </w:r>
      <w:bookmarkEnd w:id="216"/>
      <w:bookmarkEnd w:id="217"/>
      <w:bookmarkEnd w:id="218"/>
      <w:bookmarkEnd w:id="219"/>
      <w:bookmarkEnd w:id="220"/>
      <w:bookmarkEnd w:id="221"/>
      <w:bookmarkEnd w:id="222"/>
    </w:p>
    <w:p>
      <w:pPr>
        <w:spacing w:line="360" w:lineRule="auto"/>
        <w:ind w:firstLine="420" w:firstLineChars="200"/>
        <w:rPr>
          <w:rFonts w:hint="eastAsia" w:ascii="宋体" w:hAnsi="宋体"/>
          <w:color w:val="auto"/>
          <w:szCs w:val="21"/>
        </w:rPr>
      </w:pPr>
      <w:r>
        <w:rPr>
          <w:rFonts w:hint="eastAsia" w:ascii="宋体" w:hAnsi="宋体"/>
          <w:color w:val="auto"/>
          <w:szCs w:val="21"/>
        </w:rPr>
        <w:t>1.3.1 本次招标范围：见投标人须知前附表。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1.3.2 本标段的计划工期：见投标人须知前附表。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1.3.3 本标段的质量要求：见投标人须知前附表。</w:t>
      </w:r>
    </w:p>
    <w:p>
      <w:pPr>
        <w:pStyle w:val="87"/>
        <w:rPr>
          <w:rFonts w:hint="eastAsia" w:ascii="Times New Roman"/>
          <w:color w:val="auto"/>
        </w:rPr>
      </w:pPr>
      <w:bookmarkStart w:id="223" w:name="_Toc494315118"/>
      <w:bookmarkStart w:id="224" w:name="_Toc491089646"/>
      <w:bookmarkStart w:id="225" w:name="_Toc1967"/>
      <w:r>
        <w:rPr>
          <w:rFonts w:hint="eastAsia" w:ascii="Times New Roman"/>
          <w:color w:val="auto"/>
        </w:rPr>
        <w:t>1.4 投标人资格要求</w:t>
      </w:r>
      <w:bookmarkEnd w:id="223"/>
      <w:bookmarkEnd w:id="224"/>
      <w:bookmarkEnd w:id="225"/>
    </w:p>
    <w:p>
      <w:pPr>
        <w:spacing w:line="360" w:lineRule="auto"/>
        <w:ind w:firstLine="420" w:firstLineChars="200"/>
        <w:rPr>
          <w:rFonts w:hint="eastAsia" w:ascii="宋体" w:hAnsi="宋体"/>
          <w:color w:val="auto"/>
          <w:szCs w:val="21"/>
        </w:rPr>
      </w:pPr>
      <w:r>
        <w:rPr>
          <w:rFonts w:hint="eastAsia" w:ascii="宋体" w:hAnsi="宋体"/>
          <w:color w:val="auto"/>
          <w:szCs w:val="21"/>
        </w:rPr>
        <w:t>1.4.1投标人应具备承担本标段施工的资质条件、能力和信誉。</w:t>
      </w:r>
    </w:p>
    <w:p>
      <w:pPr>
        <w:spacing w:line="360" w:lineRule="auto"/>
        <w:ind w:firstLine="718" w:firstLineChars="342"/>
        <w:rPr>
          <w:rFonts w:hint="eastAsia" w:ascii="宋体" w:hAnsi="宋体"/>
          <w:color w:val="auto"/>
          <w:szCs w:val="21"/>
          <w:highlight w:val="yellow"/>
        </w:rPr>
      </w:pPr>
      <w:r>
        <w:rPr>
          <w:rFonts w:hint="eastAsia" w:ascii="宋体" w:hAnsi="宋体"/>
          <w:color w:val="auto"/>
          <w:szCs w:val="21"/>
          <w:highlight w:val="yellow"/>
        </w:rPr>
        <w:t>（1）资质条件：见投标人须知前附表；</w:t>
      </w:r>
    </w:p>
    <w:p>
      <w:pPr>
        <w:spacing w:line="360" w:lineRule="auto"/>
        <w:ind w:firstLine="718" w:firstLineChars="342"/>
        <w:rPr>
          <w:rFonts w:hint="eastAsia" w:ascii="宋体" w:hAnsi="宋体"/>
          <w:color w:val="auto"/>
          <w:szCs w:val="21"/>
          <w:highlight w:val="yellow"/>
        </w:rPr>
      </w:pPr>
      <w:r>
        <w:rPr>
          <w:rFonts w:hint="eastAsia" w:ascii="宋体" w:hAnsi="宋体"/>
          <w:color w:val="auto"/>
          <w:szCs w:val="21"/>
          <w:highlight w:val="yellow"/>
        </w:rPr>
        <w:t>（2）信誉要求：见投标人须知前附表；</w:t>
      </w:r>
    </w:p>
    <w:p>
      <w:pPr>
        <w:spacing w:line="360" w:lineRule="auto"/>
        <w:ind w:firstLine="718" w:firstLineChars="342"/>
        <w:rPr>
          <w:rFonts w:hint="eastAsia" w:ascii="宋体" w:hAnsi="宋体"/>
          <w:color w:val="auto"/>
          <w:szCs w:val="21"/>
          <w:highlight w:val="yellow"/>
        </w:rPr>
      </w:pPr>
      <w:r>
        <w:rPr>
          <w:rFonts w:hint="eastAsia" w:ascii="宋体" w:hAnsi="宋体"/>
          <w:color w:val="auto"/>
          <w:szCs w:val="21"/>
          <w:highlight w:val="yellow"/>
        </w:rPr>
        <w:t>（</w:t>
      </w:r>
      <w:r>
        <w:rPr>
          <w:rFonts w:hint="eastAsia" w:ascii="宋体" w:hAnsi="宋体"/>
          <w:color w:val="auto"/>
          <w:szCs w:val="21"/>
          <w:highlight w:val="yellow"/>
          <w:lang w:val="en-US" w:eastAsia="zh-CN"/>
        </w:rPr>
        <w:t>3</w:t>
      </w:r>
      <w:r>
        <w:rPr>
          <w:rFonts w:hint="eastAsia" w:ascii="宋体" w:hAnsi="宋体"/>
          <w:color w:val="auto"/>
          <w:szCs w:val="21"/>
          <w:highlight w:val="yellow"/>
        </w:rPr>
        <w:t>）业绩要求：见投标人须知前附表；</w:t>
      </w:r>
    </w:p>
    <w:p>
      <w:pPr>
        <w:spacing w:line="360" w:lineRule="auto"/>
        <w:ind w:firstLine="735" w:firstLineChars="350"/>
        <w:rPr>
          <w:rFonts w:hint="eastAsia" w:ascii="宋体" w:hAnsi="宋体"/>
          <w:color w:val="auto"/>
          <w:szCs w:val="21"/>
          <w:highlight w:val="yellow"/>
        </w:rPr>
      </w:pPr>
      <w:r>
        <w:rPr>
          <w:rFonts w:hint="eastAsia" w:ascii="宋体" w:hAnsi="宋体"/>
          <w:color w:val="auto"/>
          <w:szCs w:val="21"/>
          <w:highlight w:val="yellow"/>
        </w:rPr>
        <w:t>（</w:t>
      </w:r>
      <w:r>
        <w:rPr>
          <w:rFonts w:hint="eastAsia" w:ascii="宋体" w:hAnsi="宋体"/>
          <w:color w:val="auto"/>
          <w:szCs w:val="21"/>
          <w:highlight w:val="yellow"/>
          <w:lang w:val="en-US" w:eastAsia="zh-CN"/>
        </w:rPr>
        <w:t>4</w:t>
      </w:r>
      <w:r>
        <w:rPr>
          <w:rFonts w:hint="eastAsia" w:ascii="宋体" w:hAnsi="宋体"/>
          <w:color w:val="auto"/>
          <w:szCs w:val="21"/>
          <w:highlight w:val="yellow"/>
        </w:rPr>
        <w:t>）人员要求：见投标人须知前附表；</w:t>
      </w:r>
    </w:p>
    <w:p>
      <w:pPr>
        <w:spacing w:line="360" w:lineRule="auto"/>
        <w:ind w:firstLine="735" w:firstLineChars="350"/>
        <w:rPr>
          <w:rFonts w:hint="eastAsia" w:ascii="宋体" w:hAnsi="宋体"/>
          <w:color w:val="auto"/>
          <w:szCs w:val="21"/>
          <w:highlight w:val="yellow"/>
        </w:rPr>
      </w:pPr>
      <w:r>
        <w:rPr>
          <w:rFonts w:hint="eastAsia" w:ascii="宋体" w:hAnsi="宋体"/>
          <w:color w:val="auto"/>
          <w:szCs w:val="21"/>
          <w:highlight w:val="yellow"/>
        </w:rPr>
        <w:t>（</w:t>
      </w:r>
      <w:r>
        <w:rPr>
          <w:rFonts w:hint="eastAsia" w:ascii="宋体" w:hAnsi="宋体"/>
          <w:color w:val="auto"/>
          <w:szCs w:val="21"/>
          <w:highlight w:val="yellow"/>
          <w:lang w:val="en-US" w:eastAsia="zh-CN"/>
        </w:rPr>
        <w:t>5</w:t>
      </w:r>
      <w:r>
        <w:rPr>
          <w:rFonts w:hint="eastAsia" w:ascii="宋体" w:hAnsi="宋体"/>
          <w:color w:val="auto"/>
          <w:szCs w:val="21"/>
          <w:highlight w:val="yellow"/>
        </w:rPr>
        <w:t>）其他要求：见投标人须知前附表。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1.4.2 投标人须知前附表规定接受联合体投标的，除应符合本章第1.4.1项和投标人须知前附表的要求外，还应遵守以下规定： </w:t>
      </w:r>
    </w:p>
    <w:p>
      <w:pPr>
        <w:spacing w:line="360" w:lineRule="auto"/>
        <w:ind w:firstLine="718" w:firstLineChars="342"/>
        <w:rPr>
          <w:rFonts w:hint="eastAsia" w:ascii="宋体" w:hAnsi="宋体"/>
          <w:color w:val="auto"/>
          <w:szCs w:val="21"/>
        </w:rPr>
      </w:pPr>
      <w:r>
        <w:rPr>
          <w:rFonts w:hint="eastAsia" w:ascii="宋体" w:hAnsi="宋体"/>
          <w:color w:val="auto"/>
          <w:szCs w:val="21"/>
        </w:rPr>
        <w:t>（1）联合体各方应按招标文件提供的格式签订联合体协议书，明确联合体牵头人和各方权利义务；</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（2）由同一专业的单位组成的联合体，按照资质等级较低的单位确定资质等级； </w:t>
      </w:r>
    </w:p>
    <w:p>
      <w:pPr>
        <w:spacing w:line="360" w:lineRule="auto"/>
        <w:ind w:firstLine="718" w:firstLineChars="342"/>
        <w:rPr>
          <w:rFonts w:hint="eastAsia" w:ascii="宋体" w:hAnsi="宋体"/>
          <w:color w:val="auto"/>
          <w:szCs w:val="21"/>
          <w:lang w:eastAsia="zh-CN"/>
        </w:rPr>
      </w:pPr>
      <w:r>
        <w:rPr>
          <w:rFonts w:hint="eastAsia" w:ascii="宋体" w:hAnsi="宋体"/>
          <w:color w:val="auto"/>
          <w:szCs w:val="21"/>
        </w:rPr>
        <w:t>（3）联合体各方不得再以自己名义单独或参加其他联合体在同一标段中投标</w:t>
      </w:r>
      <w:r>
        <w:rPr>
          <w:rFonts w:hint="eastAsia" w:ascii="宋体" w:hAnsi="宋体"/>
          <w:color w:val="auto"/>
          <w:szCs w:val="21"/>
          <w:lang w:eastAsia="zh-CN"/>
        </w:rPr>
        <w:t>；</w:t>
      </w:r>
    </w:p>
    <w:p>
      <w:pPr>
        <w:spacing w:line="360" w:lineRule="auto"/>
        <w:ind w:firstLine="718" w:firstLineChars="342"/>
        <w:rPr>
          <w:rFonts w:hint="eastAsia" w:ascii="宋体" w:hAnsi="宋体"/>
          <w:color w:val="auto"/>
          <w:szCs w:val="21"/>
          <w:highlight w:val="yellow"/>
        </w:rPr>
      </w:pPr>
      <w:r>
        <w:rPr>
          <w:rFonts w:hint="eastAsia" w:ascii="宋体" w:hAnsi="宋体"/>
          <w:color w:val="auto"/>
          <w:szCs w:val="21"/>
          <w:highlight w:val="yellow"/>
          <w:lang w:eastAsia="zh-CN"/>
        </w:rPr>
        <w:t>（</w:t>
      </w:r>
      <w:r>
        <w:rPr>
          <w:rFonts w:hint="eastAsia" w:ascii="宋体" w:hAnsi="宋体"/>
          <w:color w:val="auto"/>
          <w:szCs w:val="21"/>
          <w:highlight w:val="yellow"/>
          <w:lang w:val="en-US" w:eastAsia="zh-CN"/>
        </w:rPr>
        <w:t>4）联合体牵头人在上传投标文件前，需在电子交易平台中确定联合体成员单位</w:t>
      </w:r>
      <w:r>
        <w:rPr>
          <w:rFonts w:hint="eastAsia" w:ascii="宋体" w:hAnsi="宋体"/>
          <w:color w:val="auto"/>
          <w:szCs w:val="21"/>
          <w:highlight w:val="yellow"/>
        </w:rPr>
        <w:t>。</w:t>
      </w:r>
    </w:p>
    <w:p>
      <w:pPr>
        <w:spacing w:line="360" w:lineRule="auto"/>
        <w:ind w:firstLine="420" w:firstLineChars="200"/>
        <w:rPr>
          <w:rFonts w:hint="eastAsia" w:ascii="宋体" w:hAnsi="宋体"/>
          <w:color w:val="auto"/>
          <w:szCs w:val="21"/>
        </w:rPr>
      </w:pPr>
      <w:r>
        <w:rPr>
          <w:rFonts w:hint="eastAsia" w:ascii="宋体" w:hAnsi="宋体"/>
          <w:color w:val="auto"/>
          <w:szCs w:val="21"/>
        </w:rPr>
        <w:t>1.4.3投标人不得存在下列情形之一：</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（1）为招标人不具有独立法人资格的附属机构（单位）； </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（2）为本标段前期准备提供设计或咨询服务，但设计施工总承包的除外； </w:t>
      </w:r>
    </w:p>
    <w:p>
      <w:pPr>
        <w:spacing w:line="360" w:lineRule="auto"/>
        <w:ind w:firstLine="718" w:firstLineChars="342"/>
        <w:rPr>
          <w:rFonts w:hint="eastAsia" w:ascii="宋体" w:hAnsi="宋体"/>
          <w:color w:val="auto"/>
          <w:szCs w:val="21"/>
        </w:rPr>
      </w:pPr>
      <w:r>
        <w:rPr>
          <w:rFonts w:hint="eastAsia" w:ascii="宋体" w:hAnsi="宋体"/>
          <w:color w:val="auto"/>
          <w:szCs w:val="21"/>
        </w:rPr>
        <w:t>（3）为本标段的监理人；</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（4）为本标段的代建人； </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（5）为本标段提供招标代理服务； </w:t>
      </w:r>
    </w:p>
    <w:p>
      <w:pPr>
        <w:spacing w:line="360" w:lineRule="auto"/>
        <w:ind w:firstLine="718" w:firstLineChars="342"/>
        <w:rPr>
          <w:rFonts w:hint="eastAsia" w:ascii="宋体" w:hAnsi="宋体"/>
          <w:color w:val="auto"/>
          <w:szCs w:val="21"/>
        </w:rPr>
      </w:pPr>
      <w:r>
        <w:rPr>
          <w:rFonts w:hint="eastAsia" w:ascii="宋体" w:hAnsi="宋体"/>
          <w:color w:val="auto"/>
          <w:szCs w:val="21"/>
        </w:rPr>
        <w:t>（6）与本标段的监理人或代建人或招标代理机构同为一个法定代表人；</w:t>
      </w:r>
    </w:p>
    <w:p>
      <w:pPr>
        <w:spacing w:line="360" w:lineRule="auto"/>
        <w:ind w:firstLine="718" w:firstLineChars="342"/>
        <w:rPr>
          <w:rFonts w:hint="eastAsia" w:ascii="宋体" w:hAnsi="宋体"/>
          <w:color w:val="auto"/>
          <w:szCs w:val="21"/>
        </w:rPr>
      </w:pPr>
      <w:r>
        <w:rPr>
          <w:rFonts w:hint="eastAsia" w:ascii="宋体" w:hAnsi="宋体"/>
          <w:color w:val="auto"/>
          <w:szCs w:val="21"/>
        </w:rPr>
        <w:t>（7）与本标段的监理人或代建人或招标代理机构相互控股或参股；</w:t>
      </w:r>
    </w:p>
    <w:p>
      <w:pPr>
        <w:spacing w:line="360" w:lineRule="auto"/>
        <w:ind w:firstLine="718" w:firstLineChars="342"/>
        <w:rPr>
          <w:rFonts w:hint="eastAsia" w:ascii="宋体" w:hAnsi="宋体"/>
          <w:color w:val="auto"/>
          <w:szCs w:val="21"/>
        </w:rPr>
      </w:pPr>
      <w:r>
        <w:rPr>
          <w:rFonts w:hint="eastAsia" w:ascii="宋体" w:hAnsi="宋体"/>
          <w:color w:val="auto"/>
          <w:szCs w:val="21"/>
        </w:rPr>
        <w:t>（8）与本标段的监理人或代建人或招标代理机构相互任职或工作；</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（9）被责令停产停业、暂扣或者吊销许可证、暂扣或者吊销执照； </w:t>
      </w:r>
    </w:p>
    <w:p>
      <w:pPr>
        <w:spacing w:line="360" w:lineRule="auto"/>
        <w:ind w:firstLine="718" w:firstLineChars="342"/>
        <w:rPr>
          <w:rFonts w:hint="eastAsia" w:ascii="宋体" w:hAnsi="宋体"/>
          <w:color w:val="auto"/>
          <w:szCs w:val="21"/>
        </w:rPr>
      </w:pPr>
      <w:r>
        <w:rPr>
          <w:rFonts w:hint="eastAsia" w:ascii="宋体" w:hAnsi="宋体"/>
          <w:color w:val="auto"/>
          <w:szCs w:val="21"/>
        </w:rPr>
        <w:t xml:space="preserve">（10）被依法暂停或取消投标资格的（指被本招标项目所在地县级及以上水、住建、公共资源交易监督管理行政主管部门暂停或取消投标资格或禁止进入该区域建设市场且处罚在有效期内或公示期内）； </w:t>
      </w:r>
    </w:p>
    <w:p>
      <w:pPr>
        <w:spacing w:line="360" w:lineRule="auto"/>
        <w:ind w:firstLine="718" w:firstLineChars="342"/>
        <w:rPr>
          <w:rFonts w:hint="eastAsia" w:ascii="宋体" w:hAnsi="宋体"/>
          <w:color w:val="auto"/>
          <w:szCs w:val="21"/>
        </w:rPr>
      </w:pPr>
      <w:r>
        <w:rPr>
          <w:rFonts w:hint="eastAsia" w:ascii="宋体" w:hAnsi="宋体"/>
          <w:color w:val="auto"/>
          <w:szCs w:val="21"/>
        </w:rPr>
        <w:t>（11）</w:t>
      </w:r>
      <w:r>
        <w:rPr>
          <w:rFonts w:hint="eastAsia"/>
          <w:color w:val="auto"/>
        </w:rPr>
        <w:t>进入清算程序</w:t>
      </w:r>
      <w:r>
        <w:rPr>
          <w:rFonts w:ascii="宋体" w:hAnsi="宋体" w:cs="宋体"/>
          <w:color w:val="auto"/>
          <w:kern w:val="0"/>
          <w:szCs w:val="21"/>
        </w:rPr>
        <w:t>，</w:t>
      </w:r>
      <w:r>
        <w:rPr>
          <w:rFonts w:hint="eastAsia" w:ascii="宋体" w:hAnsi="宋体" w:cs="宋体"/>
          <w:color w:val="auto"/>
          <w:kern w:val="0"/>
          <w:szCs w:val="21"/>
        </w:rPr>
        <w:t>或</w:t>
      </w:r>
      <w:r>
        <w:rPr>
          <w:rFonts w:ascii="宋体" w:hAnsi="宋体" w:cs="宋体"/>
          <w:color w:val="auto"/>
          <w:kern w:val="0"/>
          <w:szCs w:val="21"/>
        </w:rPr>
        <w:t>被宣告破产，或其他丧失履约能力的情形；</w:t>
      </w:r>
    </w:p>
    <w:p>
      <w:pPr>
        <w:spacing w:line="360" w:lineRule="auto"/>
        <w:ind w:firstLine="718" w:firstLineChars="342"/>
        <w:rPr>
          <w:rFonts w:hint="eastAsia" w:ascii="宋体" w:hAnsi="宋体" w:cs="宋体"/>
          <w:color w:val="auto"/>
          <w:kern w:val="0"/>
          <w:szCs w:val="21"/>
        </w:rPr>
      </w:pPr>
      <w:r>
        <w:rPr>
          <w:rFonts w:hint="eastAsia" w:ascii="宋体" w:hAnsi="宋体" w:cs="宋体"/>
          <w:color w:val="auto"/>
          <w:kern w:val="0"/>
          <w:szCs w:val="21"/>
        </w:rPr>
        <w:t>（12）在近三年内发生重大工程质量问题</w:t>
      </w:r>
      <w:r>
        <w:rPr>
          <w:rFonts w:ascii="宋体" w:hAnsi="宋体" w:cs="宋体"/>
          <w:color w:val="auto"/>
          <w:kern w:val="0"/>
          <w:szCs w:val="21"/>
        </w:rPr>
        <w:t>（以相关行业主管部门的行政处罚决定或司法机关出具的有关法律文书为准）；</w:t>
      </w:r>
    </w:p>
    <w:p>
      <w:pPr>
        <w:spacing w:line="360" w:lineRule="auto"/>
        <w:ind w:firstLine="718" w:firstLineChars="342"/>
        <w:rPr>
          <w:rFonts w:ascii="宋体" w:hAnsi="宋体" w:cs="宋体"/>
          <w:color w:val="auto"/>
          <w:kern w:val="0"/>
          <w:szCs w:val="21"/>
        </w:rPr>
      </w:pPr>
      <w:r>
        <w:rPr>
          <w:rFonts w:ascii="宋体" w:hAnsi="宋体" w:cs="宋体"/>
          <w:color w:val="auto"/>
          <w:kern w:val="0"/>
          <w:szCs w:val="21"/>
        </w:rPr>
        <w:t>（</w:t>
      </w:r>
      <w:r>
        <w:rPr>
          <w:color w:val="auto"/>
          <w:kern w:val="0"/>
          <w:szCs w:val="21"/>
        </w:rPr>
        <w:t>1</w:t>
      </w:r>
      <w:r>
        <w:rPr>
          <w:rFonts w:hint="eastAsia"/>
          <w:color w:val="auto"/>
          <w:kern w:val="0"/>
          <w:szCs w:val="21"/>
        </w:rPr>
        <w:t>3</w:t>
      </w:r>
      <w:r>
        <w:rPr>
          <w:rFonts w:ascii="宋体" w:hAnsi="宋体" w:cs="宋体"/>
          <w:color w:val="auto"/>
          <w:kern w:val="0"/>
          <w:szCs w:val="21"/>
        </w:rPr>
        <w:t>）被工商</w:t>
      </w:r>
      <w:r>
        <w:rPr>
          <w:rFonts w:ascii="宋体" w:hAnsi="宋体"/>
          <w:color w:val="auto"/>
          <w:szCs w:val="21"/>
        </w:rPr>
        <w:t>行政管理</w:t>
      </w:r>
      <w:r>
        <w:rPr>
          <w:rFonts w:ascii="宋体" w:hAnsi="宋体" w:cs="宋体"/>
          <w:color w:val="auto"/>
          <w:kern w:val="0"/>
          <w:szCs w:val="21"/>
        </w:rPr>
        <w:t>机关</w:t>
      </w:r>
      <w:r>
        <w:rPr>
          <w:rFonts w:hint="eastAsia" w:ascii="宋体" w:hAnsi="宋体" w:cs="宋体"/>
          <w:color w:val="auto"/>
          <w:kern w:val="0"/>
          <w:szCs w:val="21"/>
        </w:rPr>
        <w:t>(市场</w:t>
      </w:r>
      <w:r>
        <w:rPr>
          <w:rFonts w:ascii="宋体" w:hAnsi="宋体" w:cs="宋体"/>
          <w:color w:val="auto"/>
          <w:kern w:val="0"/>
          <w:szCs w:val="21"/>
        </w:rPr>
        <w:t>监管部门</w:t>
      </w:r>
      <w:r>
        <w:rPr>
          <w:rFonts w:hint="eastAsia" w:ascii="宋体" w:hAnsi="宋体" w:cs="宋体"/>
          <w:color w:val="auto"/>
          <w:kern w:val="0"/>
          <w:szCs w:val="21"/>
        </w:rPr>
        <w:t>)</w:t>
      </w:r>
      <w:r>
        <w:rPr>
          <w:rFonts w:ascii="宋体" w:hAnsi="宋体" w:cs="宋体"/>
          <w:color w:val="auto"/>
          <w:kern w:val="0"/>
          <w:szCs w:val="21"/>
        </w:rPr>
        <w:t>在</w:t>
      </w:r>
      <w:r>
        <w:rPr>
          <w:rFonts w:hint="eastAsia" w:ascii="宋体" w:hAnsi="宋体" w:cs="宋体"/>
          <w:color w:val="auto"/>
          <w:kern w:val="0"/>
          <w:szCs w:val="21"/>
        </w:rPr>
        <w:t>“国家</w:t>
      </w:r>
      <w:r>
        <w:rPr>
          <w:rFonts w:ascii="宋体" w:hAnsi="宋体" w:cs="宋体"/>
          <w:color w:val="auto"/>
          <w:kern w:val="0"/>
          <w:szCs w:val="21"/>
        </w:rPr>
        <w:t>企业信用信息公示系统</w:t>
      </w:r>
      <w:r>
        <w:rPr>
          <w:rFonts w:hint="eastAsia" w:ascii="宋体" w:hAnsi="宋体" w:cs="宋体"/>
          <w:color w:val="auto"/>
          <w:kern w:val="0"/>
          <w:szCs w:val="21"/>
        </w:rPr>
        <w:t>”（</w:t>
      </w:r>
      <w:r>
        <w:rPr>
          <w:color w:val="auto"/>
          <w:szCs w:val="21"/>
        </w:rPr>
        <w:t>www.gsxt.gov.cn</w:t>
      </w:r>
      <w:r>
        <w:rPr>
          <w:rFonts w:hint="eastAsia" w:ascii="宋体" w:hAnsi="宋体" w:cs="宋体"/>
          <w:color w:val="auto"/>
          <w:kern w:val="0"/>
          <w:szCs w:val="21"/>
        </w:rPr>
        <w:t>）</w:t>
      </w:r>
      <w:r>
        <w:rPr>
          <w:rFonts w:ascii="宋体" w:hAnsi="宋体" w:cs="宋体"/>
          <w:color w:val="auto"/>
          <w:kern w:val="0"/>
          <w:szCs w:val="21"/>
        </w:rPr>
        <w:t>列入严重违法失信企业名单；</w:t>
      </w:r>
    </w:p>
    <w:p>
      <w:pPr>
        <w:spacing w:line="360" w:lineRule="auto"/>
        <w:ind w:firstLine="718" w:firstLineChars="342"/>
        <w:rPr>
          <w:rFonts w:ascii="宋体" w:hAnsi="宋体" w:cs="宋体"/>
          <w:color w:val="auto"/>
          <w:kern w:val="0"/>
          <w:szCs w:val="21"/>
        </w:rPr>
      </w:pPr>
      <w:r>
        <w:rPr>
          <w:rFonts w:ascii="宋体" w:hAnsi="宋体" w:cs="宋体"/>
          <w:color w:val="auto"/>
          <w:kern w:val="0"/>
          <w:szCs w:val="21"/>
        </w:rPr>
        <w:t>（</w:t>
      </w:r>
      <w:r>
        <w:rPr>
          <w:color w:val="auto"/>
          <w:kern w:val="0"/>
          <w:szCs w:val="21"/>
        </w:rPr>
        <w:t>1</w:t>
      </w:r>
      <w:r>
        <w:rPr>
          <w:rFonts w:hint="eastAsia"/>
          <w:color w:val="auto"/>
          <w:kern w:val="0"/>
          <w:szCs w:val="21"/>
        </w:rPr>
        <w:t>4</w:t>
      </w:r>
      <w:r>
        <w:rPr>
          <w:rFonts w:ascii="宋体" w:hAnsi="宋体" w:cs="宋体"/>
          <w:color w:val="auto"/>
          <w:kern w:val="0"/>
          <w:szCs w:val="21"/>
        </w:rPr>
        <w:t>）被最高人民法院在</w:t>
      </w:r>
      <w:r>
        <w:rPr>
          <w:rFonts w:ascii="宋体" w:hAnsi="宋体"/>
          <w:color w:val="auto"/>
          <w:szCs w:val="21"/>
        </w:rPr>
        <w:t>“</w:t>
      </w:r>
      <w:r>
        <w:rPr>
          <w:rFonts w:ascii="宋体" w:hAnsi="宋体" w:cs="宋体"/>
          <w:color w:val="auto"/>
          <w:szCs w:val="21"/>
        </w:rPr>
        <w:t>信用中国</w:t>
      </w:r>
      <w:r>
        <w:rPr>
          <w:rFonts w:ascii="宋体" w:hAnsi="宋体"/>
          <w:color w:val="auto"/>
          <w:szCs w:val="21"/>
        </w:rPr>
        <w:t>”</w:t>
      </w:r>
      <w:r>
        <w:rPr>
          <w:rFonts w:ascii="宋体" w:hAnsi="宋体" w:cs="宋体"/>
          <w:color w:val="auto"/>
          <w:kern w:val="0"/>
          <w:szCs w:val="21"/>
        </w:rPr>
        <w:t>（</w:t>
      </w:r>
      <w:r>
        <w:rPr>
          <w:color w:val="auto"/>
          <w:kern w:val="0"/>
          <w:szCs w:val="21"/>
        </w:rPr>
        <w:t>www.creditchina.gov.cn</w:t>
      </w:r>
      <w:r>
        <w:rPr>
          <w:rFonts w:ascii="宋体" w:hAnsi="宋体" w:cs="宋体"/>
          <w:color w:val="auto"/>
          <w:kern w:val="0"/>
          <w:szCs w:val="21"/>
        </w:rPr>
        <w:t>）列入失信被执行人名单；</w:t>
      </w:r>
    </w:p>
    <w:p>
      <w:pPr>
        <w:spacing w:line="360" w:lineRule="auto"/>
        <w:ind w:firstLine="718" w:firstLineChars="342"/>
        <w:rPr>
          <w:rFonts w:ascii="宋体" w:hAnsi="宋体" w:cs="宋体"/>
          <w:color w:val="auto"/>
          <w:kern w:val="0"/>
          <w:szCs w:val="21"/>
        </w:rPr>
      </w:pPr>
      <w:r>
        <w:rPr>
          <w:rFonts w:hint="eastAsia"/>
          <w:color w:val="auto"/>
          <w:szCs w:val="21"/>
        </w:rPr>
        <w:t>（15</w:t>
      </w:r>
      <w:r>
        <w:rPr>
          <w:rFonts w:hint="eastAsia" w:ascii="宋体" w:hAnsi="宋体" w:cs="宋体"/>
          <w:color w:val="auto"/>
          <w:kern w:val="0"/>
          <w:szCs w:val="21"/>
        </w:rPr>
        <w:t>）</w:t>
      </w:r>
      <w:r>
        <w:rPr>
          <w:rFonts w:ascii="宋体" w:hAnsi="宋体" w:cs="宋体"/>
          <w:color w:val="auto"/>
          <w:kern w:val="0"/>
          <w:szCs w:val="21"/>
        </w:rPr>
        <w:t>近三年内投标人</w:t>
      </w:r>
      <w:r>
        <w:rPr>
          <w:rFonts w:hint="eastAsia" w:ascii="宋体" w:hAnsi="宋体" w:cs="宋体"/>
          <w:color w:val="auto"/>
          <w:kern w:val="0"/>
          <w:szCs w:val="21"/>
        </w:rPr>
        <w:t>及</w:t>
      </w:r>
      <w:r>
        <w:rPr>
          <w:rFonts w:ascii="宋体" w:hAnsi="宋体" w:cs="宋体"/>
          <w:color w:val="auto"/>
          <w:kern w:val="0"/>
          <w:szCs w:val="21"/>
        </w:rPr>
        <w:t>其法定代表人</w:t>
      </w:r>
      <w:r>
        <w:rPr>
          <w:rFonts w:hint="eastAsia" w:ascii="宋体" w:hAnsi="宋体" w:cs="宋体"/>
          <w:color w:val="auto"/>
          <w:kern w:val="0"/>
          <w:szCs w:val="21"/>
        </w:rPr>
        <w:t>和</w:t>
      </w:r>
      <w:r>
        <w:rPr>
          <w:rFonts w:ascii="宋体" w:hAnsi="宋体" w:cs="宋体"/>
          <w:color w:val="auto"/>
          <w:kern w:val="0"/>
          <w:szCs w:val="21"/>
        </w:rPr>
        <w:t>拟任</w:t>
      </w:r>
      <w:r>
        <w:rPr>
          <w:rFonts w:hint="eastAsia" w:ascii="宋体" w:hAnsi="宋体" w:cs="宋体"/>
          <w:color w:val="auto"/>
          <w:kern w:val="0"/>
          <w:szCs w:val="21"/>
        </w:rPr>
        <w:t>项目经理、技术负责人</w:t>
      </w:r>
      <w:r>
        <w:rPr>
          <w:rFonts w:ascii="宋体" w:hAnsi="宋体" w:cs="宋体"/>
          <w:color w:val="auto"/>
          <w:kern w:val="0"/>
          <w:szCs w:val="21"/>
        </w:rPr>
        <w:t>有行贿犯罪行为；</w:t>
      </w:r>
    </w:p>
    <w:p>
      <w:pPr>
        <w:spacing w:line="360" w:lineRule="auto"/>
        <w:ind w:firstLine="718" w:firstLineChars="342"/>
        <w:rPr>
          <w:rFonts w:ascii="宋体" w:hAnsi="宋体" w:cs="宋体"/>
          <w:color w:val="auto"/>
          <w:kern w:val="0"/>
          <w:szCs w:val="21"/>
        </w:rPr>
      </w:pPr>
      <w:r>
        <w:rPr>
          <w:rFonts w:hint="eastAsia" w:ascii="宋体" w:hAnsi="宋体" w:cs="宋体"/>
          <w:color w:val="auto"/>
          <w:kern w:val="0"/>
          <w:szCs w:val="21"/>
        </w:rPr>
        <w:t>（16）</w:t>
      </w:r>
      <w:r>
        <w:rPr>
          <w:rFonts w:hint="eastAsia"/>
          <w:color w:val="auto"/>
          <w:u w:val="single"/>
        </w:rPr>
        <w:t>因拖欠农民工工资而被县</w:t>
      </w:r>
      <w:r>
        <w:rPr>
          <w:color w:val="auto"/>
          <w:u w:val="single"/>
        </w:rPr>
        <w:t>级及以上</w:t>
      </w:r>
      <w:r>
        <w:rPr>
          <w:rFonts w:hint="eastAsia"/>
          <w:color w:val="auto"/>
          <w:u w:val="single"/>
        </w:rPr>
        <w:t>人社部门作出行政处罚且处于</w:t>
      </w:r>
      <w:r>
        <w:rPr>
          <w:color w:val="auto"/>
          <w:u w:val="single"/>
        </w:rPr>
        <w:t>有效期内</w:t>
      </w:r>
      <w:r>
        <w:rPr>
          <w:rFonts w:hint="eastAsia"/>
          <w:color w:val="auto"/>
          <w:u w:val="single"/>
        </w:rPr>
        <w:t>或公示期内；</w:t>
      </w:r>
    </w:p>
    <w:p>
      <w:pPr>
        <w:spacing w:line="360" w:lineRule="auto"/>
        <w:ind w:firstLine="718" w:firstLineChars="342"/>
        <w:rPr>
          <w:rFonts w:hint="eastAsia" w:ascii="宋体" w:hAnsi="宋体" w:cs="宋体"/>
          <w:color w:val="auto"/>
          <w:kern w:val="0"/>
        </w:rPr>
      </w:pPr>
      <w:r>
        <w:rPr>
          <w:rFonts w:hint="eastAsia" w:ascii="宋体" w:hAnsi="宋体" w:cs="宋体"/>
          <w:color w:val="auto"/>
          <w:kern w:val="0"/>
          <w:szCs w:val="21"/>
        </w:rPr>
        <w:t>（17）</w:t>
      </w:r>
      <w:r>
        <w:rPr>
          <w:rFonts w:ascii="宋体" w:hAnsi="宋体"/>
          <w:color w:val="auto"/>
          <w:kern w:val="0"/>
          <w:szCs w:val="21"/>
        </w:rPr>
        <w:t>法律法规或</w:t>
      </w:r>
      <w:r>
        <w:rPr>
          <w:rFonts w:ascii="宋体" w:hAnsi="宋体" w:cs="宋体"/>
          <w:color w:val="auto"/>
          <w:kern w:val="0"/>
          <w:szCs w:val="21"/>
        </w:rPr>
        <w:t>投标人须知</w:t>
      </w:r>
      <w:r>
        <w:rPr>
          <w:rFonts w:ascii="宋体" w:hAnsi="宋体"/>
          <w:color w:val="auto"/>
          <w:kern w:val="0"/>
          <w:szCs w:val="21"/>
        </w:rPr>
        <w:t>前附表规定的其他情形。</w:t>
      </w:r>
    </w:p>
    <w:p>
      <w:pPr>
        <w:spacing w:line="360" w:lineRule="auto"/>
        <w:ind w:firstLine="718" w:firstLineChars="342"/>
        <w:rPr>
          <w:rFonts w:hint="eastAsia" w:ascii="宋体" w:hAnsi="宋体"/>
          <w:color w:val="auto"/>
          <w:szCs w:val="21"/>
        </w:rPr>
      </w:pPr>
      <w:r>
        <w:rPr>
          <w:rFonts w:hint="eastAsia" w:ascii="宋体" w:hAnsi="宋体"/>
          <w:color w:val="auto"/>
          <w:szCs w:val="21"/>
        </w:rPr>
        <w:t>1.4.4投标人存在下列情形之一的，相关投标均无效：</w:t>
      </w:r>
    </w:p>
    <w:p>
      <w:pPr>
        <w:spacing w:line="360" w:lineRule="auto"/>
        <w:ind w:firstLine="718" w:firstLineChars="342"/>
        <w:rPr>
          <w:rFonts w:hint="eastAsia" w:ascii="宋体" w:hAnsi="宋体"/>
          <w:color w:val="auto"/>
          <w:szCs w:val="21"/>
        </w:rPr>
      </w:pPr>
      <w:r>
        <w:rPr>
          <w:rFonts w:hint="eastAsia" w:ascii="宋体" w:hAnsi="宋体"/>
          <w:color w:val="auto"/>
          <w:szCs w:val="21"/>
        </w:rPr>
        <w:t>（1）与招标人存在利害关系影响招标公正性的；</w:t>
      </w:r>
    </w:p>
    <w:p>
      <w:pPr>
        <w:spacing w:line="360" w:lineRule="auto"/>
        <w:ind w:firstLine="718" w:firstLineChars="342"/>
        <w:rPr>
          <w:rFonts w:hint="eastAsia" w:ascii="宋体" w:hAnsi="宋体"/>
          <w:color w:val="auto"/>
          <w:szCs w:val="21"/>
        </w:rPr>
      </w:pPr>
      <w:r>
        <w:rPr>
          <w:rFonts w:hint="eastAsia" w:ascii="宋体" w:hAnsi="宋体"/>
          <w:color w:val="auto"/>
          <w:szCs w:val="21"/>
        </w:rPr>
        <w:t>（2）单位负责人为同一人或者存在控股、管理关系的不同单位，参加同一标段投标的，共同组成联合体投标的除外。</w:t>
      </w:r>
    </w:p>
    <w:p>
      <w:pPr>
        <w:pStyle w:val="87"/>
        <w:rPr>
          <w:rFonts w:hint="eastAsia" w:ascii="Times New Roman"/>
          <w:color w:val="auto"/>
        </w:rPr>
      </w:pPr>
      <w:bookmarkStart w:id="226" w:name="_Toc152042311"/>
      <w:bookmarkStart w:id="227" w:name="_Toc1410"/>
      <w:bookmarkStart w:id="228" w:name="_Toc179632552"/>
      <w:bookmarkStart w:id="229" w:name="_Toc494315119"/>
      <w:bookmarkStart w:id="230" w:name="_Toc152045535"/>
      <w:bookmarkStart w:id="231" w:name="_Toc491089647"/>
      <w:bookmarkStart w:id="232" w:name="_Toc144974503"/>
      <w:r>
        <w:rPr>
          <w:rFonts w:hint="eastAsia" w:ascii="Times New Roman"/>
          <w:color w:val="auto"/>
        </w:rPr>
        <w:t>1.5 费用承担</w:t>
      </w:r>
      <w:bookmarkEnd w:id="226"/>
      <w:bookmarkEnd w:id="227"/>
      <w:bookmarkEnd w:id="228"/>
      <w:bookmarkEnd w:id="229"/>
      <w:bookmarkEnd w:id="230"/>
      <w:bookmarkEnd w:id="231"/>
      <w:bookmarkEnd w:id="232"/>
    </w:p>
    <w:p>
      <w:pPr>
        <w:spacing w:line="360" w:lineRule="auto"/>
        <w:ind w:firstLine="420" w:firstLineChars="200"/>
        <w:rPr>
          <w:rFonts w:hint="eastAsia" w:ascii="宋体" w:hAnsi="宋体"/>
          <w:color w:val="auto"/>
          <w:szCs w:val="21"/>
        </w:rPr>
      </w:pPr>
      <w:r>
        <w:rPr>
          <w:rFonts w:hint="eastAsia" w:ascii="宋体" w:hAnsi="宋体"/>
          <w:color w:val="auto"/>
          <w:szCs w:val="21"/>
        </w:rPr>
        <w:t>投标人准备和参加投标活动发生的费用自理。</w:t>
      </w:r>
    </w:p>
    <w:p>
      <w:pPr>
        <w:pStyle w:val="87"/>
        <w:rPr>
          <w:rFonts w:hint="eastAsia" w:ascii="Times New Roman"/>
          <w:color w:val="auto"/>
        </w:rPr>
      </w:pPr>
      <w:bookmarkStart w:id="233" w:name="_Toc152045536"/>
      <w:bookmarkStart w:id="234" w:name="_Toc491089648"/>
      <w:bookmarkStart w:id="235" w:name="_Toc179632553"/>
      <w:bookmarkStart w:id="236" w:name="_Toc144974504"/>
      <w:bookmarkStart w:id="237" w:name="_Toc494315120"/>
      <w:bookmarkStart w:id="238" w:name="_Toc152042312"/>
      <w:bookmarkStart w:id="239" w:name="_Toc54"/>
      <w:r>
        <w:rPr>
          <w:rFonts w:hint="eastAsia" w:ascii="Times New Roman"/>
          <w:color w:val="auto"/>
        </w:rPr>
        <w:t>1.6 保密</w:t>
      </w:r>
      <w:bookmarkEnd w:id="233"/>
      <w:bookmarkEnd w:id="234"/>
      <w:bookmarkEnd w:id="235"/>
      <w:bookmarkEnd w:id="236"/>
      <w:bookmarkEnd w:id="237"/>
      <w:bookmarkEnd w:id="238"/>
      <w:bookmarkEnd w:id="239"/>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参与招标投标活动的各方应对招标文件和投标文件中的商业和技术等秘密保密，违者应对由此造成的后果承担法律责任。 </w:t>
      </w:r>
    </w:p>
    <w:p>
      <w:pPr>
        <w:pStyle w:val="87"/>
        <w:rPr>
          <w:rFonts w:hint="eastAsia" w:ascii="Times New Roman"/>
          <w:color w:val="auto"/>
        </w:rPr>
      </w:pPr>
      <w:bookmarkStart w:id="240" w:name="_Toc144974505"/>
      <w:bookmarkStart w:id="241" w:name="_Toc179632554"/>
      <w:bookmarkStart w:id="242" w:name="_Toc494315121"/>
      <w:bookmarkStart w:id="243" w:name="_Toc152042313"/>
      <w:bookmarkStart w:id="244" w:name="_Toc152045537"/>
      <w:bookmarkStart w:id="245" w:name="_Toc491089649"/>
      <w:bookmarkStart w:id="246" w:name="_Toc71"/>
      <w:r>
        <w:rPr>
          <w:rFonts w:hint="eastAsia" w:ascii="Times New Roman"/>
          <w:color w:val="auto"/>
        </w:rPr>
        <w:t>1.7 语言</w:t>
      </w:r>
      <w:bookmarkEnd w:id="240"/>
      <w:r>
        <w:rPr>
          <w:rFonts w:hint="eastAsia" w:ascii="Times New Roman"/>
          <w:color w:val="auto"/>
        </w:rPr>
        <w:t>文字</w:t>
      </w:r>
      <w:bookmarkEnd w:id="241"/>
      <w:bookmarkEnd w:id="242"/>
      <w:bookmarkEnd w:id="243"/>
      <w:bookmarkEnd w:id="244"/>
      <w:bookmarkEnd w:id="245"/>
      <w:bookmarkEnd w:id="246"/>
    </w:p>
    <w:p>
      <w:pPr>
        <w:spacing w:line="360" w:lineRule="auto"/>
        <w:ind w:firstLine="420" w:firstLineChars="200"/>
        <w:rPr>
          <w:rFonts w:hint="eastAsia" w:ascii="宋体" w:hAnsi="宋体"/>
          <w:color w:val="auto"/>
          <w:szCs w:val="21"/>
        </w:rPr>
      </w:pPr>
      <w:r>
        <w:rPr>
          <w:rFonts w:hint="eastAsia" w:ascii="宋体" w:hAnsi="宋体"/>
          <w:color w:val="auto"/>
          <w:szCs w:val="21"/>
        </w:rPr>
        <w:t>除专用术语外，与招标投标有关的语言均使用中文。必要时专用术语应附有中文注释。</w:t>
      </w:r>
    </w:p>
    <w:p>
      <w:pPr>
        <w:pStyle w:val="87"/>
        <w:rPr>
          <w:rFonts w:hint="eastAsia" w:ascii="Times New Roman"/>
          <w:color w:val="auto"/>
        </w:rPr>
      </w:pPr>
      <w:bookmarkStart w:id="247" w:name="_Toc144974506"/>
      <w:bookmarkStart w:id="248" w:name="_Toc2427"/>
      <w:bookmarkStart w:id="249" w:name="_Toc152042314"/>
      <w:bookmarkStart w:id="250" w:name="_Toc491089650"/>
      <w:bookmarkStart w:id="251" w:name="_Toc494315122"/>
      <w:bookmarkStart w:id="252" w:name="_Toc179632555"/>
      <w:bookmarkStart w:id="253" w:name="_Toc152045538"/>
      <w:r>
        <w:rPr>
          <w:rFonts w:hint="eastAsia" w:ascii="Times New Roman"/>
          <w:color w:val="auto"/>
        </w:rPr>
        <w:t>1.8 计量单位</w:t>
      </w:r>
      <w:bookmarkEnd w:id="247"/>
      <w:bookmarkEnd w:id="248"/>
      <w:bookmarkEnd w:id="249"/>
      <w:bookmarkEnd w:id="250"/>
      <w:bookmarkEnd w:id="251"/>
      <w:bookmarkEnd w:id="252"/>
      <w:bookmarkEnd w:id="253"/>
    </w:p>
    <w:p>
      <w:pPr>
        <w:spacing w:line="360" w:lineRule="auto"/>
        <w:ind w:firstLine="420" w:firstLineChars="200"/>
        <w:rPr>
          <w:rFonts w:hint="eastAsia" w:ascii="宋体" w:hAnsi="宋体"/>
          <w:color w:val="auto"/>
          <w:szCs w:val="21"/>
        </w:rPr>
      </w:pPr>
      <w:r>
        <w:rPr>
          <w:rFonts w:hint="eastAsia" w:ascii="宋体" w:hAnsi="宋体"/>
          <w:color w:val="auto"/>
          <w:szCs w:val="21"/>
        </w:rPr>
        <w:t>所有计量均采用中华人民共和国法定计量单位。</w:t>
      </w:r>
    </w:p>
    <w:p>
      <w:pPr>
        <w:pStyle w:val="87"/>
        <w:rPr>
          <w:rFonts w:hint="eastAsia" w:ascii="Times New Roman"/>
          <w:color w:val="auto"/>
        </w:rPr>
      </w:pPr>
      <w:bookmarkStart w:id="254" w:name="_Toc985"/>
      <w:bookmarkStart w:id="255" w:name="_Toc491089651"/>
      <w:bookmarkStart w:id="256" w:name="_Toc494315123"/>
      <w:bookmarkStart w:id="257" w:name="_Toc221950112"/>
      <w:r>
        <w:rPr>
          <w:rFonts w:hint="eastAsia" w:ascii="Times New Roman"/>
          <w:color w:val="auto"/>
        </w:rPr>
        <w:t>1.9 踏勘现场</w:t>
      </w:r>
      <w:bookmarkEnd w:id="254"/>
      <w:bookmarkEnd w:id="255"/>
      <w:bookmarkEnd w:id="256"/>
    </w:p>
    <w:p>
      <w:pPr>
        <w:spacing w:line="360" w:lineRule="auto"/>
        <w:ind w:firstLine="420" w:firstLineChars="200"/>
        <w:rPr>
          <w:rFonts w:hint="eastAsia" w:ascii="宋体" w:hAnsi="宋体"/>
          <w:color w:val="auto"/>
          <w:szCs w:val="21"/>
        </w:rPr>
      </w:pPr>
      <w:r>
        <w:rPr>
          <w:rFonts w:hint="eastAsia" w:ascii="宋体" w:hAnsi="宋体"/>
          <w:color w:val="auto"/>
          <w:szCs w:val="21"/>
        </w:rPr>
        <w:t>1.9.1 投标人须知前附表规定组织踏勘现场的，</w:t>
      </w:r>
      <w:bookmarkEnd w:id="257"/>
      <w:r>
        <w:rPr>
          <w:rFonts w:hint="eastAsia"/>
          <w:color w:val="auto"/>
        </w:rPr>
        <w:t>招标人按投标人须知前附表规定的时间、地点组织投标人踏勘项目现场。</w:t>
      </w:r>
      <w:r>
        <w:rPr>
          <w:rFonts w:hint="eastAsia" w:ascii="宋体" w:hAnsi="宋体"/>
          <w:color w:val="auto"/>
          <w:szCs w:val="21"/>
        </w:rPr>
        <w:t xml:space="preserve"> </w:t>
      </w:r>
    </w:p>
    <w:p>
      <w:pPr>
        <w:spacing w:line="360" w:lineRule="auto"/>
        <w:ind w:firstLine="420" w:firstLineChars="200"/>
        <w:rPr>
          <w:rFonts w:hint="eastAsia" w:ascii="宋体" w:hAnsi="宋体"/>
          <w:color w:val="auto"/>
          <w:szCs w:val="21"/>
        </w:rPr>
      </w:pPr>
      <w:r>
        <w:rPr>
          <w:rFonts w:hint="eastAsia" w:ascii="宋体" w:hAnsi="宋体"/>
          <w:color w:val="auto"/>
          <w:szCs w:val="21"/>
        </w:rPr>
        <w:t>1.9.2 投标人踏勘现场发生的费用自理。</w:t>
      </w:r>
    </w:p>
    <w:p>
      <w:pPr>
        <w:spacing w:line="360" w:lineRule="auto"/>
        <w:ind w:firstLine="420" w:firstLineChars="200"/>
        <w:rPr>
          <w:rFonts w:hint="eastAsia" w:ascii="宋体" w:hAnsi="宋体"/>
          <w:color w:val="auto"/>
          <w:szCs w:val="21"/>
        </w:rPr>
      </w:pPr>
      <w:r>
        <w:rPr>
          <w:rFonts w:hint="eastAsia" w:ascii="宋体" w:hAnsi="宋体"/>
          <w:color w:val="auto"/>
          <w:szCs w:val="21"/>
        </w:rPr>
        <w:t>1.9.3 除招标人的原因外，投标人自行负责在踏勘现场中所发生的人员伤亡和财产损失。</w:t>
      </w:r>
    </w:p>
    <w:p>
      <w:pPr>
        <w:spacing w:line="360" w:lineRule="auto"/>
        <w:ind w:firstLine="420" w:firstLineChars="200"/>
        <w:rPr>
          <w:rFonts w:hint="eastAsia" w:ascii="宋体" w:hAnsi="宋体"/>
          <w:color w:val="auto"/>
          <w:szCs w:val="21"/>
        </w:rPr>
      </w:pPr>
      <w:r>
        <w:rPr>
          <w:rFonts w:hint="eastAsia" w:ascii="宋体" w:hAnsi="宋体"/>
          <w:color w:val="auto"/>
          <w:szCs w:val="21"/>
        </w:rPr>
        <w:t>1.9.4 招标人在踏勘现场中介绍的工程场地和相关的周边环境情况，供投标人在编制投标文件时参考，招标人不对投标人据此作出的判断和决策负责。</w:t>
      </w:r>
    </w:p>
    <w:p>
      <w:pPr>
        <w:pStyle w:val="87"/>
        <w:rPr>
          <w:rFonts w:hint="eastAsia" w:ascii="Times New Roman"/>
          <w:color w:val="auto"/>
        </w:rPr>
      </w:pPr>
      <w:bookmarkStart w:id="258" w:name="_Toc491089652"/>
      <w:bookmarkStart w:id="259" w:name="_Toc494315124"/>
      <w:bookmarkStart w:id="260" w:name="_Toc31805"/>
      <w:r>
        <w:rPr>
          <w:rFonts w:hint="eastAsia" w:ascii="Times New Roman"/>
          <w:color w:val="auto"/>
        </w:rPr>
        <w:t>1.10 投标预备会</w:t>
      </w:r>
      <w:bookmarkEnd w:id="258"/>
      <w:bookmarkEnd w:id="259"/>
      <w:bookmarkEnd w:id="260"/>
    </w:p>
    <w:p>
      <w:pPr>
        <w:spacing w:line="360" w:lineRule="auto"/>
        <w:ind w:firstLine="420" w:firstLineChars="200"/>
        <w:rPr>
          <w:rFonts w:hint="eastAsia" w:ascii="宋体" w:hAnsi="宋体"/>
          <w:color w:val="auto"/>
          <w:szCs w:val="21"/>
        </w:rPr>
      </w:pPr>
      <w:r>
        <w:rPr>
          <w:rFonts w:hint="eastAsia" w:ascii="宋体" w:hAnsi="宋体"/>
          <w:color w:val="auto"/>
          <w:szCs w:val="21"/>
        </w:rPr>
        <w:t>1.10.1投标人须知前附表规定召开投标预备会的，招标人按照投标人须知前附表规定的时间和地点召开投标预备会</w:t>
      </w:r>
      <w:r>
        <w:rPr>
          <w:rFonts w:hint="eastAsia"/>
          <w:color w:val="auto"/>
        </w:rPr>
        <w:t>，澄清投标人提出的问题。</w:t>
      </w:r>
    </w:p>
    <w:p>
      <w:pPr>
        <w:spacing w:line="360" w:lineRule="auto"/>
        <w:ind w:firstLine="420" w:firstLineChars="200"/>
        <w:rPr>
          <w:rFonts w:hint="eastAsia" w:ascii="宋体" w:hAnsi="宋体"/>
          <w:color w:val="auto"/>
          <w:szCs w:val="21"/>
        </w:rPr>
      </w:pPr>
      <w:r>
        <w:rPr>
          <w:rFonts w:hint="eastAsia" w:ascii="宋体" w:hAnsi="宋体"/>
          <w:color w:val="auto"/>
          <w:szCs w:val="21"/>
        </w:rPr>
        <w:t>1.10.2</w:t>
      </w:r>
      <w:r>
        <w:rPr>
          <w:rFonts w:hint="eastAsia"/>
          <w:color w:val="auto"/>
        </w:rPr>
        <w:t>在投标人须知前附表规定的时间前，投标人应使用CA数字证书</w:t>
      </w:r>
      <w:r>
        <w:rPr>
          <w:color w:val="auto"/>
        </w:rPr>
        <w:t>登录</w:t>
      </w:r>
      <w:r>
        <w:rPr>
          <w:rFonts w:hint="eastAsia"/>
          <w:color w:val="auto"/>
        </w:rPr>
        <w:t>“电子交易平台”，在“投标答疑”菜单以书面形式将需要招标人澄清的问题送达招标人，以便招标人澄清。</w:t>
      </w:r>
    </w:p>
    <w:p>
      <w:pPr>
        <w:spacing w:line="360" w:lineRule="auto"/>
        <w:ind w:firstLine="420" w:firstLineChars="200"/>
        <w:rPr>
          <w:rFonts w:hint="eastAsia" w:ascii="宋体" w:hAnsi="宋体"/>
          <w:color w:val="auto"/>
          <w:szCs w:val="21"/>
        </w:rPr>
      </w:pPr>
      <w:r>
        <w:rPr>
          <w:rFonts w:hint="eastAsia" w:ascii="宋体" w:hAnsi="宋体"/>
          <w:color w:val="auto"/>
          <w:szCs w:val="21"/>
        </w:rPr>
        <w:t>1.10.3</w:t>
      </w:r>
      <w:r>
        <w:rPr>
          <w:rFonts w:hint="eastAsia"/>
          <w:color w:val="auto"/>
        </w:rPr>
        <w:t>在投标人须知第2.2.2项规定的时间内</w:t>
      </w:r>
      <w:r>
        <w:rPr>
          <w:rFonts w:hint="eastAsia" w:ascii="宋体" w:hAnsi="宋体"/>
          <w:color w:val="auto"/>
          <w:szCs w:val="21"/>
        </w:rPr>
        <w:t>，招标人对投标人所提问题的澄清将以书面形式通过“电子交易平台”通知所有下载招标文件的投标人。该澄清通知为招标文件的组成部分。</w:t>
      </w:r>
    </w:p>
    <w:p>
      <w:pPr>
        <w:pStyle w:val="87"/>
        <w:rPr>
          <w:rFonts w:hint="eastAsia" w:ascii="Times New Roman"/>
          <w:color w:val="auto"/>
        </w:rPr>
      </w:pPr>
      <w:bookmarkStart w:id="261" w:name="_Toc8264"/>
      <w:bookmarkStart w:id="262" w:name="_Toc491089653"/>
      <w:bookmarkStart w:id="263" w:name="_Toc494315125"/>
      <w:r>
        <w:rPr>
          <w:rFonts w:hint="eastAsia" w:ascii="Times New Roman"/>
          <w:color w:val="auto"/>
        </w:rPr>
        <w:t>1.11 分包</w:t>
      </w:r>
      <w:bookmarkEnd w:id="261"/>
      <w:bookmarkEnd w:id="262"/>
      <w:bookmarkEnd w:id="263"/>
    </w:p>
    <w:p>
      <w:pPr>
        <w:spacing w:line="360" w:lineRule="auto"/>
        <w:ind w:firstLine="420" w:firstLineChars="200"/>
        <w:rPr>
          <w:rFonts w:hint="eastAsia" w:ascii="宋体" w:hAnsi="宋体"/>
          <w:color w:val="auto"/>
          <w:szCs w:val="21"/>
        </w:rPr>
      </w:pPr>
      <w:bookmarkStart w:id="264" w:name="_Toc221950129"/>
      <w:r>
        <w:rPr>
          <w:rFonts w:hint="eastAsia" w:ascii="宋体" w:hAnsi="宋体"/>
          <w:vanish/>
          <w:color w:val="auto"/>
          <w:szCs w:val="21"/>
        </w:rPr>
        <w:t>1.11.1</w:t>
      </w:r>
      <w:r>
        <w:rPr>
          <w:rFonts w:hint="eastAsia" w:ascii="宋体" w:hAnsi="宋体"/>
          <w:color w:val="auto"/>
          <w:szCs w:val="21"/>
        </w:rPr>
        <w:t>在投标人须知前附表规定允许分包的，分包的内容，分包金额，接受分包的第三人资质要求见投标人须知前附表。投标人应在投标文件中明确是否在中标后将中标项目的部分非主体、非关键性工作进行分包。</w:t>
      </w:r>
      <w:bookmarkEnd w:id="264"/>
      <w:bookmarkStart w:id="265" w:name="_Toc221950130"/>
      <w:r>
        <w:rPr>
          <w:rFonts w:hint="eastAsia" w:ascii="宋体" w:hAnsi="宋体"/>
          <w:color w:val="auto"/>
          <w:szCs w:val="21"/>
        </w:rPr>
        <w:t>投标人拟分包时，</w:t>
      </w:r>
      <w:bookmarkStart w:id="266" w:name="_Toc221950131"/>
      <w:r>
        <w:rPr>
          <w:rFonts w:hint="eastAsia" w:ascii="宋体" w:hAnsi="宋体"/>
          <w:color w:val="auto"/>
          <w:szCs w:val="21"/>
        </w:rPr>
        <w:t>分包人应具备与分包工程的标准和规模相适应的资质和业绩，在人力、设备、资金等方面具有承担分包工程施工的能力</w:t>
      </w:r>
      <w:bookmarkEnd w:id="266"/>
      <w:r>
        <w:rPr>
          <w:rFonts w:hint="eastAsia" w:ascii="宋体" w:hAnsi="宋体"/>
          <w:color w:val="auto"/>
          <w:szCs w:val="21"/>
        </w:rPr>
        <w:t>。投标人应在投标文件中提供分包协议、分包人的资质证书及营业执照复印件、人员、设备和业绩资料表、分包的工程项目和工程量。</w:t>
      </w:r>
      <w:bookmarkEnd w:id="265"/>
    </w:p>
    <w:p>
      <w:pPr>
        <w:pStyle w:val="87"/>
        <w:rPr>
          <w:rFonts w:hint="eastAsia" w:ascii="Times New Roman"/>
          <w:color w:val="auto"/>
        </w:rPr>
      </w:pPr>
      <w:bookmarkStart w:id="267" w:name="_Toc367"/>
      <w:bookmarkStart w:id="268" w:name="_Toc491089654"/>
      <w:bookmarkStart w:id="269" w:name="_Toc494315126"/>
      <w:bookmarkStart w:id="270" w:name="_Toc179632559"/>
      <w:bookmarkStart w:id="271" w:name="_Toc221950134"/>
      <w:r>
        <w:rPr>
          <w:rFonts w:hint="eastAsia" w:ascii="Times New Roman"/>
          <w:color w:val="auto"/>
        </w:rPr>
        <w:t>1.12 偏离</w:t>
      </w:r>
      <w:bookmarkEnd w:id="267"/>
      <w:bookmarkEnd w:id="268"/>
      <w:bookmarkEnd w:id="269"/>
    </w:p>
    <w:bookmarkEnd w:id="270"/>
    <w:bookmarkEnd w:id="271"/>
    <w:p>
      <w:pPr>
        <w:spacing w:line="360" w:lineRule="auto"/>
        <w:ind w:firstLine="420" w:firstLineChars="200"/>
        <w:rPr>
          <w:rFonts w:hint="eastAsia" w:ascii="宋体" w:hAnsi="宋体"/>
          <w:color w:val="auto"/>
          <w:szCs w:val="21"/>
        </w:rPr>
      </w:pPr>
      <w:bookmarkStart w:id="272" w:name="_Toc221950135"/>
      <w:r>
        <w:rPr>
          <w:rFonts w:hint="eastAsia" w:ascii="宋体" w:hAnsi="宋体"/>
          <w:color w:val="auto"/>
          <w:szCs w:val="21"/>
        </w:rPr>
        <w:t>投标文件不允许偏离招标文件的实质性要求和条件</w:t>
      </w:r>
      <w:bookmarkEnd w:id="272"/>
      <w:r>
        <w:rPr>
          <w:rFonts w:hint="eastAsia" w:ascii="宋体" w:hAnsi="宋体"/>
          <w:color w:val="auto"/>
          <w:szCs w:val="21"/>
        </w:rPr>
        <w:t>。投标文件偏离招标文件的非实质性要求和条件的，其处理方式见投标人须知前附表。</w:t>
      </w:r>
      <w:bookmarkStart w:id="273" w:name="_Toc144974510"/>
      <w:bookmarkStart w:id="274" w:name="_Toc222032652"/>
      <w:bookmarkStart w:id="275" w:name="_Toc221950136"/>
      <w:bookmarkStart w:id="276" w:name="_Toc222029483"/>
      <w:bookmarkStart w:id="277" w:name="_Toc168476060"/>
      <w:bookmarkStart w:id="278" w:name="_Toc222030985"/>
      <w:bookmarkStart w:id="279" w:name="_Toc168475657"/>
      <w:bookmarkStart w:id="280" w:name="_Toc222033834"/>
      <w:bookmarkStart w:id="281" w:name="_Toc229305343"/>
    </w:p>
    <w:p>
      <w:pPr>
        <w:pStyle w:val="80"/>
        <w:spacing w:before="120" w:after="156" w:afterLines="50"/>
        <w:rPr>
          <w:rFonts w:hint="eastAsia"/>
          <w:color w:val="auto"/>
        </w:rPr>
      </w:pPr>
      <w:bookmarkStart w:id="282" w:name="_Toc22359"/>
      <w:bookmarkStart w:id="283" w:name="_Toc387753552"/>
      <w:bookmarkStart w:id="284" w:name="_Toc491089655"/>
      <w:r>
        <w:rPr>
          <w:rFonts w:hint="eastAsia"/>
          <w:color w:val="auto"/>
        </w:rPr>
        <w:t>2. 招标文件</w:t>
      </w:r>
      <w:bookmarkEnd w:id="273"/>
      <w:bookmarkEnd w:id="274"/>
      <w:bookmarkEnd w:id="275"/>
      <w:bookmarkEnd w:id="276"/>
      <w:bookmarkEnd w:id="277"/>
      <w:bookmarkEnd w:id="278"/>
      <w:bookmarkEnd w:id="279"/>
      <w:bookmarkEnd w:id="280"/>
      <w:bookmarkEnd w:id="281"/>
      <w:bookmarkEnd w:id="282"/>
      <w:bookmarkEnd w:id="283"/>
      <w:bookmarkEnd w:id="284"/>
    </w:p>
    <w:p>
      <w:pPr>
        <w:pStyle w:val="87"/>
        <w:rPr>
          <w:rFonts w:hint="eastAsia" w:ascii="Times New Roman"/>
          <w:color w:val="auto"/>
        </w:rPr>
      </w:pPr>
      <w:bookmarkStart w:id="285" w:name="_Toc152045543"/>
      <w:bookmarkStart w:id="286" w:name="_Toc179632561"/>
      <w:bookmarkStart w:id="287" w:name="_Toc1528"/>
      <w:bookmarkStart w:id="288" w:name="_Toc152042319"/>
      <w:bookmarkStart w:id="289" w:name="_Toc494315128"/>
      <w:bookmarkStart w:id="290" w:name="_Toc144974511"/>
      <w:bookmarkStart w:id="291" w:name="_Toc491089656"/>
      <w:r>
        <w:rPr>
          <w:rFonts w:hint="eastAsia" w:ascii="Times New Roman"/>
          <w:color w:val="auto"/>
        </w:rPr>
        <w:t>2.1 招标文件的组成</w:t>
      </w:r>
      <w:bookmarkEnd w:id="285"/>
      <w:bookmarkEnd w:id="286"/>
      <w:bookmarkEnd w:id="287"/>
      <w:bookmarkEnd w:id="288"/>
      <w:bookmarkEnd w:id="289"/>
      <w:bookmarkEnd w:id="290"/>
      <w:bookmarkEnd w:id="291"/>
    </w:p>
    <w:p>
      <w:pPr>
        <w:spacing w:line="360" w:lineRule="auto"/>
        <w:rPr>
          <w:rFonts w:hint="eastAsia" w:ascii="宋体" w:hAnsi="宋体"/>
          <w:color w:val="auto"/>
          <w:szCs w:val="21"/>
        </w:rPr>
      </w:pPr>
      <w:r>
        <w:rPr>
          <w:rFonts w:hint="eastAsia" w:ascii="宋体" w:hAnsi="宋体"/>
          <w:color w:val="auto"/>
          <w:szCs w:val="21"/>
        </w:rPr>
        <w:t>　　本招标文件包括：</w:t>
      </w:r>
    </w:p>
    <w:p>
      <w:pPr>
        <w:spacing w:line="360" w:lineRule="auto"/>
        <w:ind w:firstLine="359" w:firstLineChars="171"/>
        <w:rPr>
          <w:rFonts w:hint="eastAsia" w:ascii="宋体" w:hAnsi="宋体"/>
          <w:color w:val="auto"/>
          <w:szCs w:val="21"/>
        </w:rPr>
      </w:pPr>
      <w:r>
        <w:rPr>
          <w:rFonts w:hint="eastAsia" w:ascii="宋体" w:hAnsi="宋体"/>
          <w:color w:val="auto"/>
          <w:szCs w:val="21"/>
        </w:rPr>
        <w:t>（1）招标公告（或投标邀请书）；</w:t>
      </w:r>
    </w:p>
    <w:p>
      <w:pPr>
        <w:spacing w:line="360" w:lineRule="auto"/>
        <w:ind w:firstLine="359" w:firstLineChars="171"/>
        <w:rPr>
          <w:rFonts w:hint="eastAsia" w:ascii="宋体" w:hAnsi="宋体"/>
          <w:color w:val="auto"/>
          <w:szCs w:val="21"/>
        </w:rPr>
      </w:pPr>
      <w:r>
        <w:rPr>
          <w:rFonts w:hint="eastAsia" w:ascii="宋体" w:hAnsi="宋体"/>
          <w:color w:val="auto"/>
          <w:szCs w:val="21"/>
        </w:rPr>
        <w:t>（2）投标人须知；</w:t>
      </w:r>
    </w:p>
    <w:p>
      <w:pPr>
        <w:spacing w:line="360" w:lineRule="auto"/>
        <w:ind w:firstLine="359" w:firstLineChars="171"/>
        <w:rPr>
          <w:rFonts w:hint="eastAsia" w:ascii="宋体" w:hAnsi="宋体"/>
          <w:color w:val="auto"/>
          <w:szCs w:val="21"/>
        </w:rPr>
      </w:pPr>
      <w:r>
        <w:rPr>
          <w:rFonts w:hint="eastAsia" w:ascii="宋体" w:hAnsi="宋体"/>
          <w:color w:val="auto"/>
          <w:szCs w:val="21"/>
        </w:rPr>
        <w:t>（3）评标办法；</w:t>
      </w:r>
    </w:p>
    <w:p>
      <w:pPr>
        <w:spacing w:line="360" w:lineRule="auto"/>
        <w:ind w:firstLine="359" w:firstLineChars="171"/>
        <w:rPr>
          <w:rFonts w:hint="eastAsia" w:ascii="宋体" w:hAnsi="宋体"/>
          <w:color w:val="auto"/>
          <w:szCs w:val="21"/>
        </w:rPr>
      </w:pPr>
      <w:r>
        <w:rPr>
          <w:rFonts w:hint="eastAsia" w:ascii="宋体" w:hAnsi="宋体"/>
          <w:color w:val="auto"/>
          <w:szCs w:val="21"/>
        </w:rPr>
        <w:t>（4）合同条款及格式；</w:t>
      </w:r>
    </w:p>
    <w:p>
      <w:pPr>
        <w:spacing w:line="360" w:lineRule="auto"/>
        <w:ind w:firstLine="359" w:firstLineChars="171"/>
        <w:rPr>
          <w:rFonts w:hint="eastAsia" w:ascii="宋体" w:hAnsi="宋体"/>
          <w:color w:val="auto"/>
          <w:szCs w:val="21"/>
        </w:rPr>
      </w:pPr>
      <w:r>
        <w:rPr>
          <w:rFonts w:hint="eastAsia" w:ascii="宋体" w:hAnsi="宋体"/>
          <w:color w:val="auto"/>
          <w:szCs w:val="21"/>
        </w:rPr>
        <w:t xml:space="preserve">（5）工程量清单； </w:t>
      </w:r>
    </w:p>
    <w:p>
      <w:pPr>
        <w:spacing w:line="360" w:lineRule="auto"/>
        <w:ind w:firstLine="359" w:firstLineChars="171"/>
        <w:rPr>
          <w:rFonts w:hint="eastAsia" w:ascii="宋体" w:hAnsi="宋体"/>
          <w:color w:val="auto"/>
          <w:szCs w:val="21"/>
        </w:rPr>
      </w:pPr>
      <w:r>
        <w:rPr>
          <w:rFonts w:hint="eastAsia" w:ascii="宋体" w:hAnsi="宋体"/>
          <w:color w:val="auto"/>
          <w:szCs w:val="21"/>
        </w:rPr>
        <w:t xml:space="preserve">（6）图纸； </w:t>
      </w:r>
    </w:p>
    <w:p>
      <w:pPr>
        <w:spacing w:line="360" w:lineRule="auto"/>
        <w:ind w:firstLine="359" w:firstLineChars="171"/>
        <w:rPr>
          <w:rFonts w:hint="eastAsia" w:ascii="宋体" w:hAnsi="宋体"/>
          <w:color w:val="auto"/>
          <w:szCs w:val="21"/>
        </w:rPr>
      </w:pPr>
      <w:r>
        <w:rPr>
          <w:rFonts w:hint="eastAsia" w:ascii="宋体" w:hAnsi="宋体"/>
          <w:color w:val="auto"/>
          <w:szCs w:val="21"/>
        </w:rPr>
        <w:t xml:space="preserve">（7）技术标准和要求； </w:t>
      </w:r>
    </w:p>
    <w:p>
      <w:pPr>
        <w:spacing w:line="360" w:lineRule="auto"/>
        <w:ind w:firstLine="359" w:firstLineChars="171"/>
        <w:rPr>
          <w:rFonts w:hint="eastAsia" w:ascii="宋体" w:hAnsi="宋体"/>
          <w:color w:val="auto"/>
          <w:szCs w:val="21"/>
        </w:rPr>
      </w:pPr>
      <w:r>
        <w:rPr>
          <w:rFonts w:hint="eastAsia" w:ascii="宋体" w:hAnsi="宋体"/>
          <w:color w:val="auto"/>
          <w:szCs w:val="21"/>
        </w:rPr>
        <w:t>（8）投标文件格式；</w:t>
      </w:r>
    </w:p>
    <w:p>
      <w:pPr>
        <w:spacing w:line="360" w:lineRule="auto"/>
        <w:ind w:firstLine="359" w:firstLineChars="171"/>
        <w:rPr>
          <w:rFonts w:hint="eastAsia" w:ascii="宋体" w:hAnsi="宋体"/>
          <w:color w:val="auto"/>
          <w:szCs w:val="21"/>
        </w:rPr>
      </w:pPr>
      <w:r>
        <w:rPr>
          <w:rFonts w:hint="eastAsia" w:ascii="宋体" w:hAnsi="宋体"/>
          <w:color w:val="auto"/>
          <w:szCs w:val="21"/>
        </w:rPr>
        <w:t>（9）投标人须知前附表规定的其他材料。</w:t>
      </w:r>
    </w:p>
    <w:p>
      <w:pPr>
        <w:spacing w:line="360" w:lineRule="auto"/>
        <w:ind w:firstLine="420" w:firstLineChars="200"/>
        <w:rPr>
          <w:rFonts w:hint="eastAsia" w:ascii="宋体" w:hAnsi="宋体"/>
          <w:color w:val="auto"/>
          <w:szCs w:val="21"/>
        </w:rPr>
      </w:pPr>
      <w:r>
        <w:rPr>
          <w:rFonts w:hint="eastAsia" w:ascii="宋体" w:hAnsi="宋体"/>
          <w:color w:val="auto"/>
          <w:szCs w:val="21"/>
        </w:rPr>
        <w:t>根据本章第1.10款、第2.2款和第2.3款对招标文件所作的澄清、修改，构成招标文件的组成部分。</w:t>
      </w:r>
    </w:p>
    <w:p>
      <w:pPr>
        <w:pStyle w:val="87"/>
        <w:rPr>
          <w:rFonts w:hint="eastAsia" w:ascii="Times New Roman"/>
          <w:color w:val="auto"/>
        </w:rPr>
      </w:pPr>
      <w:bookmarkStart w:id="292" w:name="_Toc395776369"/>
      <w:bookmarkStart w:id="293" w:name="_Toc494315129"/>
      <w:bookmarkStart w:id="294" w:name="_Toc491089657"/>
      <w:bookmarkStart w:id="295" w:name="_Toc21428"/>
      <w:bookmarkStart w:id="296" w:name="_Toc221950142"/>
      <w:bookmarkStart w:id="297" w:name="_Toc222029484"/>
      <w:bookmarkStart w:id="298" w:name="_Toc222032653"/>
      <w:bookmarkStart w:id="299" w:name="_Toc168475661"/>
      <w:bookmarkStart w:id="300" w:name="_Toc222030986"/>
      <w:bookmarkStart w:id="301" w:name="_Toc144974514"/>
      <w:bookmarkStart w:id="302" w:name="_Toc387753553"/>
      <w:bookmarkStart w:id="303" w:name="_Toc222033835"/>
      <w:bookmarkStart w:id="304" w:name="_Toc221950151"/>
      <w:bookmarkStart w:id="305" w:name="_Toc229305344"/>
      <w:bookmarkStart w:id="306" w:name="_Toc168476064"/>
      <w:r>
        <w:rPr>
          <w:rFonts w:hint="eastAsia" w:ascii="Times New Roman"/>
          <w:color w:val="auto"/>
        </w:rPr>
        <w:t>2.2 招标文件的澄清</w:t>
      </w:r>
      <w:bookmarkEnd w:id="292"/>
      <w:bookmarkEnd w:id="293"/>
      <w:bookmarkEnd w:id="294"/>
      <w:bookmarkEnd w:id="295"/>
    </w:p>
    <w:bookmarkEnd w:id="296"/>
    <w:p>
      <w:pPr>
        <w:spacing w:line="400" w:lineRule="exact"/>
        <w:ind w:firstLine="420" w:firstLineChars="200"/>
        <w:rPr>
          <w:rFonts w:ascii="宋体" w:hAnsi="宋体" w:cs="黑体"/>
          <w:color w:val="auto"/>
          <w:kern w:val="0"/>
          <w:szCs w:val="21"/>
        </w:rPr>
      </w:pPr>
      <w:bookmarkStart w:id="307" w:name="_Toc395776370"/>
      <w:r>
        <w:rPr>
          <w:rFonts w:hint="eastAsia" w:ascii="宋体" w:hAnsi="宋体" w:cs="黑体"/>
          <w:color w:val="auto"/>
          <w:kern w:val="0"/>
          <w:szCs w:val="21"/>
        </w:rPr>
        <w:t>2.2.1投标人应仔细阅读和检查招标文件的全部内容。如</w:t>
      </w:r>
      <w:r>
        <w:rPr>
          <w:rFonts w:ascii="宋体" w:hAnsi="宋体" w:cs="黑体"/>
          <w:color w:val="auto"/>
          <w:kern w:val="0"/>
          <w:szCs w:val="21"/>
        </w:rPr>
        <w:t>对招标文件有任何疑问，</w:t>
      </w:r>
      <w:r>
        <w:rPr>
          <w:rFonts w:hint="eastAsia" w:ascii="宋体" w:hAnsi="宋体" w:cs="黑体"/>
          <w:color w:val="auto"/>
          <w:kern w:val="0"/>
          <w:szCs w:val="21"/>
        </w:rPr>
        <w:t>应在投标人须知前附表规定的时间前</w:t>
      </w:r>
      <w:r>
        <w:rPr>
          <w:rFonts w:ascii="宋体" w:hAnsi="宋体" w:cs="黑体"/>
          <w:color w:val="auto"/>
          <w:kern w:val="0"/>
          <w:szCs w:val="21"/>
        </w:rPr>
        <w:t>，</w:t>
      </w:r>
      <w:r>
        <w:rPr>
          <w:rFonts w:hint="eastAsia" w:ascii="宋体" w:hAnsi="宋体" w:cs="黑体"/>
          <w:color w:val="auto"/>
          <w:kern w:val="0"/>
          <w:szCs w:val="21"/>
        </w:rPr>
        <w:t>使用CA数字证书</w:t>
      </w:r>
      <w:r>
        <w:rPr>
          <w:rFonts w:ascii="宋体" w:hAnsi="宋体" w:cs="黑体"/>
          <w:color w:val="auto"/>
          <w:kern w:val="0"/>
          <w:szCs w:val="21"/>
        </w:rPr>
        <w:t>登录</w:t>
      </w:r>
      <w:r>
        <w:rPr>
          <w:rFonts w:hint="eastAsia" w:ascii="宋体" w:hAnsi="宋体" w:cs="黑体"/>
          <w:color w:val="auto"/>
          <w:kern w:val="0"/>
          <w:szCs w:val="21"/>
        </w:rPr>
        <w:t>“电子交易平台”，在“投标答疑”菜单以书面形式</w:t>
      </w:r>
      <w:r>
        <w:rPr>
          <w:rFonts w:ascii="宋体" w:hAnsi="宋体" w:cs="黑体"/>
          <w:color w:val="auto"/>
          <w:kern w:val="0"/>
          <w:szCs w:val="21"/>
        </w:rPr>
        <w:t>要求招标人对招标文件予以澄清。</w:t>
      </w:r>
    </w:p>
    <w:p>
      <w:pPr>
        <w:spacing w:line="400" w:lineRule="exact"/>
        <w:ind w:firstLine="420" w:firstLineChars="200"/>
        <w:rPr>
          <w:rFonts w:hint="eastAsia" w:ascii="宋体" w:hAnsi="宋体" w:cs="黑体"/>
          <w:color w:val="auto"/>
          <w:kern w:val="0"/>
          <w:szCs w:val="21"/>
        </w:rPr>
      </w:pPr>
      <w:r>
        <w:rPr>
          <w:rFonts w:hint="eastAsia" w:ascii="宋体" w:hAnsi="宋体" w:cs="黑体"/>
          <w:color w:val="auto"/>
          <w:kern w:val="0"/>
          <w:szCs w:val="21"/>
        </w:rPr>
        <w:t>2.2.2</w:t>
      </w:r>
      <w:r>
        <w:rPr>
          <w:rFonts w:ascii="宋体" w:hAnsi="宋体" w:cs="黑体"/>
          <w:color w:val="auto"/>
          <w:kern w:val="0"/>
          <w:szCs w:val="21"/>
        </w:rPr>
        <w:t>招标人</w:t>
      </w:r>
      <w:r>
        <w:rPr>
          <w:rFonts w:hint="eastAsia" w:ascii="宋体" w:hAnsi="宋体" w:cs="黑体"/>
          <w:color w:val="auto"/>
          <w:kern w:val="0"/>
          <w:szCs w:val="21"/>
        </w:rPr>
        <w:t>对</w:t>
      </w:r>
      <w:r>
        <w:rPr>
          <w:rFonts w:ascii="宋体" w:hAnsi="宋体" w:cs="黑体"/>
          <w:color w:val="auto"/>
          <w:kern w:val="0"/>
          <w:szCs w:val="21"/>
        </w:rPr>
        <w:t>招标文件的澄清</w:t>
      </w:r>
      <w:r>
        <w:rPr>
          <w:rFonts w:hint="eastAsia" w:ascii="宋体" w:hAnsi="宋体" w:cs="黑体"/>
          <w:color w:val="auto"/>
          <w:kern w:val="0"/>
          <w:szCs w:val="21"/>
        </w:rPr>
        <w:t>通过“</w:t>
      </w:r>
      <w:r>
        <w:rPr>
          <w:rFonts w:hint="eastAsia" w:ascii="宋体" w:hAnsi="宋体"/>
          <w:color w:val="auto"/>
          <w:szCs w:val="21"/>
        </w:rPr>
        <w:t>电子交易平台”</w:t>
      </w:r>
      <w:r>
        <w:rPr>
          <w:rFonts w:hint="eastAsia" w:ascii="宋体" w:hAnsi="宋体" w:cs="黑体"/>
          <w:color w:val="auto"/>
          <w:kern w:val="0"/>
          <w:szCs w:val="21"/>
        </w:rPr>
        <w:t>发出，澄清通知发出的时间距投标人须知前附表4.2.1项规定的投标截止时间不足15日，并且澄清的内容影响投标文件编制的，相应延长投标截止时间。</w:t>
      </w:r>
    </w:p>
    <w:p>
      <w:pPr>
        <w:spacing w:line="360" w:lineRule="auto"/>
        <w:ind w:firstLine="420" w:firstLineChars="200"/>
        <w:rPr>
          <w:rFonts w:hint="eastAsia" w:ascii="宋体" w:hAnsi="宋体" w:cs="黑体"/>
          <w:color w:val="auto"/>
          <w:kern w:val="0"/>
          <w:szCs w:val="21"/>
        </w:rPr>
      </w:pPr>
      <w:r>
        <w:rPr>
          <w:rFonts w:hint="eastAsia" w:ascii="宋体" w:hAnsi="宋体" w:cs="黑体"/>
          <w:color w:val="auto"/>
          <w:kern w:val="0"/>
          <w:szCs w:val="21"/>
        </w:rPr>
        <w:t>2.2.3</w:t>
      </w:r>
      <w:r>
        <w:rPr>
          <w:rFonts w:ascii="宋体" w:hAnsi="宋体" w:cs="黑体"/>
          <w:color w:val="auto"/>
          <w:kern w:val="0"/>
          <w:szCs w:val="21"/>
        </w:rPr>
        <w:t>投标人应</w:t>
      </w:r>
      <w:r>
        <w:rPr>
          <w:rFonts w:hint="eastAsia" w:ascii="宋体" w:hAnsi="宋体" w:cs="黑体"/>
          <w:color w:val="auto"/>
          <w:kern w:val="0"/>
          <w:szCs w:val="21"/>
        </w:rPr>
        <w:t>实时关注</w:t>
      </w:r>
      <w:r>
        <w:rPr>
          <w:rFonts w:hint="eastAsia"/>
          <w:color w:val="auto"/>
        </w:rPr>
        <w:t>“电子交易平台”</w:t>
      </w:r>
      <w:r>
        <w:rPr>
          <w:rFonts w:ascii="宋体" w:hAnsi="宋体" w:cs="黑体"/>
          <w:color w:val="auto"/>
          <w:kern w:val="0"/>
          <w:szCs w:val="21"/>
        </w:rPr>
        <w:t>上</w:t>
      </w:r>
      <w:r>
        <w:rPr>
          <w:rFonts w:hint="eastAsia" w:ascii="宋体" w:hAnsi="宋体" w:cs="黑体"/>
          <w:color w:val="auto"/>
          <w:kern w:val="0"/>
          <w:szCs w:val="21"/>
        </w:rPr>
        <w:t>发出</w:t>
      </w:r>
      <w:r>
        <w:rPr>
          <w:rFonts w:ascii="宋体" w:hAnsi="宋体" w:cs="黑体"/>
          <w:color w:val="auto"/>
          <w:kern w:val="0"/>
          <w:szCs w:val="21"/>
        </w:rPr>
        <w:t>的澄清通知，因投标人</w:t>
      </w:r>
      <w:r>
        <w:rPr>
          <w:rFonts w:hint="eastAsia" w:ascii="宋体" w:hAnsi="宋体" w:cs="黑体"/>
          <w:color w:val="auto"/>
          <w:kern w:val="0"/>
          <w:szCs w:val="21"/>
        </w:rPr>
        <w:t>自身</w:t>
      </w:r>
      <w:r>
        <w:rPr>
          <w:rFonts w:ascii="宋体" w:hAnsi="宋体" w:cs="黑体"/>
          <w:color w:val="auto"/>
          <w:kern w:val="0"/>
          <w:szCs w:val="21"/>
        </w:rPr>
        <w:t>原因未及时获知澄清内容而导致的任何后果将由投标人自行承担。</w:t>
      </w:r>
    </w:p>
    <w:p>
      <w:pPr>
        <w:pStyle w:val="87"/>
        <w:rPr>
          <w:rFonts w:hint="eastAsia" w:ascii="Times New Roman"/>
          <w:color w:val="auto"/>
        </w:rPr>
      </w:pPr>
      <w:bookmarkStart w:id="308" w:name="_Toc494315130"/>
      <w:bookmarkStart w:id="309" w:name="_Toc23954"/>
      <w:bookmarkStart w:id="310" w:name="_Toc491089658"/>
      <w:r>
        <w:rPr>
          <w:rFonts w:hint="eastAsia" w:ascii="Times New Roman"/>
          <w:color w:val="auto"/>
        </w:rPr>
        <w:t>2.3 招标文件的修改</w:t>
      </w:r>
      <w:bookmarkEnd w:id="307"/>
      <w:bookmarkEnd w:id="308"/>
      <w:bookmarkEnd w:id="309"/>
      <w:bookmarkEnd w:id="310"/>
    </w:p>
    <w:p>
      <w:pPr>
        <w:spacing w:line="400" w:lineRule="exact"/>
        <w:ind w:firstLine="420" w:firstLineChars="200"/>
        <w:rPr>
          <w:rFonts w:hint="eastAsia"/>
          <w:color w:val="auto"/>
        </w:rPr>
      </w:pPr>
      <w:bookmarkStart w:id="311" w:name="_Toc395776371"/>
      <w:r>
        <w:rPr>
          <w:rFonts w:hint="eastAsia"/>
          <w:color w:val="auto"/>
        </w:rPr>
        <w:t>2.3.1招标人可以书面形式修改招标文件，并通过“电子交易平台”通知所有已下载招标文件的投标人。修改通知发出的时间距投标人须知前附表4.2.1项规定的投标截止时间不足15日，并且澄清的内容影响投标文件编制的，相应延长投标截止时间。</w:t>
      </w:r>
    </w:p>
    <w:p>
      <w:pPr>
        <w:spacing w:line="400" w:lineRule="exact"/>
        <w:ind w:firstLine="420" w:firstLineChars="200"/>
        <w:rPr>
          <w:rFonts w:hint="eastAsia"/>
          <w:color w:val="auto"/>
        </w:rPr>
      </w:pPr>
      <w:r>
        <w:rPr>
          <w:rFonts w:hint="eastAsia"/>
          <w:color w:val="auto"/>
        </w:rPr>
        <w:t>2.3.2</w:t>
      </w:r>
      <w:r>
        <w:rPr>
          <w:color w:val="auto"/>
        </w:rPr>
        <w:t>投标人应</w:t>
      </w:r>
      <w:r>
        <w:rPr>
          <w:rFonts w:hint="eastAsia"/>
          <w:color w:val="auto"/>
        </w:rPr>
        <w:t>实时关注“电子交易平台”</w:t>
      </w:r>
      <w:r>
        <w:rPr>
          <w:color w:val="auto"/>
        </w:rPr>
        <w:t>上</w:t>
      </w:r>
      <w:r>
        <w:rPr>
          <w:rFonts w:hint="eastAsia"/>
          <w:color w:val="auto"/>
        </w:rPr>
        <w:t>发出</w:t>
      </w:r>
      <w:r>
        <w:rPr>
          <w:color w:val="auto"/>
        </w:rPr>
        <w:t>的</w:t>
      </w:r>
      <w:r>
        <w:rPr>
          <w:rFonts w:hint="eastAsia"/>
          <w:color w:val="auto"/>
        </w:rPr>
        <w:t>修改</w:t>
      </w:r>
      <w:r>
        <w:rPr>
          <w:color w:val="auto"/>
        </w:rPr>
        <w:t>通知，因投标人</w:t>
      </w:r>
      <w:r>
        <w:rPr>
          <w:rFonts w:hint="eastAsia"/>
          <w:color w:val="auto"/>
        </w:rPr>
        <w:t>自身</w:t>
      </w:r>
      <w:r>
        <w:rPr>
          <w:color w:val="auto"/>
        </w:rPr>
        <w:t>原因未及时获知</w:t>
      </w:r>
      <w:r>
        <w:rPr>
          <w:rFonts w:hint="eastAsia"/>
          <w:color w:val="auto"/>
        </w:rPr>
        <w:t>修改</w:t>
      </w:r>
      <w:r>
        <w:rPr>
          <w:color w:val="auto"/>
        </w:rPr>
        <w:t>内容而导致的任何后果将由投标人自行承担。</w:t>
      </w:r>
    </w:p>
    <w:p>
      <w:pPr>
        <w:pStyle w:val="87"/>
        <w:rPr>
          <w:rFonts w:hint="eastAsia" w:ascii="Times New Roman"/>
          <w:color w:val="auto"/>
        </w:rPr>
      </w:pPr>
      <w:bookmarkStart w:id="312" w:name="_Toc494315131"/>
      <w:bookmarkStart w:id="313" w:name="_Toc491089659"/>
      <w:bookmarkStart w:id="314" w:name="_Toc9970"/>
      <w:r>
        <w:rPr>
          <w:rFonts w:hint="eastAsia" w:ascii="Times New Roman"/>
          <w:color w:val="auto"/>
        </w:rPr>
        <w:t>2.4 招标文件的异议</w:t>
      </w:r>
      <w:bookmarkEnd w:id="311"/>
      <w:bookmarkEnd w:id="312"/>
      <w:bookmarkEnd w:id="313"/>
      <w:bookmarkEnd w:id="314"/>
    </w:p>
    <w:p>
      <w:pPr>
        <w:spacing w:line="400" w:lineRule="exact"/>
        <w:ind w:firstLine="462" w:firstLineChars="220"/>
        <w:rPr>
          <w:rFonts w:hint="eastAsia" w:ascii="宋体" w:hAnsi="宋体"/>
          <w:color w:val="auto"/>
        </w:rPr>
      </w:pPr>
      <w:r>
        <w:rPr>
          <w:rFonts w:hint="eastAsia" w:ascii="宋体" w:hAnsi="宋体"/>
          <w:color w:val="auto"/>
        </w:rPr>
        <w:t>2.4.1投标人或者其他利害关系人对招标文件（包括对招标文件澄清和修改的内容）有异议的，应当在投标人须知前附表4.2.1项规定的投标截止时间10日前提出。招标人自收到异议之日起3日内作出答复；作出答复前，招标人将暂停招标投标活动。逾期提出的，招标人可</w:t>
      </w:r>
      <w:r>
        <w:rPr>
          <w:rFonts w:ascii="宋体" w:hAnsi="宋体"/>
          <w:color w:val="auto"/>
          <w:szCs w:val="21"/>
        </w:rPr>
        <w:t>不予受理</w:t>
      </w:r>
      <w:r>
        <w:rPr>
          <w:rFonts w:hint="eastAsia" w:ascii="宋体" w:hAnsi="宋体"/>
          <w:color w:val="auto"/>
        </w:rPr>
        <w:t>。异议与答复应</w:t>
      </w:r>
      <w:r>
        <w:rPr>
          <w:rFonts w:hint="eastAsia" w:ascii="宋体" w:hAnsi="宋体"/>
          <w:color w:val="auto"/>
          <w:szCs w:val="21"/>
        </w:rPr>
        <w:t>通过“电子交易平台”在“异议与答复”菜单以书面形式</w:t>
      </w:r>
      <w:r>
        <w:rPr>
          <w:rFonts w:hint="eastAsia"/>
          <w:color w:val="auto"/>
        </w:rPr>
        <w:t>进行</w:t>
      </w:r>
      <w:r>
        <w:rPr>
          <w:rFonts w:hint="eastAsia" w:ascii="宋体" w:hAnsi="宋体"/>
          <w:color w:val="auto"/>
        </w:rPr>
        <w:t>。</w:t>
      </w:r>
    </w:p>
    <w:p>
      <w:pPr>
        <w:spacing w:line="400" w:lineRule="exact"/>
        <w:ind w:firstLine="462" w:firstLineChars="220"/>
        <w:rPr>
          <w:rFonts w:hint="eastAsia" w:ascii="宋体" w:hAnsi="宋体"/>
          <w:color w:val="auto"/>
        </w:rPr>
      </w:pPr>
      <w:r>
        <w:rPr>
          <w:rFonts w:hint="eastAsia" w:ascii="宋体" w:hAnsi="宋体"/>
          <w:color w:val="auto"/>
        </w:rPr>
        <w:t>本处所称异议是指投标人或者其他利害关系人认为招标文件的内容违反法律、法规、规章的强制性规定，违反公开、公平、公正和诚实信用原则，影响投标人投标而向招标人提出的质疑。</w:t>
      </w:r>
    </w:p>
    <w:p>
      <w:pPr>
        <w:spacing w:line="400" w:lineRule="exact"/>
        <w:ind w:firstLine="359" w:firstLineChars="171"/>
        <w:rPr>
          <w:rFonts w:hint="eastAsia" w:ascii="宋体" w:hAnsi="宋体"/>
          <w:color w:val="auto"/>
        </w:rPr>
      </w:pPr>
      <w:r>
        <w:rPr>
          <w:rFonts w:hint="eastAsia" w:ascii="宋体" w:hAnsi="宋体"/>
          <w:bCs/>
          <w:color w:val="auto"/>
        </w:rPr>
        <w:t>2.4.2招标人对异议的答复构成对招标文件澄清或者修改的，</w:t>
      </w:r>
      <w:r>
        <w:rPr>
          <w:rFonts w:hint="eastAsia" w:ascii="宋体" w:hAnsi="宋体"/>
          <w:color w:val="auto"/>
        </w:rPr>
        <w:t>招标人将按照本章第2.2款、第2.3款规定办理。</w:t>
      </w:r>
    </w:p>
    <w:p>
      <w:pPr>
        <w:pStyle w:val="80"/>
        <w:spacing w:before="120" w:after="156" w:afterLines="50"/>
        <w:rPr>
          <w:rFonts w:hint="eastAsia"/>
          <w:color w:val="auto"/>
        </w:rPr>
      </w:pPr>
      <w:bookmarkStart w:id="315" w:name="_Toc491089660"/>
      <w:bookmarkStart w:id="316" w:name="_Toc5464"/>
      <w:r>
        <w:rPr>
          <w:rFonts w:hint="eastAsia"/>
          <w:color w:val="auto"/>
        </w:rPr>
        <w:t>3. 投标文件</w:t>
      </w:r>
      <w:bookmarkEnd w:id="297"/>
      <w:bookmarkEnd w:id="298"/>
      <w:bookmarkEnd w:id="299"/>
      <w:bookmarkEnd w:id="300"/>
      <w:bookmarkEnd w:id="301"/>
      <w:bookmarkEnd w:id="302"/>
      <w:bookmarkEnd w:id="303"/>
      <w:bookmarkEnd w:id="304"/>
      <w:bookmarkEnd w:id="305"/>
      <w:bookmarkEnd w:id="306"/>
      <w:bookmarkEnd w:id="315"/>
      <w:bookmarkEnd w:id="316"/>
    </w:p>
    <w:p>
      <w:pPr>
        <w:pStyle w:val="87"/>
        <w:rPr>
          <w:rFonts w:hint="eastAsia" w:ascii="Times New Roman"/>
          <w:color w:val="auto"/>
        </w:rPr>
      </w:pPr>
      <w:bookmarkStart w:id="317" w:name="_Toc152045547"/>
      <w:bookmarkStart w:id="318" w:name="_Toc179632565"/>
      <w:bookmarkStart w:id="319" w:name="_Toc494315133"/>
      <w:bookmarkStart w:id="320" w:name="_Toc491089661"/>
      <w:bookmarkStart w:id="321" w:name="_Toc11336"/>
      <w:bookmarkStart w:id="322" w:name="_Toc152042323"/>
      <w:bookmarkStart w:id="323" w:name="_Toc144974515"/>
      <w:r>
        <w:rPr>
          <w:rFonts w:hint="eastAsia" w:ascii="Times New Roman"/>
          <w:color w:val="auto"/>
        </w:rPr>
        <w:t>3.1 投标文件的组成</w:t>
      </w:r>
      <w:bookmarkEnd w:id="317"/>
      <w:bookmarkEnd w:id="318"/>
      <w:bookmarkEnd w:id="319"/>
      <w:bookmarkEnd w:id="320"/>
      <w:bookmarkEnd w:id="321"/>
      <w:bookmarkEnd w:id="322"/>
      <w:bookmarkEnd w:id="323"/>
    </w:p>
    <w:p>
      <w:pPr>
        <w:spacing w:line="360" w:lineRule="auto"/>
        <w:rPr>
          <w:rFonts w:hint="eastAsia" w:ascii="宋体" w:hAnsi="宋体"/>
          <w:color w:val="auto"/>
          <w:szCs w:val="21"/>
        </w:rPr>
      </w:pPr>
      <w:r>
        <w:rPr>
          <w:rFonts w:hint="eastAsia" w:ascii="宋体" w:hAnsi="宋体"/>
          <w:color w:val="auto"/>
          <w:szCs w:val="21"/>
        </w:rPr>
        <w:t>　　3.1.1投标文件应包括下列内容：</w:t>
      </w:r>
    </w:p>
    <w:p>
      <w:pPr>
        <w:spacing w:line="360" w:lineRule="auto"/>
        <w:ind w:firstLine="359" w:firstLineChars="171"/>
        <w:rPr>
          <w:rFonts w:hint="eastAsia" w:ascii="宋体" w:hAnsi="宋体"/>
          <w:color w:val="auto"/>
          <w:szCs w:val="21"/>
        </w:rPr>
      </w:pPr>
      <w:r>
        <w:rPr>
          <w:rFonts w:hint="eastAsia" w:ascii="宋体" w:hAnsi="宋体"/>
          <w:color w:val="auto"/>
          <w:szCs w:val="21"/>
        </w:rPr>
        <w:t>（1）投标函及投标函附录；</w:t>
      </w:r>
    </w:p>
    <w:p>
      <w:pPr>
        <w:spacing w:line="360" w:lineRule="auto"/>
        <w:ind w:firstLine="359" w:firstLineChars="171"/>
        <w:rPr>
          <w:rFonts w:hint="eastAsia" w:ascii="宋体" w:hAnsi="宋体"/>
          <w:color w:val="auto"/>
          <w:szCs w:val="21"/>
        </w:rPr>
      </w:pPr>
      <w:r>
        <w:rPr>
          <w:rFonts w:hint="eastAsia" w:ascii="宋体" w:hAnsi="宋体"/>
          <w:color w:val="auto"/>
          <w:szCs w:val="21"/>
        </w:rPr>
        <w:t>（2）法定代表人身份证明；</w:t>
      </w:r>
    </w:p>
    <w:p>
      <w:pPr>
        <w:spacing w:line="360" w:lineRule="auto"/>
        <w:ind w:firstLine="359" w:firstLineChars="171"/>
        <w:rPr>
          <w:rFonts w:hint="eastAsia" w:ascii="宋体" w:hAnsi="宋体"/>
          <w:color w:val="auto"/>
          <w:szCs w:val="21"/>
        </w:rPr>
      </w:pPr>
      <w:r>
        <w:rPr>
          <w:rFonts w:hint="eastAsia" w:ascii="宋体" w:hAnsi="宋体"/>
          <w:color w:val="auto"/>
          <w:szCs w:val="21"/>
        </w:rPr>
        <w:t>（3）联合体协议书；</w:t>
      </w:r>
    </w:p>
    <w:p>
      <w:pPr>
        <w:spacing w:line="360" w:lineRule="auto"/>
        <w:ind w:firstLine="359" w:firstLineChars="171"/>
        <w:rPr>
          <w:rFonts w:hint="eastAsia" w:ascii="宋体" w:hAnsi="宋体"/>
          <w:color w:val="auto"/>
          <w:szCs w:val="21"/>
        </w:rPr>
      </w:pPr>
      <w:r>
        <w:rPr>
          <w:rFonts w:hint="eastAsia" w:ascii="宋体" w:hAnsi="宋体"/>
          <w:color w:val="auto"/>
          <w:szCs w:val="21"/>
        </w:rPr>
        <w:t>（4）投标保证金；</w:t>
      </w:r>
    </w:p>
    <w:p>
      <w:pPr>
        <w:spacing w:line="360" w:lineRule="auto"/>
        <w:ind w:firstLine="359" w:firstLineChars="171"/>
        <w:rPr>
          <w:rFonts w:hint="eastAsia" w:ascii="宋体" w:hAnsi="宋体"/>
          <w:color w:val="auto"/>
          <w:szCs w:val="21"/>
        </w:rPr>
      </w:pPr>
      <w:r>
        <w:rPr>
          <w:rFonts w:hint="eastAsia" w:ascii="宋体" w:hAnsi="宋体"/>
          <w:color w:val="auto"/>
          <w:szCs w:val="21"/>
        </w:rPr>
        <w:t>（5）施工组织设计；</w:t>
      </w:r>
    </w:p>
    <w:p>
      <w:pPr>
        <w:spacing w:line="360" w:lineRule="auto"/>
        <w:ind w:firstLine="359" w:firstLineChars="171"/>
        <w:rPr>
          <w:rFonts w:hint="eastAsia" w:ascii="宋体" w:hAnsi="宋体"/>
          <w:color w:val="auto"/>
          <w:szCs w:val="21"/>
        </w:rPr>
      </w:pPr>
      <w:r>
        <w:rPr>
          <w:rFonts w:hint="eastAsia" w:ascii="宋体" w:hAnsi="宋体"/>
          <w:color w:val="auto"/>
          <w:szCs w:val="21"/>
        </w:rPr>
        <w:t>（6）项目管理机构；</w:t>
      </w:r>
    </w:p>
    <w:p>
      <w:pPr>
        <w:spacing w:line="360" w:lineRule="auto"/>
        <w:ind w:firstLine="359" w:firstLineChars="171"/>
        <w:rPr>
          <w:rFonts w:hint="eastAsia" w:ascii="宋体" w:hAnsi="宋体"/>
          <w:color w:val="auto"/>
          <w:szCs w:val="21"/>
        </w:rPr>
      </w:pPr>
      <w:r>
        <w:rPr>
          <w:rFonts w:hint="eastAsia" w:ascii="宋体" w:hAnsi="宋体"/>
          <w:color w:val="auto"/>
          <w:szCs w:val="21"/>
        </w:rPr>
        <w:t>（7）已标价工程量清单；</w:t>
      </w:r>
    </w:p>
    <w:p>
      <w:pPr>
        <w:spacing w:line="360" w:lineRule="auto"/>
        <w:ind w:firstLine="359" w:firstLineChars="171"/>
        <w:rPr>
          <w:rFonts w:hint="eastAsia" w:ascii="宋体" w:hAnsi="宋体"/>
          <w:color w:val="auto"/>
          <w:szCs w:val="21"/>
        </w:rPr>
      </w:pPr>
      <w:r>
        <w:rPr>
          <w:rFonts w:hint="eastAsia" w:ascii="宋体" w:hAnsi="宋体"/>
          <w:color w:val="auto"/>
          <w:szCs w:val="21"/>
        </w:rPr>
        <w:t>（8）资格审查资料；</w:t>
      </w:r>
    </w:p>
    <w:p>
      <w:pPr>
        <w:spacing w:line="360" w:lineRule="auto"/>
        <w:ind w:firstLine="359" w:firstLineChars="171"/>
        <w:rPr>
          <w:rFonts w:hint="eastAsia" w:ascii="宋体" w:hAnsi="宋体"/>
          <w:color w:val="auto"/>
          <w:szCs w:val="21"/>
        </w:rPr>
      </w:pPr>
      <w:r>
        <w:rPr>
          <w:rFonts w:hint="eastAsia" w:ascii="宋体" w:hAnsi="宋体"/>
          <w:color w:val="auto"/>
          <w:szCs w:val="21"/>
        </w:rPr>
        <w:t>（9）拟分包项目情况表；</w:t>
      </w:r>
    </w:p>
    <w:p>
      <w:pPr>
        <w:spacing w:line="360" w:lineRule="auto"/>
        <w:ind w:firstLine="359" w:firstLineChars="171"/>
        <w:rPr>
          <w:rFonts w:hint="eastAsia" w:ascii="宋体" w:hAnsi="宋体"/>
          <w:color w:val="auto"/>
          <w:szCs w:val="21"/>
        </w:rPr>
      </w:pPr>
      <w:r>
        <w:rPr>
          <w:rFonts w:hint="eastAsia" w:ascii="宋体" w:hAnsi="宋体"/>
          <w:color w:val="auto"/>
          <w:szCs w:val="21"/>
        </w:rPr>
        <w:t>（10）投标人认为需提供的其他材料。</w:t>
      </w:r>
    </w:p>
    <w:p>
      <w:pPr>
        <w:spacing w:line="360" w:lineRule="auto"/>
        <w:ind w:firstLine="359" w:firstLineChars="171"/>
        <w:rPr>
          <w:rFonts w:hint="eastAsia" w:ascii="宋体" w:hAnsi="宋体"/>
          <w:color w:val="auto"/>
          <w:szCs w:val="21"/>
        </w:rPr>
      </w:pPr>
      <w:r>
        <w:rPr>
          <w:rFonts w:hint="eastAsia" w:ascii="宋体" w:hAnsi="宋体"/>
          <w:color w:val="auto"/>
          <w:szCs w:val="21"/>
        </w:rPr>
        <w:t xml:space="preserve">3.1.2 投标人须知前附表第1.4.2项规定不接受联合体投标的，或投标人没有组成联合体的，投标文件不包括本章第3.1.1（3）目所指的联合体协议书。 </w:t>
      </w:r>
    </w:p>
    <w:p>
      <w:pPr>
        <w:pStyle w:val="87"/>
        <w:rPr>
          <w:rFonts w:hint="eastAsia" w:ascii="Times New Roman"/>
          <w:color w:val="auto"/>
        </w:rPr>
      </w:pPr>
      <w:bookmarkStart w:id="324" w:name="_Toc144974516"/>
      <w:bookmarkStart w:id="325" w:name="_Toc152042324"/>
      <w:bookmarkStart w:id="326" w:name="_Toc491089662"/>
      <w:bookmarkStart w:id="327" w:name="_Toc152045548"/>
      <w:bookmarkStart w:id="328" w:name="_Toc494315134"/>
      <w:bookmarkStart w:id="329" w:name="_Toc179632566"/>
      <w:bookmarkStart w:id="330" w:name="_Toc15360"/>
      <w:r>
        <w:rPr>
          <w:rFonts w:hint="eastAsia" w:ascii="Times New Roman"/>
          <w:color w:val="auto"/>
        </w:rPr>
        <w:t>3.2 投标报价</w:t>
      </w:r>
      <w:bookmarkEnd w:id="324"/>
      <w:bookmarkEnd w:id="325"/>
      <w:bookmarkEnd w:id="326"/>
      <w:bookmarkEnd w:id="327"/>
      <w:bookmarkEnd w:id="328"/>
      <w:bookmarkEnd w:id="329"/>
      <w:bookmarkEnd w:id="330"/>
    </w:p>
    <w:p>
      <w:pPr>
        <w:spacing w:line="360" w:lineRule="auto"/>
        <w:ind w:firstLine="420" w:firstLineChars="200"/>
        <w:rPr>
          <w:rFonts w:hint="eastAsia" w:ascii="宋体" w:hAnsi="宋体"/>
          <w:color w:val="auto"/>
          <w:szCs w:val="21"/>
        </w:rPr>
      </w:pPr>
      <w:r>
        <w:rPr>
          <w:rFonts w:hint="eastAsia" w:ascii="宋体" w:hAnsi="宋体"/>
          <w:color w:val="auto"/>
          <w:szCs w:val="21"/>
        </w:rPr>
        <w:t>3.2.1 投标人应按第五章“工程量清单”的要求填写相应表格。</w:t>
      </w:r>
    </w:p>
    <w:p>
      <w:pPr>
        <w:spacing w:line="360" w:lineRule="auto"/>
        <w:ind w:firstLine="420" w:firstLineChars="200"/>
        <w:rPr>
          <w:rFonts w:hint="eastAsia" w:ascii="宋体" w:hAnsi="宋体"/>
          <w:color w:val="auto"/>
          <w:szCs w:val="21"/>
        </w:rPr>
      </w:pPr>
      <w:r>
        <w:rPr>
          <w:rFonts w:hint="eastAsia" w:ascii="宋体" w:hAnsi="宋体"/>
          <w:color w:val="auto"/>
          <w:szCs w:val="21"/>
        </w:rPr>
        <w:t>3.2.2 投标人在投标截止时间前修改投标函中的投标总报价，应同时修改第五章“工程量清单”中的相应报价。此修改须符合本章第4.3款的有关要求。　　</w:t>
      </w:r>
    </w:p>
    <w:p>
      <w:pPr>
        <w:pStyle w:val="87"/>
        <w:rPr>
          <w:rFonts w:hint="eastAsia" w:ascii="Times New Roman"/>
          <w:color w:val="auto"/>
        </w:rPr>
      </w:pPr>
      <w:bookmarkStart w:id="331" w:name="_Toc152045549"/>
      <w:bookmarkStart w:id="332" w:name="_Toc24170"/>
      <w:bookmarkStart w:id="333" w:name="_Toc494315135"/>
      <w:bookmarkStart w:id="334" w:name="_Toc152042325"/>
      <w:bookmarkStart w:id="335" w:name="_Toc491089663"/>
      <w:bookmarkStart w:id="336" w:name="_Toc144974517"/>
      <w:bookmarkStart w:id="337" w:name="_Toc179632567"/>
      <w:r>
        <w:rPr>
          <w:rFonts w:hint="eastAsia" w:ascii="Times New Roman"/>
          <w:color w:val="auto"/>
        </w:rPr>
        <w:t>3.3 投标有效期</w:t>
      </w:r>
      <w:bookmarkEnd w:id="331"/>
      <w:bookmarkEnd w:id="332"/>
      <w:bookmarkEnd w:id="333"/>
      <w:bookmarkEnd w:id="334"/>
      <w:bookmarkEnd w:id="335"/>
      <w:bookmarkEnd w:id="336"/>
      <w:bookmarkEnd w:id="337"/>
    </w:p>
    <w:p>
      <w:pPr>
        <w:spacing w:line="360" w:lineRule="auto"/>
        <w:ind w:firstLine="420" w:firstLineChars="200"/>
        <w:rPr>
          <w:rFonts w:hint="eastAsia" w:ascii="宋体" w:hAnsi="宋体"/>
          <w:color w:val="auto"/>
          <w:szCs w:val="21"/>
        </w:rPr>
      </w:pPr>
      <w:r>
        <w:rPr>
          <w:rFonts w:hint="eastAsia" w:ascii="宋体" w:hAnsi="宋体"/>
          <w:color w:val="auto"/>
          <w:szCs w:val="21"/>
        </w:rPr>
        <w:t>3.3.1 在投标人须知前附表规定的投标有效期内，投标人不得要求撤销或修改其投标文件。</w:t>
      </w:r>
    </w:p>
    <w:p>
      <w:pPr>
        <w:spacing w:line="360" w:lineRule="auto"/>
        <w:ind w:firstLine="420" w:firstLineChars="200"/>
        <w:rPr>
          <w:rFonts w:hint="eastAsia" w:ascii="宋体" w:hAnsi="宋体"/>
          <w:color w:val="auto"/>
          <w:szCs w:val="21"/>
        </w:rPr>
      </w:pPr>
      <w:r>
        <w:rPr>
          <w:rFonts w:hint="eastAsia" w:ascii="宋体" w:hAnsi="宋体"/>
          <w:color w:val="auto"/>
          <w:szCs w:val="21"/>
        </w:rPr>
        <w:t>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7"/>
        <w:rPr>
          <w:rFonts w:hint="eastAsia" w:ascii="Times New Roman"/>
          <w:color w:val="auto"/>
        </w:rPr>
      </w:pPr>
      <w:bookmarkStart w:id="338" w:name="_Toc152042326"/>
      <w:bookmarkStart w:id="339" w:name="_Toc152045550"/>
      <w:bookmarkStart w:id="340" w:name="_Toc144974518"/>
      <w:bookmarkStart w:id="341" w:name="_Toc494315136"/>
      <w:bookmarkStart w:id="342" w:name="_Toc491089664"/>
      <w:bookmarkStart w:id="343" w:name="_Toc21736"/>
      <w:bookmarkStart w:id="344" w:name="_Toc179632568"/>
      <w:r>
        <w:rPr>
          <w:rFonts w:hint="eastAsia" w:ascii="Times New Roman"/>
          <w:color w:val="auto"/>
        </w:rPr>
        <w:t>3.4 投标保证金</w:t>
      </w:r>
      <w:bookmarkEnd w:id="338"/>
      <w:bookmarkEnd w:id="339"/>
      <w:bookmarkEnd w:id="340"/>
      <w:bookmarkEnd w:id="341"/>
      <w:bookmarkEnd w:id="342"/>
      <w:bookmarkEnd w:id="343"/>
      <w:bookmarkEnd w:id="344"/>
    </w:p>
    <w:p>
      <w:pPr>
        <w:spacing w:line="360" w:lineRule="auto"/>
        <w:ind w:firstLine="420" w:firstLineChars="200"/>
        <w:rPr>
          <w:rFonts w:hint="eastAsia" w:ascii="宋体" w:hAnsi="宋体"/>
          <w:color w:val="auto"/>
          <w:szCs w:val="21"/>
        </w:rPr>
      </w:pPr>
      <w:r>
        <w:rPr>
          <w:rFonts w:hint="eastAsia" w:ascii="宋体" w:hAnsi="宋体"/>
          <w:color w:val="auto"/>
          <w:szCs w:val="21"/>
        </w:rPr>
        <w:t>3.4.1</w:t>
      </w:r>
      <w:r>
        <w:rPr>
          <w:rFonts w:hint="eastAsia"/>
          <w:color w:val="auto"/>
        </w:rPr>
        <w:t>投标人须知前附表规定提交投标保证金的，</w:t>
      </w:r>
      <w:r>
        <w:rPr>
          <w:rFonts w:hint="eastAsia" w:ascii="宋体" w:hAnsi="宋体"/>
          <w:color w:val="auto"/>
          <w:szCs w:val="21"/>
        </w:rPr>
        <w:t>投标人在递交投标文件的同时，应按投标人须知前附表规定的</w:t>
      </w:r>
      <w:r>
        <w:rPr>
          <w:rFonts w:ascii="宋体" w:hAnsi="宋体"/>
          <w:color w:val="auto"/>
          <w:szCs w:val="21"/>
        </w:rPr>
        <w:t>形式</w:t>
      </w:r>
      <w:r>
        <w:rPr>
          <w:rFonts w:hint="eastAsia" w:ascii="宋体" w:hAnsi="宋体"/>
          <w:color w:val="auto"/>
          <w:szCs w:val="21"/>
        </w:rPr>
        <w:t>、</w:t>
      </w:r>
      <w:r>
        <w:rPr>
          <w:rFonts w:ascii="宋体" w:hAnsi="宋体"/>
          <w:color w:val="auto"/>
          <w:szCs w:val="21"/>
        </w:rPr>
        <w:t>金额</w:t>
      </w:r>
      <w:r>
        <w:rPr>
          <w:rFonts w:hint="eastAsia" w:ascii="宋体" w:hAnsi="宋体"/>
          <w:color w:val="auto"/>
          <w:szCs w:val="21"/>
        </w:rPr>
        <w:t>、递交截止时间、递交方式提交投标保证金，并作为其投标文件的组成部分。联合体投标的，其投标保证金由牵头人递交，并应符合投标人须知前附表的规定。</w:t>
      </w:r>
    </w:p>
    <w:p>
      <w:pPr>
        <w:spacing w:line="360" w:lineRule="auto"/>
        <w:ind w:firstLine="420" w:firstLineChars="200"/>
        <w:rPr>
          <w:rFonts w:hint="eastAsia" w:ascii="宋体" w:hAnsi="宋体"/>
          <w:color w:val="auto"/>
          <w:szCs w:val="21"/>
        </w:rPr>
      </w:pPr>
      <w:r>
        <w:rPr>
          <w:rFonts w:hint="eastAsia" w:ascii="宋体" w:hAnsi="宋体"/>
          <w:color w:val="auto"/>
          <w:szCs w:val="21"/>
        </w:rPr>
        <w:t>3.4.2 投标人不按本章第3.4.1项要求提交投标保证金的，其投标将被否决。</w:t>
      </w:r>
    </w:p>
    <w:p>
      <w:pPr>
        <w:spacing w:line="360" w:lineRule="auto"/>
        <w:ind w:firstLine="420" w:firstLineChars="200"/>
        <w:rPr>
          <w:rFonts w:hint="eastAsia" w:ascii="宋体" w:hAnsi="宋体"/>
          <w:color w:val="auto"/>
          <w:szCs w:val="21"/>
        </w:rPr>
      </w:pPr>
      <w:r>
        <w:rPr>
          <w:rFonts w:hint="eastAsia" w:ascii="宋体" w:hAnsi="宋体"/>
          <w:color w:val="auto"/>
          <w:szCs w:val="21"/>
        </w:rPr>
        <w:t>3.4.3 招标人</w:t>
      </w:r>
      <w:r>
        <w:rPr>
          <w:rFonts w:hint="eastAsia"/>
          <w:color w:val="auto"/>
        </w:rPr>
        <w:t>最迟在</w:t>
      </w:r>
      <w:r>
        <w:rPr>
          <w:rFonts w:hint="eastAsia" w:ascii="宋体" w:hAnsi="宋体"/>
          <w:color w:val="auto"/>
          <w:szCs w:val="21"/>
        </w:rPr>
        <w:t>与中标人签订合同后5个工作日内，向未中标的投标人和中标人退还投标保证金。</w:t>
      </w:r>
      <w:r>
        <w:rPr>
          <w:rFonts w:hint="eastAsia" w:ascii="宋体" w:hAnsi="宋体"/>
          <w:color w:val="auto"/>
        </w:rPr>
        <w:t>招标人同时退还投标保证金的银行同期存款利息。投标保证金及利息的计息标准和退还方式见投标人须知前附表。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3.4.4 有下列情形之一的，投标保证金将不予退还： </w:t>
      </w:r>
    </w:p>
    <w:p>
      <w:pPr>
        <w:spacing w:line="360" w:lineRule="auto"/>
        <w:ind w:firstLine="718" w:firstLineChars="342"/>
        <w:rPr>
          <w:rFonts w:hint="eastAsia" w:ascii="宋体" w:hAnsi="宋体"/>
          <w:color w:val="auto"/>
          <w:szCs w:val="21"/>
        </w:rPr>
      </w:pPr>
      <w:r>
        <w:rPr>
          <w:rFonts w:hint="eastAsia" w:ascii="宋体" w:hAnsi="宋体"/>
          <w:color w:val="auto"/>
          <w:szCs w:val="21"/>
        </w:rPr>
        <w:t>（1）投标人在规定的投标有效期内撤销或修改其投标文件；</w:t>
      </w:r>
    </w:p>
    <w:p>
      <w:pPr>
        <w:spacing w:line="360" w:lineRule="auto"/>
        <w:ind w:firstLine="718" w:firstLineChars="342"/>
        <w:rPr>
          <w:rFonts w:hint="eastAsia" w:ascii="宋体" w:hAnsi="宋体"/>
          <w:color w:val="auto"/>
          <w:szCs w:val="21"/>
        </w:rPr>
      </w:pPr>
      <w:r>
        <w:rPr>
          <w:rFonts w:hint="eastAsia" w:ascii="宋体" w:hAnsi="宋体"/>
          <w:color w:val="auto"/>
          <w:szCs w:val="21"/>
        </w:rPr>
        <w:t>（2）中标人在收到中标通知书后，无正当理由拒签合同协议书或未按招标文件规定提交履约担保。</w:t>
      </w:r>
    </w:p>
    <w:p>
      <w:pPr>
        <w:pStyle w:val="87"/>
        <w:rPr>
          <w:rFonts w:hint="eastAsia" w:ascii="Times New Roman"/>
          <w:color w:val="auto"/>
        </w:rPr>
      </w:pPr>
      <w:bookmarkStart w:id="345" w:name="_Toc8430"/>
      <w:bookmarkStart w:id="346" w:name="_Toc494315137"/>
      <w:bookmarkStart w:id="347" w:name="_Toc491089665"/>
      <w:bookmarkStart w:id="348" w:name="_Toc221950168"/>
      <w:r>
        <w:rPr>
          <w:rFonts w:hint="eastAsia" w:ascii="Times New Roman"/>
          <w:color w:val="auto"/>
        </w:rPr>
        <w:t>3.5 资格审查资料</w:t>
      </w:r>
      <w:bookmarkEnd w:id="345"/>
      <w:bookmarkEnd w:id="346"/>
      <w:bookmarkEnd w:id="347"/>
    </w:p>
    <w:bookmarkEnd w:id="348"/>
    <w:p>
      <w:pPr>
        <w:spacing w:line="400" w:lineRule="exact"/>
        <w:ind w:firstLine="420" w:firstLineChars="200"/>
        <w:rPr>
          <w:rFonts w:hint="eastAsia"/>
          <w:color w:val="auto"/>
        </w:rPr>
      </w:pPr>
      <w:r>
        <w:rPr>
          <w:rFonts w:hint="eastAsia"/>
          <w:color w:val="auto"/>
        </w:rPr>
        <w:t>3.5.1投标人应按招标文件第八章“投标文件格式”中规定的表格内容填写资格审查表，并按各资格审查表的具体要求提供相关证件及证明材料。</w:t>
      </w:r>
    </w:p>
    <w:p>
      <w:pPr>
        <w:spacing w:line="360" w:lineRule="auto"/>
        <w:ind w:firstLine="420" w:firstLineChars="200"/>
        <w:rPr>
          <w:rFonts w:hint="eastAsia" w:ascii="宋体" w:hAnsi="宋体"/>
          <w:color w:val="auto"/>
          <w:szCs w:val="21"/>
        </w:rPr>
      </w:pPr>
      <w:r>
        <w:rPr>
          <w:rFonts w:hint="eastAsia"/>
          <w:color w:val="auto"/>
        </w:rPr>
        <w:t>3.5.2投标人须知前附表第1.4.2项规定接受联合体投标的，本章第3.5.1项规定的表格和资料应包括联合体各方相关情况。</w:t>
      </w:r>
    </w:p>
    <w:p>
      <w:pPr>
        <w:pStyle w:val="87"/>
        <w:rPr>
          <w:rFonts w:hint="eastAsia" w:ascii="Times New Roman"/>
          <w:color w:val="auto"/>
        </w:rPr>
      </w:pPr>
      <w:bookmarkStart w:id="349" w:name="_Toc5193"/>
      <w:bookmarkStart w:id="350" w:name="_Toc491089666"/>
      <w:bookmarkStart w:id="351" w:name="_Toc494315138"/>
      <w:bookmarkStart w:id="352" w:name="_Toc221950172"/>
      <w:r>
        <w:rPr>
          <w:rFonts w:hint="eastAsia" w:ascii="Times New Roman"/>
          <w:color w:val="auto"/>
        </w:rPr>
        <w:t>3.6 备选投标方案</w:t>
      </w:r>
      <w:bookmarkEnd w:id="349"/>
      <w:bookmarkEnd w:id="350"/>
      <w:bookmarkEnd w:id="351"/>
    </w:p>
    <w:bookmarkEnd w:id="352"/>
    <w:p>
      <w:pPr>
        <w:spacing w:line="360" w:lineRule="auto"/>
        <w:ind w:firstLine="420" w:firstLineChars="200"/>
        <w:rPr>
          <w:rFonts w:hint="eastAsia" w:ascii="宋体" w:hAnsi="宋体"/>
          <w:color w:val="auto"/>
          <w:szCs w:val="21"/>
        </w:rPr>
      </w:pPr>
      <w:r>
        <w:rPr>
          <w:rFonts w:hint="eastAsia"/>
          <w:color w:val="auto"/>
        </w:rPr>
        <w:t>除投标人须知前附表另有规定外，投标人不得递交备选投标方案。允许投标人递交备选投标方案的，</w:t>
      </w:r>
      <w:r>
        <w:rPr>
          <w:rFonts w:hint="eastAsia" w:ascii="宋体" w:hAnsi="宋体"/>
          <w:color w:val="auto"/>
          <w:szCs w:val="21"/>
        </w:rPr>
        <w:t>只有中标人所递交的备选投标方案方可予以考虑。评标委员会认为中标候选人递交的备选投标方案优于其按照招标文件要求编制的投标方案的，该中标候选人被确定为中标人后，招标人可以接受该备选投标方案。</w:t>
      </w:r>
    </w:p>
    <w:p>
      <w:pPr>
        <w:pStyle w:val="87"/>
        <w:rPr>
          <w:rFonts w:hint="eastAsia" w:ascii="Times New Roman"/>
          <w:color w:val="auto"/>
        </w:rPr>
      </w:pPr>
      <w:bookmarkStart w:id="353" w:name="_Toc16929"/>
      <w:bookmarkStart w:id="354" w:name="_Toc494315139"/>
      <w:bookmarkStart w:id="355" w:name="_Toc387753554"/>
      <w:bookmarkStart w:id="356" w:name="_Toc491089667"/>
      <w:r>
        <w:rPr>
          <w:rFonts w:hint="eastAsia" w:ascii="Times New Roman"/>
          <w:color w:val="auto"/>
        </w:rPr>
        <w:t>3.7 投标文件的编制</w:t>
      </w:r>
      <w:bookmarkEnd w:id="353"/>
      <w:bookmarkEnd w:id="354"/>
      <w:bookmarkEnd w:id="355"/>
      <w:bookmarkEnd w:id="356"/>
    </w:p>
    <w:p>
      <w:pPr>
        <w:spacing w:line="360" w:lineRule="auto"/>
        <w:ind w:firstLine="420" w:firstLineChars="200"/>
        <w:rPr>
          <w:rFonts w:hint="eastAsia" w:ascii="宋体" w:hAnsi="宋体"/>
          <w:color w:val="auto"/>
          <w:szCs w:val="21"/>
        </w:rPr>
      </w:pPr>
      <w:bookmarkStart w:id="357" w:name="_Toc221950175"/>
      <w:r>
        <w:rPr>
          <w:rFonts w:hint="eastAsia" w:ascii="宋体" w:hAnsi="宋体"/>
          <w:color w:val="auto"/>
          <w:szCs w:val="21"/>
        </w:rPr>
        <w:t>3.7.1投标文件应按第八章“投标文件格式”进行编写，如有必要，可以增加附页，作为投标文件的组成部分。其中，投标函附录在满足招标文件实质性要求的基础上，可以提出比招标文件要求更有利于招标人的承诺。</w:t>
      </w:r>
    </w:p>
    <w:p>
      <w:pPr>
        <w:spacing w:line="360" w:lineRule="auto"/>
        <w:ind w:firstLine="420" w:firstLineChars="200"/>
        <w:rPr>
          <w:rFonts w:hint="eastAsia" w:ascii="宋体" w:hAnsi="宋体"/>
          <w:color w:val="auto"/>
          <w:szCs w:val="21"/>
        </w:rPr>
      </w:pPr>
      <w:r>
        <w:rPr>
          <w:rFonts w:hint="eastAsia" w:ascii="宋体" w:hAnsi="宋体"/>
          <w:color w:val="auto"/>
          <w:szCs w:val="21"/>
        </w:rPr>
        <w:t>3.7.2投标文件应当对招标文件有关工期、投标有效期、质量要求、技术标准和要求、招标范围等实质性内容做出响应。</w:t>
      </w:r>
    </w:p>
    <w:p>
      <w:pPr>
        <w:pStyle w:val="93"/>
        <w:spacing w:line="360" w:lineRule="auto"/>
        <w:ind w:firstLine="420" w:firstLineChars="200"/>
        <w:rPr>
          <w:rFonts w:hint="eastAsia"/>
          <w:color w:val="auto"/>
          <w:sz w:val="21"/>
          <w:szCs w:val="21"/>
        </w:rPr>
      </w:pPr>
      <w:r>
        <w:rPr>
          <w:rFonts w:hint="eastAsia"/>
          <w:color w:val="auto"/>
          <w:sz w:val="21"/>
          <w:szCs w:val="21"/>
        </w:rPr>
        <w:t xml:space="preserve">3.7.3 </w:t>
      </w:r>
      <w:r>
        <w:rPr>
          <w:color w:val="auto"/>
          <w:sz w:val="21"/>
          <w:szCs w:val="21"/>
        </w:rPr>
        <w:t>电子投标文件制作</w:t>
      </w:r>
    </w:p>
    <w:p>
      <w:pPr>
        <w:spacing w:line="360" w:lineRule="auto"/>
        <w:ind w:firstLine="420" w:firstLineChars="200"/>
        <w:rPr>
          <w:rFonts w:hint="eastAsia" w:ascii="宋体" w:hAnsi="宋体"/>
          <w:color w:val="auto"/>
          <w:szCs w:val="21"/>
        </w:rPr>
      </w:pPr>
      <w:r>
        <w:rPr>
          <w:rFonts w:hint="eastAsia" w:ascii="宋体" w:hAnsi="宋体"/>
          <w:color w:val="auto"/>
          <w:szCs w:val="21"/>
        </w:rPr>
        <w:t>（1）</w:t>
      </w:r>
      <w:r>
        <w:rPr>
          <w:rFonts w:ascii="宋体" w:hAnsi="宋体"/>
          <w:color w:val="auto"/>
          <w:szCs w:val="21"/>
        </w:rPr>
        <w:t>电子投标文件</w:t>
      </w:r>
      <w:r>
        <w:rPr>
          <w:rFonts w:hint="eastAsia" w:ascii="宋体" w:hAnsi="宋体"/>
          <w:color w:val="auto"/>
          <w:szCs w:val="21"/>
        </w:rPr>
        <w:t>由</w:t>
      </w:r>
      <w:r>
        <w:rPr>
          <w:rFonts w:ascii="宋体" w:hAnsi="宋体"/>
          <w:color w:val="auto"/>
          <w:szCs w:val="21"/>
        </w:rPr>
        <w:t>投标人</w:t>
      </w:r>
      <w:r>
        <w:rPr>
          <w:rFonts w:hint="eastAsia" w:ascii="宋体" w:hAnsi="宋体"/>
          <w:color w:val="auto"/>
          <w:szCs w:val="21"/>
        </w:rPr>
        <w:t>使用“</w:t>
      </w:r>
      <w:r>
        <w:rPr>
          <w:color w:val="auto"/>
        </w:rPr>
        <w:t>电子</w:t>
      </w:r>
      <w:r>
        <w:rPr>
          <w:rFonts w:hint="eastAsia"/>
          <w:color w:val="auto"/>
        </w:rPr>
        <w:t>交易</w:t>
      </w:r>
      <w:r>
        <w:rPr>
          <w:color w:val="auto"/>
        </w:rPr>
        <w:t>平台</w:t>
      </w:r>
      <w:r>
        <w:rPr>
          <w:rFonts w:ascii="宋体" w:hAnsi="宋体"/>
          <w:color w:val="auto"/>
          <w:szCs w:val="21"/>
        </w:rPr>
        <w:t>”</w:t>
      </w:r>
      <w:r>
        <w:rPr>
          <w:rFonts w:hint="eastAsia"/>
          <w:color w:val="auto"/>
        </w:rPr>
        <w:t>提供的“电子</w:t>
      </w:r>
      <w:r>
        <w:rPr>
          <w:rFonts w:ascii="宋体" w:hAnsi="宋体"/>
          <w:color w:val="auto"/>
          <w:szCs w:val="21"/>
        </w:rPr>
        <w:t>投标文件制作</w:t>
      </w:r>
      <w:r>
        <w:rPr>
          <w:color w:val="auto"/>
        </w:rPr>
        <w:t>软件</w:t>
      </w:r>
      <w:r>
        <w:rPr>
          <w:rFonts w:ascii="宋体" w:hAnsi="宋体"/>
          <w:color w:val="auto"/>
          <w:szCs w:val="21"/>
        </w:rPr>
        <w:t>”制作生成。</w:t>
      </w:r>
    </w:p>
    <w:p>
      <w:pPr>
        <w:spacing w:line="360" w:lineRule="auto"/>
        <w:ind w:firstLine="420" w:firstLineChars="200"/>
        <w:rPr>
          <w:rFonts w:hint="eastAsia"/>
          <w:color w:val="auto"/>
        </w:rPr>
      </w:pPr>
      <w:r>
        <w:rPr>
          <w:rFonts w:hint="eastAsia"/>
          <w:color w:val="auto"/>
        </w:rPr>
        <w:t>（2）</w:t>
      </w:r>
      <w:r>
        <w:rPr>
          <w:color w:val="auto"/>
        </w:rPr>
        <w:t>投标人在编制电子投标文件时应当建立分级目录，并按照标签提示导入相关内容。</w:t>
      </w:r>
    </w:p>
    <w:p>
      <w:pPr>
        <w:spacing w:line="360" w:lineRule="auto"/>
        <w:ind w:firstLine="420" w:firstLineChars="200"/>
        <w:rPr>
          <w:rFonts w:hint="eastAsia" w:ascii="宋体" w:hAnsi="宋体"/>
          <w:color w:val="auto"/>
          <w:szCs w:val="21"/>
        </w:rPr>
      </w:pPr>
      <w:r>
        <w:rPr>
          <w:rFonts w:hint="eastAsia" w:ascii="宋体" w:hAnsi="宋体"/>
          <w:color w:val="auto"/>
          <w:szCs w:val="21"/>
        </w:rPr>
        <w:t>（3）</w:t>
      </w:r>
      <w:r>
        <w:rPr>
          <w:rFonts w:ascii="宋体" w:hAnsi="宋体"/>
          <w:color w:val="auto"/>
          <w:szCs w:val="21"/>
        </w:rPr>
        <w:t>电子投标文件中的证明资料的“复印件”均为“原件的扫描件”，</w:t>
      </w:r>
      <w:r>
        <w:rPr>
          <w:rFonts w:hint="eastAsia" w:ascii="宋体" w:hAnsi="宋体"/>
          <w:color w:val="auto"/>
          <w:szCs w:val="21"/>
        </w:rPr>
        <w:t>应从“</w:t>
      </w:r>
      <w:r>
        <w:rPr>
          <w:rFonts w:ascii="宋体" w:hAnsi="宋体"/>
          <w:color w:val="auto"/>
          <w:szCs w:val="21"/>
        </w:rPr>
        <w:t>电子</w:t>
      </w:r>
      <w:r>
        <w:rPr>
          <w:rFonts w:hint="eastAsia" w:ascii="宋体" w:hAnsi="宋体"/>
          <w:color w:val="auto"/>
          <w:szCs w:val="21"/>
        </w:rPr>
        <w:t>交易</w:t>
      </w:r>
      <w:r>
        <w:rPr>
          <w:rFonts w:ascii="宋体" w:hAnsi="宋体"/>
          <w:color w:val="auto"/>
          <w:szCs w:val="21"/>
        </w:rPr>
        <w:t>平台”</w:t>
      </w:r>
      <w:r>
        <w:rPr>
          <w:rFonts w:hint="eastAsia" w:ascii="宋体" w:hAnsi="宋体"/>
          <w:color w:val="auto"/>
          <w:szCs w:val="21"/>
        </w:rPr>
        <w:t>交易主体诚信库中选择，交易主体诚信库中没有的“复印件”，应以附件形式直接导入，</w:t>
      </w:r>
      <w:r>
        <w:rPr>
          <w:rFonts w:ascii="宋体" w:hAnsi="宋体"/>
          <w:color w:val="auto"/>
          <w:szCs w:val="21"/>
        </w:rPr>
        <w:t>未标示“复印件”的证明资料均应直接制作生成。</w:t>
      </w:r>
    </w:p>
    <w:p>
      <w:pPr>
        <w:spacing w:line="360" w:lineRule="auto"/>
        <w:ind w:firstLine="420" w:firstLineChars="200"/>
        <w:rPr>
          <w:rFonts w:hint="eastAsia" w:ascii="宋体" w:hAnsi="宋体"/>
          <w:color w:val="auto"/>
          <w:szCs w:val="21"/>
        </w:rPr>
      </w:pPr>
      <w:r>
        <w:rPr>
          <w:rFonts w:hint="eastAsia" w:ascii="宋体" w:hAnsi="宋体"/>
          <w:color w:val="auto"/>
          <w:szCs w:val="21"/>
        </w:rPr>
        <w:t>（4）第八章投标文件格式文件</w:t>
      </w:r>
      <w:r>
        <w:rPr>
          <w:rFonts w:hint="eastAsia"/>
          <w:color w:val="auto"/>
        </w:rPr>
        <w:t>要求“盖单位章”的地方，投标人应使用CA 数字证书加盖投标人的单位电子印章；要求“签字或盖章”的地方，投标人应使用CA 数字证书加盖法定代表人的个人电子印章或电子签名章。</w:t>
      </w:r>
      <w:r>
        <w:rPr>
          <w:rFonts w:hint="eastAsia" w:ascii="宋体" w:hAnsi="宋体"/>
          <w:color w:val="auto"/>
        </w:rPr>
        <w:t>联合体投标的，投标文件由联合体牵头人按上述规定在</w:t>
      </w:r>
      <w:r>
        <w:rPr>
          <w:rFonts w:ascii="宋体" w:hAnsi="宋体"/>
          <w:color w:val="auto"/>
        </w:rPr>
        <w:t>要求</w:t>
      </w:r>
      <w:r>
        <w:rPr>
          <w:rFonts w:hint="eastAsia"/>
          <w:color w:val="auto"/>
        </w:rPr>
        <w:t>“盖单位章”的地方</w:t>
      </w:r>
      <w:r>
        <w:rPr>
          <w:rFonts w:hint="eastAsia" w:ascii="宋体" w:hAnsi="宋体"/>
          <w:color w:val="auto"/>
        </w:rPr>
        <w:t>加盖联合体牵头人单位电子印章；在</w:t>
      </w:r>
      <w:r>
        <w:rPr>
          <w:rFonts w:hint="eastAsia"/>
          <w:color w:val="auto"/>
        </w:rPr>
        <w:t>要求“签字”的地方加盖</w:t>
      </w:r>
      <w:r>
        <w:rPr>
          <w:rFonts w:hint="eastAsia" w:ascii="宋体" w:hAnsi="宋体"/>
          <w:color w:val="auto"/>
        </w:rPr>
        <w:t>联合体牵头人法定代表人的个人电子印章或电子签名章。</w:t>
      </w:r>
      <w:r>
        <w:rPr>
          <w:rFonts w:hint="eastAsia"/>
          <w:color w:val="auto"/>
        </w:rPr>
        <w:t>招标文件有特别说明的除外。</w:t>
      </w:r>
    </w:p>
    <w:p>
      <w:pPr>
        <w:spacing w:line="360" w:lineRule="auto"/>
        <w:ind w:firstLine="420" w:firstLineChars="200"/>
        <w:rPr>
          <w:rFonts w:hint="eastAsia" w:ascii="宋体" w:hAnsi="宋体"/>
          <w:color w:val="auto"/>
          <w:szCs w:val="21"/>
        </w:rPr>
      </w:pPr>
      <w:r>
        <w:rPr>
          <w:rFonts w:hint="eastAsia" w:ascii="宋体" w:hAnsi="宋体"/>
          <w:color w:val="auto"/>
          <w:szCs w:val="21"/>
        </w:rPr>
        <w:t>（5）</w:t>
      </w:r>
      <w:r>
        <w:rPr>
          <w:rFonts w:ascii="宋体" w:hAnsi="宋体"/>
          <w:color w:val="auto"/>
          <w:szCs w:val="21"/>
        </w:rPr>
        <w:t>电子投标文件</w:t>
      </w:r>
      <w:r>
        <w:rPr>
          <w:rFonts w:hint="eastAsia" w:ascii="宋体" w:hAnsi="宋体"/>
          <w:color w:val="auto"/>
          <w:szCs w:val="21"/>
        </w:rPr>
        <w:t>制作完成后</w:t>
      </w:r>
      <w:r>
        <w:rPr>
          <w:rFonts w:ascii="宋体" w:hAnsi="宋体"/>
          <w:color w:val="auto"/>
          <w:szCs w:val="21"/>
        </w:rPr>
        <w:t>，</w:t>
      </w:r>
      <w:r>
        <w:rPr>
          <w:rFonts w:hint="eastAsia" w:ascii="宋体" w:hAnsi="宋体"/>
          <w:color w:val="auto"/>
          <w:szCs w:val="21"/>
        </w:rPr>
        <w:t>将生成一份加密的电子投标文件（后缀名为.XFTF）和一份不加密的电子投标文件（后缀名为.NXFTF）。</w:t>
      </w:r>
    </w:p>
    <w:p>
      <w:pPr>
        <w:spacing w:line="360" w:lineRule="auto"/>
        <w:ind w:firstLine="420" w:firstLineChars="200"/>
        <w:rPr>
          <w:rFonts w:hint="eastAsia" w:ascii="宋体" w:hAnsi="宋体"/>
          <w:color w:val="auto"/>
          <w:szCs w:val="21"/>
        </w:rPr>
      </w:pPr>
      <w:r>
        <w:rPr>
          <w:rFonts w:hint="eastAsia" w:ascii="宋体" w:hAnsi="宋体"/>
          <w:color w:val="auto"/>
          <w:szCs w:val="21"/>
        </w:rPr>
        <w:t>（</w:t>
      </w:r>
      <w:r>
        <w:rPr>
          <w:rFonts w:ascii="宋体" w:hAnsi="宋体"/>
          <w:color w:val="auto"/>
          <w:szCs w:val="21"/>
        </w:rPr>
        <w:t>6</w:t>
      </w:r>
      <w:r>
        <w:rPr>
          <w:rFonts w:hint="eastAsia" w:ascii="宋体" w:hAnsi="宋体"/>
          <w:color w:val="auto"/>
          <w:szCs w:val="21"/>
        </w:rPr>
        <w:t>）</w:t>
      </w:r>
      <w:r>
        <w:rPr>
          <w:rFonts w:ascii="宋体" w:hAnsi="宋体"/>
          <w:color w:val="auto"/>
          <w:szCs w:val="21"/>
        </w:rPr>
        <w:t>电子投标文件制作</w:t>
      </w:r>
      <w:r>
        <w:rPr>
          <w:rFonts w:hint="eastAsia" w:ascii="宋体" w:hAnsi="宋体"/>
          <w:color w:val="auto"/>
          <w:szCs w:val="21"/>
        </w:rPr>
        <w:t>的具体方法详见“电子投标文件制作软件”中的帮助文档。</w:t>
      </w:r>
    </w:p>
    <w:bookmarkEnd w:id="357"/>
    <w:p>
      <w:pPr>
        <w:pStyle w:val="80"/>
        <w:spacing w:before="120" w:after="156" w:afterLines="50"/>
        <w:rPr>
          <w:rFonts w:hint="eastAsia"/>
          <w:color w:val="auto"/>
        </w:rPr>
      </w:pPr>
      <w:bookmarkStart w:id="358" w:name="_Toc387753555"/>
      <w:bookmarkStart w:id="359" w:name="_Toc491089668"/>
      <w:bookmarkStart w:id="360" w:name="_Toc13909"/>
      <w:r>
        <w:rPr>
          <w:rFonts w:hint="eastAsia"/>
          <w:color w:val="auto"/>
        </w:rPr>
        <w:t>4. 投标</w:t>
      </w:r>
      <w:bookmarkEnd w:id="358"/>
      <w:bookmarkEnd w:id="359"/>
      <w:bookmarkEnd w:id="360"/>
    </w:p>
    <w:p>
      <w:pPr>
        <w:pStyle w:val="87"/>
        <w:rPr>
          <w:rFonts w:hint="eastAsia" w:ascii="Times New Roman"/>
          <w:color w:val="auto"/>
        </w:rPr>
      </w:pPr>
      <w:bookmarkStart w:id="361" w:name="_Toc494315141"/>
      <w:bookmarkStart w:id="362" w:name="_Toc491089669"/>
      <w:bookmarkStart w:id="363" w:name="_Toc24628"/>
      <w:r>
        <w:rPr>
          <w:rFonts w:hint="eastAsia" w:ascii="Times New Roman"/>
          <w:color w:val="auto"/>
        </w:rPr>
        <w:t>4.1 投标文件的</w:t>
      </w:r>
      <w:bookmarkEnd w:id="361"/>
      <w:bookmarkEnd w:id="362"/>
      <w:r>
        <w:rPr>
          <w:rFonts w:hint="eastAsia" w:ascii="Times New Roman"/>
          <w:color w:val="auto"/>
        </w:rPr>
        <w:t>加密</w:t>
      </w:r>
      <w:bookmarkEnd w:id="363"/>
    </w:p>
    <w:p>
      <w:pPr>
        <w:pStyle w:val="93"/>
        <w:spacing w:line="360" w:lineRule="auto"/>
        <w:ind w:firstLine="420" w:firstLineChars="200"/>
        <w:rPr>
          <w:rFonts w:cs="Times New Roman"/>
          <w:color w:val="auto"/>
          <w:kern w:val="2"/>
          <w:sz w:val="21"/>
        </w:rPr>
      </w:pPr>
      <w:r>
        <w:rPr>
          <w:rFonts w:hint="eastAsia" w:cs="Times New Roman"/>
          <w:color w:val="auto"/>
          <w:kern w:val="2"/>
          <w:sz w:val="21"/>
          <w:szCs w:val="21"/>
        </w:rPr>
        <w:t>投标人应当按照</w:t>
      </w:r>
      <w:r>
        <w:rPr>
          <w:rFonts w:cs="Times New Roman"/>
          <w:color w:val="auto"/>
          <w:kern w:val="2"/>
          <w:sz w:val="21"/>
          <w:szCs w:val="21"/>
        </w:rPr>
        <w:t>本章第3.</w:t>
      </w:r>
      <w:r>
        <w:rPr>
          <w:rFonts w:hint="eastAsia" w:cs="Times New Roman"/>
          <w:color w:val="auto"/>
          <w:kern w:val="2"/>
          <w:sz w:val="21"/>
          <w:szCs w:val="21"/>
        </w:rPr>
        <w:t>7.3</w:t>
      </w:r>
      <w:r>
        <w:rPr>
          <w:rFonts w:cs="Times New Roman"/>
          <w:color w:val="auto"/>
          <w:kern w:val="2"/>
          <w:sz w:val="21"/>
          <w:szCs w:val="21"/>
        </w:rPr>
        <w:t>项要求制作</w:t>
      </w:r>
      <w:r>
        <w:rPr>
          <w:rFonts w:hint="eastAsia" w:cs="Times New Roman"/>
          <w:color w:val="auto"/>
          <w:kern w:val="2"/>
          <w:sz w:val="21"/>
          <w:szCs w:val="21"/>
        </w:rPr>
        <w:t>电子投标文件，</w:t>
      </w:r>
      <w:r>
        <w:rPr>
          <w:rFonts w:hint="eastAsia" w:cs="Times New Roman"/>
          <w:color w:val="auto"/>
          <w:kern w:val="2"/>
          <w:sz w:val="21"/>
        </w:rPr>
        <w:t>并在投标时上传加密的电子投标文件，</w:t>
      </w:r>
      <w:r>
        <w:rPr>
          <w:rFonts w:cs="Times New Roman"/>
          <w:color w:val="auto"/>
          <w:kern w:val="2"/>
          <w:sz w:val="21"/>
        </w:rPr>
        <w:t>未加密的</w:t>
      </w:r>
      <w:r>
        <w:rPr>
          <w:rFonts w:hint="eastAsia" w:cs="Times New Roman"/>
          <w:color w:val="auto"/>
          <w:kern w:val="2"/>
          <w:sz w:val="21"/>
        </w:rPr>
        <w:t>电子</w:t>
      </w:r>
      <w:r>
        <w:rPr>
          <w:rFonts w:cs="Times New Roman"/>
          <w:color w:val="auto"/>
          <w:kern w:val="2"/>
          <w:sz w:val="21"/>
        </w:rPr>
        <w:t>投标文件，</w:t>
      </w:r>
      <w:r>
        <w:rPr>
          <w:rFonts w:hint="eastAsia" w:cs="Times New Roman"/>
          <w:color w:val="auto"/>
          <w:kern w:val="2"/>
          <w:sz w:val="21"/>
        </w:rPr>
        <w:t>招标人（“</w:t>
      </w:r>
      <w:r>
        <w:rPr>
          <w:rFonts w:cs="Times New Roman"/>
          <w:color w:val="auto"/>
          <w:kern w:val="2"/>
          <w:sz w:val="21"/>
        </w:rPr>
        <w:t>电子</w:t>
      </w:r>
      <w:r>
        <w:rPr>
          <w:rFonts w:hint="eastAsia" w:cs="Times New Roman"/>
          <w:color w:val="auto"/>
          <w:kern w:val="2"/>
          <w:sz w:val="21"/>
        </w:rPr>
        <w:t>交易平台”）将拒收并提示。</w:t>
      </w:r>
    </w:p>
    <w:p>
      <w:pPr>
        <w:pStyle w:val="87"/>
        <w:rPr>
          <w:rFonts w:hint="eastAsia" w:ascii="Times New Roman"/>
          <w:color w:val="auto"/>
        </w:rPr>
      </w:pPr>
      <w:bookmarkStart w:id="364" w:name="_Toc4116"/>
      <w:bookmarkStart w:id="365" w:name="_Toc491089670"/>
      <w:bookmarkStart w:id="366" w:name="_Toc494315142"/>
      <w:r>
        <w:rPr>
          <w:rFonts w:hint="eastAsia" w:ascii="Times New Roman"/>
          <w:color w:val="auto"/>
        </w:rPr>
        <w:t>4.2投标文件的递交</w:t>
      </w:r>
      <w:bookmarkEnd w:id="364"/>
      <w:bookmarkEnd w:id="365"/>
      <w:bookmarkEnd w:id="366"/>
    </w:p>
    <w:p>
      <w:pPr>
        <w:pStyle w:val="93"/>
        <w:spacing w:line="360" w:lineRule="auto"/>
        <w:ind w:firstLine="420" w:firstLineChars="200"/>
        <w:rPr>
          <w:rFonts w:hint="eastAsia" w:cs="Times New Roman"/>
          <w:color w:val="auto"/>
          <w:kern w:val="2"/>
          <w:sz w:val="21"/>
          <w:szCs w:val="21"/>
        </w:rPr>
      </w:pPr>
      <w:r>
        <w:rPr>
          <w:rFonts w:cs="Times New Roman"/>
          <w:color w:val="auto"/>
          <w:kern w:val="2"/>
          <w:sz w:val="21"/>
          <w:szCs w:val="21"/>
        </w:rPr>
        <w:t>4.</w:t>
      </w:r>
      <w:r>
        <w:rPr>
          <w:rFonts w:hint="eastAsia" w:cs="Times New Roman"/>
          <w:color w:val="auto"/>
          <w:kern w:val="2"/>
          <w:sz w:val="21"/>
          <w:szCs w:val="21"/>
        </w:rPr>
        <w:t>2</w:t>
      </w:r>
      <w:r>
        <w:rPr>
          <w:rFonts w:cs="Times New Roman"/>
          <w:color w:val="auto"/>
          <w:kern w:val="2"/>
          <w:sz w:val="21"/>
          <w:szCs w:val="21"/>
        </w:rPr>
        <w:t>.1</w:t>
      </w:r>
      <w:r>
        <w:rPr>
          <w:rFonts w:hint="eastAsia" w:cs="Times New Roman"/>
          <w:color w:val="auto"/>
          <w:kern w:val="2"/>
          <w:sz w:val="21"/>
          <w:szCs w:val="21"/>
        </w:rPr>
        <w:t xml:space="preserve"> 投标人递交投标文件截止时间（投标截止时间）：见投标人须知前附表。</w:t>
      </w:r>
    </w:p>
    <w:p>
      <w:pPr>
        <w:spacing w:after="156" w:afterLines="50" w:line="460" w:lineRule="exact"/>
        <w:ind w:firstLine="420" w:firstLineChars="200"/>
        <w:rPr>
          <w:rFonts w:hint="eastAsia" w:ascii="宋体" w:hAnsi="宋体"/>
          <w:color w:val="auto"/>
          <w:szCs w:val="21"/>
        </w:rPr>
      </w:pPr>
      <w:r>
        <w:rPr>
          <w:rFonts w:ascii="宋体" w:hAnsi="宋体"/>
          <w:color w:val="auto"/>
          <w:szCs w:val="21"/>
        </w:rPr>
        <w:t>4.</w:t>
      </w:r>
      <w:r>
        <w:rPr>
          <w:rFonts w:hint="eastAsia" w:ascii="宋体" w:hAnsi="宋体"/>
          <w:color w:val="auto"/>
          <w:szCs w:val="21"/>
        </w:rPr>
        <w:t>2</w:t>
      </w:r>
      <w:r>
        <w:rPr>
          <w:rFonts w:ascii="宋体" w:hAnsi="宋体"/>
          <w:color w:val="auto"/>
          <w:szCs w:val="21"/>
        </w:rPr>
        <w:t>.</w:t>
      </w:r>
      <w:r>
        <w:rPr>
          <w:rFonts w:hint="eastAsia" w:ascii="宋体" w:hAnsi="宋体"/>
          <w:color w:val="auto"/>
          <w:szCs w:val="21"/>
        </w:rPr>
        <w:t>2 投标人</w:t>
      </w:r>
      <w:r>
        <w:rPr>
          <w:rFonts w:hint="eastAsia" w:ascii="宋体" w:hAnsi="宋体" w:cs="宋体"/>
          <w:color w:val="auto"/>
          <w:szCs w:val="21"/>
        </w:rPr>
        <w:t>应当</w:t>
      </w:r>
      <w:r>
        <w:rPr>
          <w:rFonts w:hint="eastAsia" w:ascii="宋体" w:hAnsi="宋体"/>
          <w:color w:val="auto"/>
          <w:szCs w:val="21"/>
        </w:rPr>
        <w:t>在投标截止时间前，</w:t>
      </w:r>
      <w:r>
        <w:rPr>
          <w:rFonts w:ascii="宋体" w:hAnsi="宋体"/>
          <w:color w:val="auto"/>
          <w:szCs w:val="21"/>
        </w:rPr>
        <w:t>通过</w:t>
      </w:r>
      <w:r>
        <w:rPr>
          <w:rFonts w:hint="eastAsia" w:ascii="宋体" w:hAnsi="宋体"/>
          <w:color w:val="auto"/>
          <w:szCs w:val="21"/>
        </w:rPr>
        <w:t>互联网</w:t>
      </w:r>
      <w:r>
        <w:rPr>
          <w:rFonts w:ascii="宋体" w:hAnsi="宋体"/>
          <w:color w:val="auto"/>
          <w:szCs w:val="21"/>
        </w:rPr>
        <w:t>使用</w:t>
      </w:r>
      <w:r>
        <w:rPr>
          <w:rFonts w:hint="eastAsia" w:ascii="宋体" w:hAnsi="宋体"/>
          <w:color w:val="auto"/>
          <w:szCs w:val="21"/>
        </w:rPr>
        <w:t>CA数字证书登录“电子交易平台”，</w:t>
      </w:r>
      <w:r>
        <w:rPr>
          <w:rFonts w:hint="eastAsia"/>
          <w:color w:val="auto"/>
        </w:rPr>
        <w:t>选择所投标段</w:t>
      </w:r>
      <w:r>
        <w:rPr>
          <w:rFonts w:hint="eastAsia" w:ascii="宋体" w:hAnsi="宋体"/>
          <w:color w:val="auto"/>
          <w:szCs w:val="21"/>
        </w:rPr>
        <w:t>将加密的电子投标文件上传。</w:t>
      </w:r>
      <w:r>
        <w:rPr>
          <w:rFonts w:hint="eastAsia"/>
          <w:color w:val="auto"/>
          <w:highlight w:val="yellow"/>
          <w:lang w:eastAsia="zh-CN"/>
        </w:rPr>
        <w:t>如为联合体投标的，</w:t>
      </w:r>
      <w:r>
        <w:rPr>
          <w:rFonts w:hint="eastAsia"/>
          <w:color w:val="auto"/>
          <w:highlight w:val="yellow"/>
        </w:rPr>
        <w:t>联合体牵头人在上传投标文件前，需在电子交易平台中确定联合体成员单位</w:t>
      </w:r>
      <w:r>
        <w:rPr>
          <w:rFonts w:hint="eastAsia"/>
          <w:color w:val="auto"/>
          <w:highlight w:val="yellow"/>
          <w:lang w:eastAsia="zh-CN"/>
        </w:rPr>
        <w:t>。</w:t>
      </w:r>
      <w:r>
        <w:rPr>
          <w:rFonts w:hint="eastAsia"/>
          <w:color w:val="auto"/>
        </w:rPr>
        <w:t>投标人完成投标文件上传后，“</w:t>
      </w:r>
      <w:r>
        <w:rPr>
          <w:color w:val="auto"/>
        </w:rPr>
        <w:t>电子</w:t>
      </w:r>
      <w:r>
        <w:rPr>
          <w:rFonts w:hint="eastAsia"/>
          <w:color w:val="auto"/>
        </w:rPr>
        <w:t>交易平台”即时向投标人发出</w:t>
      </w:r>
      <w:r>
        <w:rPr>
          <w:color w:val="auto"/>
        </w:rPr>
        <w:t>电子签收凭证</w:t>
      </w:r>
      <w:r>
        <w:rPr>
          <w:rFonts w:hint="eastAsia"/>
          <w:color w:val="auto"/>
        </w:rPr>
        <w:t>，递交时间以</w:t>
      </w:r>
      <w:r>
        <w:rPr>
          <w:color w:val="auto"/>
        </w:rPr>
        <w:t>电子签收凭证</w:t>
      </w:r>
      <w:r>
        <w:rPr>
          <w:rFonts w:hint="eastAsia"/>
          <w:color w:val="auto"/>
        </w:rPr>
        <w:t>载明的传输完成时间为准。</w:t>
      </w:r>
      <w:r>
        <w:rPr>
          <w:rFonts w:hint="eastAsia" w:ascii="宋体" w:hAnsi="宋体"/>
          <w:color w:val="auto"/>
          <w:szCs w:val="21"/>
        </w:rPr>
        <w:t>投标人应充分考虑上传文件时的不可预见因素，</w:t>
      </w:r>
      <w:r>
        <w:rPr>
          <w:rFonts w:hint="eastAsia"/>
          <w:color w:val="auto"/>
        </w:rPr>
        <w:t>投标文件</w:t>
      </w:r>
      <w:r>
        <w:rPr>
          <w:rFonts w:ascii="宋体" w:hAnsi="宋体"/>
          <w:color w:val="auto"/>
          <w:szCs w:val="21"/>
        </w:rPr>
        <w:t>未在投标截止时间前完成上传</w:t>
      </w:r>
      <w:r>
        <w:rPr>
          <w:rFonts w:hint="eastAsia" w:ascii="宋体" w:hAnsi="宋体"/>
          <w:color w:val="auto"/>
          <w:szCs w:val="21"/>
        </w:rPr>
        <w:t>的，</w:t>
      </w:r>
      <w:r>
        <w:rPr>
          <w:rFonts w:ascii="宋体" w:hAnsi="宋体"/>
          <w:color w:val="auto"/>
          <w:szCs w:val="21"/>
        </w:rPr>
        <w:t>视为逾期送达</w:t>
      </w:r>
      <w:r>
        <w:rPr>
          <w:rFonts w:hint="eastAsia" w:ascii="宋体" w:hAnsi="宋体"/>
          <w:color w:val="auto"/>
          <w:szCs w:val="21"/>
        </w:rPr>
        <w:t>，招标人（“</w:t>
      </w:r>
      <w:r>
        <w:rPr>
          <w:rFonts w:ascii="宋体" w:hAnsi="宋体"/>
          <w:color w:val="auto"/>
        </w:rPr>
        <w:t>电子</w:t>
      </w:r>
      <w:r>
        <w:rPr>
          <w:rFonts w:hint="eastAsia" w:ascii="宋体" w:hAnsi="宋体"/>
          <w:color w:val="auto"/>
        </w:rPr>
        <w:t>交易平台”）</w:t>
      </w:r>
      <w:r>
        <w:rPr>
          <w:rFonts w:ascii="宋体" w:hAnsi="宋体"/>
          <w:color w:val="auto"/>
          <w:szCs w:val="21"/>
        </w:rPr>
        <w:t>将拒收。</w:t>
      </w:r>
    </w:p>
    <w:p>
      <w:pPr>
        <w:spacing w:line="360" w:lineRule="auto"/>
        <w:ind w:firstLine="420" w:firstLineChars="200"/>
        <w:rPr>
          <w:color w:val="auto"/>
        </w:rPr>
      </w:pPr>
      <w:r>
        <w:rPr>
          <w:rFonts w:ascii="宋体" w:hAnsi="宋体"/>
          <w:color w:val="auto"/>
          <w:szCs w:val="21"/>
        </w:rPr>
        <w:t>4.</w:t>
      </w:r>
      <w:r>
        <w:rPr>
          <w:rFonts w:hint="eastAsia" w:ascii="宋体" w:hAnsi="宋体"/>
          <w:color w:val="auto"/>
          <w:szCs w:val="21"/>
        </w:rPr>
        <w:t>2</w:t>
      </w:r>
      <w:r>
        <w:rPr>
          <w:rFonts w:ascii="宋体" w:hAnsi="宋体"/>
          <w:color w:val="auto"/>
          <w:szCs w:val="21"/>
        </w:rPr>
        <w:t>.</w:t>
      </w:r>
      <w:r>
        <w:rPr>
          <w:rFonts w:hint="eastAsia" w:ascii="宋体" w:hAnsi="宋体"/>
          <w:color w:val="auto"/>
          <w:szCs w:val="21"/>
        </w:rPr>
        <w:t>3</w:t>
      </w:r>
      <w:r>
        <w:rPr>
          <w:rFonts w:hint="eastAsia"/>
          <w:color w:val="auto"/>
        </w:rPr>
        <w:t>除投标人须知前附表另有规定外，投标人所递交的投标文件不予退还。</w:t>
      </w:r>
      <w:bookmarkStart w:id="367" w:name="_Toc144974526"/>
      <w:bookmarkStart w:id="368" w:name="_Toc152042334"/>
      <w:bookmarkStart w:id="369" w:name="_Toc152045558"/>
      <w:bookmarkStart w:id="370" w:name="_Toc491089671"/>
      <w:bookmarkStart w:id="371" w:name="_Toc179632576"/>
      <w:bookmarkStart w:id="372" w:name="_Toc494315143"/>
    </w:p>
    <w:p>
      <w:pPr>
        <w:pStyle w:val="87"/>
        <w:rPr>
          <w:rFonts w:hint="eastAsia" w:ascii="Times New Roman"/>
          <w:color w:val="auto"/>
        </w:rPr>
      </w:pPr>
      <w:bookmarkStart w:id="373" w:name="_Toc29996"/>
      <w:r>
        <w:rPr>
          <w:rFonts w:hint="eastAsia" w:ascii="Times New Roman"/>
          <w:color w:val="auto"/>
        </w:rPr>
        <w:t>4.3 投标文件的修改与撤回</w:t>
      </w:r>
      <w:bookmarkEnd w:id="367"/>
      <w:bookmarkEnd w:id="368"/>
      <w:bookmarkEnd w:id="369"/>
      <w:bookmarkEnd w:id="370"/>
      <w:bookmarkEnd w:id="371"/>
      <w:bookmarkEnd w:id="372"/>
      <w:bookmarkEnd w:id="373"/>
    </w:p>
    <w:p>
      <w:pPr>
        <w:spacing w:line="360" w:lineRule="auto"/>
        <w:ind w:firstLine="420" w:firstLineChars="200"/>
        <w:rPr>
          <w:rFonts w:hint="eastAsia" w:ascii="宋体" w:hAnsi="宋体"/>
          <w:color w:val="auto"/>
          <w:szCs w:val="21"/>
        </w:rPr>
      </w:pPr>
      <w:bookmarkStart w:id="374" w:name="_Toc229305345"/>
      <w:bookmarkStart w:id="375" w:name="_Toc168475674"/>
      <w:bookmarkStart w:id="376" w:name="_Toc144974527"/>
      <w:bookmarkStart w:id="377" w:name="_Toc222033836"/>
      <w:bookmarkStart w:id="378" w:name="_Toc222032654"/>
      <w:bookmarkStart w:id="379" w:name="_Toc222029485"/>
      <w:bookmarkStart w:id="380" w:name="_Toc222030987"/>
      <w:bookmarkStart w:id="381" w:name="_Toc168476077"/>
      <w:bookmarkStart w:id="382" w:name="_Toc221950189"/>
      <w:r>
        <w:rPr>
          <w:rFonts w:ascii="宋体" w:hAnsi="宋体"/>
          <w:color w:val="auto"/>
          <w:szCs w:val="21"/>
        </w:rPr>
        <w:t>4.3.1</w:t>
      </w:r>
      <w:r>
        <w:rPr>
          <w:rFonts w:hint="eastAsia" w:ascii="宋体" w:hAnsi="宋体"/>
          <w:color w:val="auto"/>
          <w:szCs w:val="21"/>
        </w:rPr>
        <w:t>在本章第4.2.1项规定的投标截止时间前，投标人可以修改或撤回已递交的投标文件。</w:t>
      </w:r>
    </w:p>
    <w:p>
      <w:pPr>
        <w:spacing w:line="360" w:lineRule="auto"/>
        <w:ind w:firstLine="420" w:firstLineChars="200"/>
        <w:rPr>
          <w:color w:val="auto"/>
        </w:rPr>
      </w:pPr>
      <w:r>
        <w:rPr>
          <w:rFonts w:hint="eastAsia" w:ascii="宋体" w:hAnsi="宋体"/>
          <w:color w:val="auto"/>
          <w:szCs w:val="21"/>
        </w:rPr>
        <w:t>4.3.2</w:t>
      </w:r>
      <w:r>
        <w:rPr>
          <w:rFonts w:hint="eastAsia"/>
          <w:color w:val="auto"/>
        </w:rPr>
        <w:t>投标人撤回投标文件的，在“电子交易平台”直接进行撤回操作</w:t>
      </w:r>
      <w:r>
        <w:rPr>
          <w:color w:val="auto"/>
        </w:rPr>
        <w:t>。</w:t>
      </w:r>
    </w:p>
    <w:p>
      <w:pPr>
        <w:spacing w:line="360" w:lineRule="auto"/>
        <w:ind w:firstLine="420" w:firstLineChars="200"/>
        <w:rPr>
          <w:rFonts w:hint="eastAsia" w:ascii="宋体" w:hAnsi="宋体"/>
          <w:color w:val="auto"/>
          <w:szCs w:val="21"/>
        </w:rPr>
      </w:pPr>
      <w:r>
        <w:rPr>
          <w:rFonts w:hint="eastAsia" w:ascii="宋体" w:hAnsi="宋体"/>
          <w:color w:val="auto"/>
          <w:szCs w:val="21"/>
        </w:rPr>
        <w:t>4.3.3 投标人修改投标文件的，</w:t>
      </w:r>
      <w:r>
        <w:rPr>
          <w:rFonts w:ascii="宋体" w:hAnsi="宋体"/>
          <w:color w:val="auto"/>
          <w:szCs w:val="21"/>
        </w:rPr>
        <w:t>应当</w:t>
      </w:r>
      <w:r>
        <w:rPr>
          <w:rFonts w:hint="eastAsia" w:ascii="宋体" w:hAnsi="宋体"/>
          <w:color w:val="auto"/>
          <w:szCs w:val="21"/>
        </w:rPr>
        <w:t>先按本章第</w:t>
      </w:r>
      <w:r>
        <w:rPr>
          <w:rFonts w:ascii="宋体" w:hAnsi="宋体"/>
          <w:color w:val="auto"/>
          <w:szCs w:val="21"/>
        </w:rPr>
        <w:t>4.3.2</w:t>
      </w:r>
      <w:r>
        <w:rPr>
          <w:rFonts w:hint="eastAsia" w:ascii="宋体" w:hAnsi="宋体"/>
          <w:color w:val="auto"/>
          <w:szCs w:val="21"/>
        </w:rPr>
        <w:t>项的规定撤回投标文件，再</w:t>
      </w:r>
      <w:r>
        <w:rPr>
          <w:rFonts w:ascii="宋体" w:hAnsi="宋体"/>
          <w:color w:val="auto"/>
          <w:szCs w:val="21"/>
        </w:rPr>
        <w:t>使用</w:t>
      </w:r>
      <w:r>
        <w:rPr>
          <w:rFonts w:hint="eastAsia" w:ascii="宋体" w:hAnsi="宋体"/>
          <w:color w:val="auto"/>
          <w:szCs w:val="21"/>
        </w:rPr>
        <w:t>“电子</w:t>
      </w:r>
      <w:r>
        <w:rPr>
          <w:rFonts w:ascii="宋体" w:hAnsi="宋体"/>
          <w:color w:val="auto"/>
          <w:szCs w:val="21"/>
        </w:rPr>
        <w:t>投标文件制作</w:t>
      </w:r>
      <w:r>
        <w:rPr>
          <w:rFonts w:hint="eastAsia" w:ascii="宋体" w:hAnsi="宋体"/>
          <w:color w:val="auto"/>
          <w:szCs w:val="21"/>
        </w:rPr>
        <w:t>软件</w:t>
      </w:r>
      <w:r>
        <w:rPr>
          <w:rFonts w:ascii="宋体" w:hAnsi="宋体"/>
          <w:color w:val="auto"/>
          <w:szCs w:val="21"/>
        </w:rPr>
        <w:t>”制作成完整的投标文件</w:t>
      </w:r>
      <w:r>
        <w:rPr>
          <w:rFonts w:hint="eastAsia" w:ascii="宋体" w:hAnsi="宋体"/>
          <w:color w:val="auto"/>
          <w:szCs w:val="21"/>
        </w:rPr>
        <w:t>，并按照本章第3条、第4条规定进行编制和递交。</w:t>
      </w:r>
    </w:p>
    <w:p>
      <w:pPr>
        <w:pStyle w:val="80"/>
        <w:spacing w:before="120" w:after="156" w:afterLines="50"/>
        <w:rPr>
          <w:rFonts w:hint="eastAsia"/>
          <w:color w:val="auto"/>
        </w:rPr>
      </w:pPr>
      <w:bookmarkStart w:id="383" w:name="_Toc491089672"/>
      <w:bookmarkStart w:id="384" w:name="_Toc387753556"/>
      <w:bookmarkStart w:id="385" w:name="_Toc12333"/>
      <w:r>
        <w:rPr>
          <w:rFonts w:hint="eastAsia"/>
          <w:color w:val="auto"/>
        </w:rPr>
        <w:t>5. 开标</w:t>
      </w:r>
      <w:bookmarkEnd w:id="374"/>
      <w:bookmarkEnd w:id="375"/>
      <w:bookmarkEnd w:id="376"/>
      <w:bookmarkEnd w:id="377"/>
      <w:bookmarkEnd w:id="378"/>
      <w:bookmarkEnd w:id="379"/>
      <w:bookmarkEnd w:id="380"/>
      <w:bookmarkEnd w:id="381"/>
      <w:bookmarkEnd w:id="382"/>
      <w:bookmarkEnd w:id="383"/>
      <w:bookmarkEnd w:id="384"/>
      <w:bookmarkEnd w:id="385"/>
    </w:p>
    <w:p>
      <w:pPr>
        <w:pStyle w:val="87"/>
        <w:rPr>
          <w:rFonts w:ascii="Times New Roman"/>
          <w:color w:val="auto"/>
        </w:rPr>
      </w:pPr>
      <w:bookmarkStart w:id="386" w:name="_Toc494315145"/>
      <w:bookmarkStart w:id="387" w:name="_Toc491089673"/>
      <w:bookmarkStart w:id="388" w:name="_Toc9980"/>
      <w:bookmarkStart w:id="389" w:name="_Toc221950192"/>
      <w:r>
        <w:rPr>
          <w:rFonts w:hint="eastAsia" w:ascii="Times New Roman"/>
          <w:color w:val="auto"/>
        </w:rPr>
        <w:t>5.1 开标时间和地点</w:t>
      </w:r>
      <w:bookmarkEnd w:id="386"/>
      <w:bookmarkEnd w:id="387"/>
      <w:bookmarkEnd w:id="388"/>
    </w:p>
    <w:p>
      <w:pPr>
        <w:spacing w:line="400" w:lineRule="exact"/>
        <w:ind w:firstLine="420" w:firstLineChars="200"/>
        <w:rPr>
          <w:rFonts w:hint="eastAsia"/>
          <w:color w:val="auto"/>
        </w:rPr>
      </w:pPr>
      <w:r>
        <w:rPr>
          <w:rFonts w:hint="eastAsia"/>
          <w:color w:val="auto"/>
        </w:rPr>
        <w:t>5.1.1 招标人在本章第4.2.1项规定的投标截止时间（开标时间）</w:t>
      </w:r>
      <w:r>
        <w:rPr>
          <w:rFonts w:hint="eastAsia"/>
          <w:bCs/>
          <w:iCs/>
          <w:color w:val="auto"/>
        </w:rPr>
        <w:t>在</w:t>
      </w:r>
      <w:r>
        <w:rPr>
          <w:rFonts w:hint="eastAsia"/>
          <w:color w:val="auto"/>
        </w:rPr>
        <w:t>“电子交易平台”</w:t>
      </w:r>
      <w:r>
        <w:rPr>
          <w:rFonts w:hint="eastAsia"/>
          <w:bCs/>
          <w:iCs/>
          <w:color w:val="auto"/>
        </w:rPr>
        <w:t>上</w:t>
      </w:r>
      <w:r>
        <w:rPr>
          <w:rFonts w:hint="eastAsia"/>
          <w:color w:val="auto"/>
        </w:rPr>
        <w:t>公开进行开标，</w:t>
      </w:r>
      <w:r>
        <w:rPr>
          <w:rFonts w:hint="eastAsia"/>
          <w:bCs/>
          <w:iCs/>
          <w:color w:val="auto"/>
        </w:rPr>
        <w:t>所有投标人均</w:t>
      </w:r>
      <w:r>
        <w:rPr>
          <w:rFonts w:hint="eastAsia"/>
          <w:b/>
          <w:bCs/>
          <w:iCs/>
          <w:color w:val="auto"/>
        </w:rPr>
        <w:t>应当准时在线参加开标</w:t>
      </w:r>
      <w:r>
        <w:rPr>
          <w:rFonts w:hint="eastAsia"/>
          <w:color w:val="auto"/>
        </w:rPr>
        <w:t>。</w:t>
      </w:r>
    </w:p>
    <w:p>
      <w:pPr>
        <w:spacing w:line="400" w:lineRule="exact"/>
        <w:ind w:firstLine="420" w:firstLineChars="200"/>
        <w:rPr>
          <w:rFonts w:hint="eastAsia"/>
          <w:color w:val="auto"/>
        </w:rPr>
      </w:pPr>
      <w:r>
        <w:rPr>
          <w:rFonts w:hint="eastAsia"/>
          <w:color w:val="auto"/>
        </w:rPr>
        <w:t>5.1.2招标人通过互联网在投标人须知前附表规定的地点组织开标，并在投标截止时间30分钟前，</w:t>
      </w:r>
      <w:r>
        <w:rPr>
          <w:color w:val="auto"/>
        </w:rPr>
        <w:t>使用</w:t>
      </w:r>
      <w:r>
        <w:rPr>
          <w:rFonts w:hint="eastAsia"/>
          <w:color w:val="auto"/>
        </w:rPr>
        <w:t>CA数字证书登录“电子交易平台”，进入“开标大厅”选择相应标段作在线开标的准备工作。</w:t>
      </w:r>
    </w:p>
    <w:p>
      <w:pPr>
        <w:spacing w:line="400" w:lineRule="exact"/>
        <w:ind w:firstLine="420" w:firstLineChars="200"/>
        <w:rPr>
          <w:rFonts w:hint="eastAsia"/>
          <w:color w:val="auto"/>
        </w:rPr>
      </w:pPr>
      <w:r>
        <w:rPr>
          <w:rFonts w:hint="eastAsia"/>
          <w:color w:val="auto"/>
        </w:rPr>
        <w:t>5.1.3 投标人应当在能够保证设施设备可靠、互联网畅通的</w:t>
      </w:r>
      <w:r>
        <w:rPr>
          <w:rFonts w:hint="eastAsia"/>
          <w:b/>
          <w:color w:val="auto"/>
        </w:rPr>
        <w:t>任意地点</w:t>
      </w:r>
      <w:r>
        <w:rPr>
          <w:rFonts w:hint="eastAsia"/>
          <w:color w:val="auto"/>
        </w:rPr>
        <w:t>，通过互联网在线参加开标</w:t>
      </w:r>
      <w:r>
        <w:rPr>
          <w:rFonts w:hint="eastAsia"/>
          <w:color w:val="auto"/>
          <w:szCs w:val="21"/>
        </w:rPr>
        <w:t>。在</w:t>
      </w:r>
      <w:r>
        <w:rPr>
          <w:rFonts w:hint="eastAsia"/>
          <w:color w:val="auto"/>
        </w:rPr>
        <w:t>投标截止时间前，</w:t>
      </w:r>
      <w:r>
        <w:rPr>
          <w:b/>
          <w:color w:val="auto"/>
        </w:rPr>
        <w:t>使用</w:t>
      </w:r>
      <w:r>
        <w:rPr>
          <w:rFonts w:hint="eastAsia"/>
          <w:b/>
          <w:color w:val="auto"/>
        </w:rPr>
        <w:t>加密其投标文件的CA数字证书</w:t>
      </w:r>
      <w:r>
        <w:rPr>
          <w:rFonts w:hint="eastAsia"/>
          <w:color w:val="auto"/>
        </w:rPr>
        <w:t>登录“电子交易平台”，进入“开标大厅”选择所投标段进行签到，并实时在线关注招标人的操作情况。</w:t>
      </w:r>
    </w:p>
    <w:bookmarkEnd w:id="389"/>
    <w:p>
      <w:pPr>
        <w:pStyle w:val="87"/>
        <w:rPr>
          <w:rFonts w:hint="eastAsia" w:ascii="Times New Roman"/>
          <w:color w:val="auto"/>
        </w:rPr>
      </w:pPr>
      <w:bookmarkStart w:id="390" w:name="_Toc494315146"/>
      <w:bookmarkStart w:id="391" w:name="_Toc22280"/>
      <w:bookmarkStart w:id="392" w:name="_Toc491089674"/>
      <w:bookmarkStart w:id="393" w:name="_Toc221950196"/>
      <w:r>
        <w:rPr>
          <w:rFonts w:hint="eastAsia" w:ascii="Times New Roman"/>
          <w:color w:val="auto"/>
        </w:rPr>
        <w:t>5.2 开标程序</w:t>
      </w:r>
      <w:bookmarkEnd w:id="390"/>
      <w:bookmarkEnd w:id="391"/>
      <w:bookmarkEnd w:id="392"/>
    </w:p>
    <w:p>
      <w:pPr>
        <w:spacing w:line="360" w:lineRule="auto"/>
        <w:ind w:firstLine="420" w:firstLineChars="200"/>
        <w:rPr>
          <w:rFonts w:hint="eastAsia" w:ascii="宋体" w:hAnsi="宋体"/>
          <w:color w:val="auto"/>
          <w:szCs w:val="21"/>
        </w:rPr>
      </w:pPr>
      <w:r>
        <w:rPr>
          <w:rFonts w:hint="eastAsia" w:ascii="宋体" w:hAnsi="宋体"/>
          <w:color w:val="auto"/>
          <w:szCs w:val="21"/>
        </w:rPr>
        <w:t>5.2.1 主持人按下列程序</w:t>
      </w:r>
      <w:r>
        <w:rPr>
          <w:rFonts w:hint="eastAsia"/>
          <w:color w:val="auto"/>
        </w:rPr>
        <w:t>在“电子交易平台”的“开标大厅”进行在线开标</w:t>
      </w:r>
      <w:r>
        <w:rPr>
          <w:rFonts w:hint="eastAsia" w:ascii="宋体" w:hAnsi="宋体"/>
          <w:color w:val="auto"/>
          <w:szCs w:val="21"/>
        </w:rPr>
        <w:t>：</w:t>
      </w:r>
    </w:p>
    <w:p>
      <w:pPr>
        <w:spacing w:line="360" w:lineRule="auto"/>
        <w:ind w:firstLine="420" w:firstLineChars="200"/>
        <w:rPr>
          <w:rFonts w:ascii="宋体" w:hAnsi="宋体"/>
          <w:color w:val="auto"/>
          <w:szCs w:val="21"/>
        </w:rPr>
      </w:pPr>
      <w:r>
        <w:rPr>
          <w:rFonts w:ascii="宋体" w:hAnsi="宋体"/>
          <w:color w:val="auto"/>
          <w:szCs w:val="21"/>
        </w:rPr>
        <w:t>（1）宣布开标纪律；</w:t>
      </w:r>
    </w:p>
    <w:p>
      <w:pPr>
        <w:spacing w:line="360" w:lineRule="auto"/>
        <w:ind w:firstLine="420" w:firstLineChars="200"/>
        <w:rPr>
          <w:rFonts w:ascii="宋体" w:hAnsi="宋体"/>
          <w:color w:val="auto"/>
          <w:szCs w:val="21"/>
        </w:rPr>
      </w:pPr>
      <w:r>
        <w:rPr>
          <w:rFonts w:ascii="宋体" w:hAnsi="宋体"/>
          <w:color w:val="auto"/>
          <w:szCs w:val="21"/>
        </w:rPr>
        <w:t>（2）</w:t>
      </w:r>
      <w:r>
        <w:rPr>
          <w:rFonts w:hint="eastAsia" w:ascii="宋体" w:hAnsi="宋体"/>
          <w:color w:val="auto"/>
          <w:szCs w:val="21"/>
        </w:rPr>
        <w:t>公布主持人、招标人代表、监标人</w:t>
      </w:r>
      <w:r>
        <w:rPr>
          <w:rFonts w:ascii="宋体" w:hAnsi="宋体"/>
          <w:color w:val="auto"/>
          <w:szCs w:val="21"/>
        </w:rPr>
        <w:t>等有关人员</w:t>
      </w:r>
      <w:r>
        <w:rPr>
          <w:rFonts w:hint="eastAsia" w:ascii="宋体" w:hAnsi="宋体"/>
          <w:color w:val="auto"/>
          <w:szCs w:val="21"/>
        </w:rPr>
        <w:t>姓</w:t>
      </w:r>
      <w:r>
        <w:rPr>
          <w:rFonts w:ascii="宋体" w:hAnsi="宋体"/>
          <w:color w:val="auto"/>
          <w:szCs w:val="21"/>
        </w:rPr>
        <w:t xml:space="preserve">名； </w:t>
      </w:r>
    </w:p>
    <w:p>
      <w:pPr>
        <w:spacing w:line="360" w:lineRule="auto"/>
        <w:ind w:firstLine="420" w:firstLineChars="200"/>
        <w:rPr>
          <w:rFonts w:ascii="宋体" w:hAnsi="宋体"/>
          <w:color w:val="auto"/>
          <w:szCs w:val="21"/>
        </w:rPr>
      </w:pPr>
      <w:r>
        <w:rPr>
          <w:rFonts w:ascii="宋体" w:hAnsi="宋体"/>
          <w:color w:val="auto"/>
          <w:szCs w:val="21"/>
        </w:rPr>
        <w:t>（</w:t>
      </w:r>
      <w:r>
        <w:rPr>
          <w:rFonts w:hint="eastAsia" w:ascii="宋体" w:hAnsi="宋体"/>
          <w:color w:val="auto"/>
          <w:szCs w:val="21"/>
        </w:rPr>
        <w:t>3</w:t>
      </w:r>
      <w:r>
        <w:rPr>
          <w:rFonts w:ascii="宋体" w:hAnsi="宋体"/>
          <w:color w:val="auto"/>
          <w:szCs w:val="21"/>
        </w:rPr>
        <w:t>）</w:t>
      </w:r>
      <w:r>
        <w:rPr>
          <w:rFonts w:hint="eastAsia" w:ascii="宋体" w:hAnsi="宋体"/>
          <w:color w:val="auto"/>
          <w:szCs w:val="21"/>
        </w:rPr>
        <w:t>公布在投标截止时间前投标文件的递交情况；</w:t>
      </w:r>
    </w:p>
    <w:p>
      <w:pPr>
        <w:spacing w:line="360" w:lineRule="auto"/>
        <w:ind w:firstLine="420" w:firstLineChars="200"/>
        <w:rPr>
          <w:rFonts w:hint="eastAsia" w:ascii="宋体" w:hAnsi="宋体"/>
          <w:color w:val="auto"/>
          <w:szCs w:val="21"/>
        </w:rPr>
      </w:pPr>
      <w:r>
        <w:rPr>
          <w:rFonts w:hint="eastAsia" w:ascii="宋体" w:hAnsi="宋体"/>
          <w:color w:val="auto"/>
          <w:szCs w:val="21"/>
        </w:rPr>
        <w:t>（4）公布投标保证金递交情况；</w:t>
      </w:r>
    </w:p>
    <w:p>
      <w:pPr>
        <w:spacing w:line="360" w:lineRule="auto"/>
        <w:ind w:firstLine="420" w:firstLineChars="200"/>
        <w:rPr>
          <w:rFonts w:hint="eastAsia" w:ascii="宋体" w:hAnsi="宋体"/>
          <w:color w:val="auto"/>
          <w:szCs w:val="21"/>
        </w:rPr>
      </w:pPr>
      <w:r>
        <w:rPr>
          <w:rFonts w:ascii="宋体" w:hAnsi="宋体"/>
          <w:color w:val="auto"/>
          <w:szCs w:val="21"/>
        </w:rPr>
        <w:t>（5）抽取</w:t>
      </w:r>
      <w:r>
        <w:rPr>
          <w:rFonts w:hint="eastAsia" w:ascii="宋体" w:hAnsi="宋体"/>
          <w:color w:val="auto"/>
          <w:szCs w:val="21"/>
        </w:rPr>
        <w:t>计算评标基准价浮动比例</w:t>
      </w:r>
      <w:r>
        <w:rPr>
          <w:rFonts w:ascii="宋体" w:hAnsi="宋体"/>
          <w:color w:val="auto"/>
          <w:szCs w:val="21"/>
        </w:rPr>
        <w:t>J值；</w:t>
      </w:r>
    </w:p>
    <w:p>
      <w:pPr>
        <w:spacing w:line="360" w:lineRule="auto"/>
        <w:ind w:firstLine="420" w:firstLineChars="200"/>
        <w:rPr>
          <w:rFonts w:ascii="宋体" w:hAnsi="宋体"/>
          <w:color w:val="auto"/>
          <w:szCs w:val="21"/>
        </w:rPr>
      </w:pPr>
      <w:r>
        <w:rPr>
          <w:rFonts w:ascii="宋体" w:hAnsi="宋体"/>
          <w:color w:val="auto"/>
          <w:szCs w:val="21"/>
        </w:rPr>
        <w:t>（6）投标人根据提示在</w:t>
      </w:r>
      <w:r>
        <w:rPr>
          <w:rFonts w:hint="eastAsia" w:ascii="宋体" w:hAnsi="宋体"/>
          <w:color w:val="auto"/>
          <w:szCs w:val="21"/>
        </w:rPr>
        <w:t>投标人须知前附表规定的时间内</w:t>
      </w:r>
      <w:r>
        <w:rPr>
          <w:rFonts w:ascii="宋体" w:hAnsi="宋体"/>
          <w:color w:val="auto"/>
          <w:szCs w:val="21"/>
        </w:rPr>
        <w:t>解密投标文件</w:t>
      </w:r>
      <w:r>
        <w:rPr>
          <w:rFonts w:hint="eastAsia" w:ascii="宋体" w:hAnsi="宋体"/>
          <w:color w:val="auto"/>
          <w:szCs w:val="21"/>
        </w:rPr>
        <w:t>；</w:t>
      </w:r>
    </w:p>
    <w:p>
      <w:pPr>
        <w:spacing w:line="360" w:lineRule="auto"/>
        <w:ind w:firstLine="420" w:firstLineChars="200"/>
        <w:rPr>
          <w:rFonts w:hint="eastAsia" w:ascii="宋体" w:hAnsi="宋体"/>
          <w:color w:val="auto"/>
          <w:szCs w:val="21"/>
        </w:rPr>
      </w:pPr>
      <w:r>
        <w:rPr>
          <w:rFonts w:hint="eastAsia" w:ascii="宋体" w:hAnsi="宋体"/>
          <w:color w:val="auto"/>
          <w:szCs w:val="21"/>
        </w:rPr>
        <w:t>（7）读取已解密的投标文件内容；</w:t>
      </w:r>
    </w:p>
    <w:p>
      <w:pPr>
        <w:spacing w:line="360" w:lineRule="auto"/>
        <w:ind w:firstLine="420" w:firstLineChars="200"/>
        <w:rPr>
          <w:rFonts w:ascii="宋体" w:hAnsi="宋体"/>
          <w:color w:val="auto"/>
          <w:szCs w:val="21"/>
        </w:rPr>
      </w:pPr>
      <w:r>
        <w:rPr>
          <w:rFonts w:hint="eastAsia" w:ascii="宋体" w:hAnsi="宋体"/>
          <w:color w:val="auto"/>
          <w:szCs w:val="21"/>
        </w:rPr>
        <w:t>（8）公布</w:t>
      </w:r>
      <w:r>
        <w:rPr>
          <w:rFonts w:ascii="宋体" w:hAnsi="宋体"/>
          <w:color w:val="auto"/>
          <w:szCs w:val="21"/>
        </w:rPr>
        <w:t>投标人名称、</w:t>
      </w:r>
      <w:r>
        <w:rPr>
          <w:rFonts w:hint="eastAsia" w:ascii="宋体" w:hAnsi="宋体"/>
          <w:color w:val="auto"/>
          <w:szCs w:val="21"/>
        </w:rPr>
        <w:t>标段名称、投标保证金的递交情况、</w:t>
      </w:r>
      <w:r>
        <w:rPr>
          <w:rFonts w:ascii="宋体" w:hAnsi="宋体"/>
          <w:color w:val="auto"/>
          <w:szCs w:val="21"/>
        </w:rPr>
        <w:t>投标报价</w:t>
      </w:r>
      <w:r>
        <w:rPr>
          <w:rFonts w:hint="eastAsia" w:ascii="宋体" w:hAnsi="宋体"/>
          <w:color w:val="auto"/>
          <w:szCs w:val="21"/>
        </w:rPr>
        <w:t>、质量目标、工期、项目经理姓名及其他内容，并生成开标记录；</w:t>
      </w:r>
    </w:p>
    <w:p>
      <w:pPr>
        <w:spacing w:line="360" w:lineRule="auto"/>
        <w:ind w:firstLine="420" w:firstLineChars="200"/>
        <w:rPr>
          <w:rFonts w:hint="eastAsia" w:ascii="宋体" w:hAnsi="宋体"/>
          <w:color w:val="auto"/>
          <w:szCs w:val="21"/>
        </w:rPr>
      </w:pPr>
      <w:r>
        <w:rPr>
          <w:rFonts w:hint="eastAsia" w:ascii="宋体" w:hAnsi="宋体"/>
          <w:color w:val="auto"/>
          <w:szCs w:val="21"/>
        </w:rPr>
        <w:t>（</w:t>
      </w:r>
      <w:r>
        <w:rPr>
          <w:rFonts w:ascii="宋体" w:hAnsi="宋体"/>
          <w:color w:val="auto"/>
          <w:szCs w:val="21"/>
        </w:rPr>
        <w:t>9</w:t>
      </w:r>
      <w:r>
        <w:rPr>
          <w:rFonts w:hint="eastAsia" w:ascii="宋体" w:hAnsi="宋体"/>
          <w:color w:val="auto"/>
          <w:szCs w:val="21"/>
        </w:rPr>
        <w:t>）</w:t>
      </w:r>
      <w:r>
        <w:rPr>
          <w:rFonts w:ascii="宋体" w:hAnsi="宋体"/>
          <w:color w:val="auto"/>
          <w:szCs w:val="21"/>
        </w:rPr>
        <w:t>开标结束。</w:t>
      </w:r>
    </w:p>
    <w:p>
      <w:pPr>
        <w:spacing w:line="360" w:lineRule="auto"/>
        <w:ind w:firstLine="420" w:firstLineChars="200"/>
        <w:rPr>
          <w:rFonts w:hint="eastAsia"/>
          <w:bCs/>
          <w:iCs/>
          <w:color w:val="auto"/>
        </w:rPr>
      </w:pPr>
      <w:r>
        <w:rPr>
          <w:rFonts w:hint="eastAsia" w:ascii="宋体" w:hAnsi="宋体"/>
          <w:color w:val="auto"/>
          <w:szCs w:val="21"/>
        </w:rPr>
        <w:t>5.2.2</w:t>
      </w:r>
      <w:r>
        <w:rPr>
          <w:rFonts w:hint="eastAsia"/>
          <w:bCs/>
          <w:iCs/>
          <w:color w:val="auto"/>
        </w:rPr>
        <w:t>在本章第</w:t>
      </w:r>
      <w:r>
        <w:rPr>
          <w:rFonts w:hint="eastAsia"/>
          <w:color w:val="auto"/>
        </w:rPr>
        <w:t>5.2.1</w:t>
      </w:r>
      <w:r>
        <w:rPr>
          <w:color w:val="auto"/>
        </w:rPr>
        <w:t>（6）</w:t>
      </w:r>
      <w:r>
        <w:rPr>
          <w:rFonts w:hint="eastAsia"/>
          <w:color w:val="auto"/>
        </w:rPr>
        <w:t>目规定的</w:t>
      </w:r>
      <w:r>
        <w:rPr>
          <w:rFonts w:hint="eastAsia"/>
          <w:color w:val="auto"/>
          <w:szCs w:val="21"/>
        </w:rPr>
        <w:t>时间内</w:t>
      </w:r>
      <w:r>
        <w:rPr>
          <w:rFonts w:hint="eastAsia"/>
          <w:bCs/>
          <w:iCs/>
          <w:color w:val="auto"/>
        </w:rPr>
        <w:t>，非因“电子交易平台”原因造成投标文件未解密的，视为投标人撤回投标文件。已解密的投标文件少于三个的，招标失败；已解密的投标文件不少于三个，开标继续进行。</w:t>
      </w:r>
      <w:bookmarkStart w:id="394" w:name="_Toc491089675"/>
      <w:bookmarkStart w:id="395" w:name="_Toc494315147"/>
    </w:p>
    <w:p>
      <w:pPr>
        <w:pStyle w:val="87"/>
        <w:rPr>
          <w:rFonts w:hint="eastAsia" w:ascii="Times New Roman"/>
          <w:color w:val="auto"/>
        </w:rPr>
      </w:pPr>
      <w:bookmarkStart w:id="396" w:name="_Toc9642"/>
      <w:bookmarkStart w:id="397" w:name="_Toc494315148"/>
      <w:bookmarkStart w:id="398" w:name="_Toc491089676"/>
      <w:r>
        <w:rPr>
          <w:rFonts w:hint="eastAsia" w:ascii="Times New Roman"/>
          <w:color w:val="auto"/>
        </w:rPr>
        <w:t>5.3 开标异议</w:t>
      </w:r>
      <w:bookmarkEnd w:id="396"/>
      <w:bookmarkEnd w:id="397"/>
      <w:bookmarkEnd w:id="398"/>
    </w:p>
    <w:p>
      <w:pPr>
        <w:spacing w:line="400" w:lineRule="exact"/>
        <w:ind w:firstLine="420" w:firstLineChars="200"/>
        <w:rPr>
          <w:rFonts w:hint="eastAsia"/>
          <w:color w:val="auto"/>
        </w:rPr>
      </w:pPr>
      <w:r>
        <w:rPr>
          <w:rFonts w:hint="eastAsia" w:ascii="宋体" w:hAnsi="宋体" w:cs="宋体"/>
          <w:color w:val="auto"/>
          <w:kern w:val="0"/>
          <w:szCs w:val="21"/>
        </w:rPr>
        <w:t>5.3.1投</w:t>
      </w:r>
      <w:r>
        <w:rPr>
          <w:rFonts w:hint="eastAsia" w:ascii="宋体" w:hAnsi="宋体"/>
          <w:color w:val="auto"/>
          <w:szCs w:val="21"/>
        </w:rPr>
        <w:t>标人对开标有异议的，应当在开标过程中提出；招标人当场对异议作出答复，</w:t>
      </w:r>
      <w:r>
        <w:rPr>
          <w:rFonts w:hint="eastAsia" w:ascii="宋体" w:hAnsi="宋体"/>
          <w:color w:val="auto"/>
        </w:rPr>
        <w:t>并计入开标记录。</w:t>
      </w:r>
      <w:r>
        <w:rPr>
          <w:rFonts w:hint="eastAsia"/>
          <w:color w:val="auto"/>
        </w:rPr>
        <w:t>异议与答复应通过 “开标大厅”在“异议与答复”菜单以书面形式进行。</w:t>
      </w:r>
    </w:p>
    <w:p>
      <w:pPr>
        <w:spacing w:line="400" w:lineRule="exact"/>
        <w:ind w:firstLine="420" w:firstLineChars="200"/>
        <w:rPr>
          <w:rFonts w:hint="eastAsia" w:ascii="宋体" w:hAnsi="宋体"/>
          <w:color w:val="auto"/>
        </w:rPr>
      </w:pPr>
      <w:r>
        <w:rPr>
          <w:rFonts w:hint="eastAsia" w:ascii="宋体" w:hAnsi="宋体"/>
          <w:color w:val="auto"/>
        </w:rPr>
        <w:t>本处所称异议是指投标人在</w:t>
      </w:r>
      <w:r>
        <w:rPr>
          <w:rFonts w:ascii="宋体" w:hAnsi="宋体"/>
          <w:color w:val="auto"/>
        </w:rPr>
        <w:t>开标</w:t>
      </w:r>
      <w:r>
        <w:rPr>
          <w:rFonts w:hint="eastAsia" w:ascii="宋体" w:hAnsi="宋体"/>
          <w:color w:val="auto"/>
        </w:rPr>
        <w:t>过程</w:t>
      </w:r>
      <w:r>
        <w:rPr>
          <w:rFonts w:ascii="宋体" w:hAnsi="宋体"/>
          <w:color w:val="auto"/>
        </w:rPr>
        <w:t>中对投标文件提交、</w:t>
      </w:r>
      <w:r>
        <w:rPr>
          <w:rFonts w:hint="eastAsia" w:ascii="宋体" w:hAnsi="宋体"/>
          <w:color w:val="auto"/>
        </w:rPr>
        <w:t>投标</w:t>
      </w:r>
      <w:r>
        <w:rPr>
          <w:rFonts w:ascii="宋体" w:hAnsi="宋体"/>
          <w:color w:val="auto"/>
        </w:rPr>
        <w:t>截</w:t>
      </w:r>
      <w:r>
        <w:rPr>
          <w:rFonts w:hint="eastAsia" w:ascii="宋体" w:hAnsi="宋体"/>
          <w:color w:val="auto"/>
        </w:rPr>
        <w:t>止</w:t>
      </w:r>
      <w:r>
        <w:rPr>
          <w:rFonts w:ascii="宋体" w:hAnsi="宋体"/>
          <w:color w:val="auto"/>
        </w:rPr>
        <w:t>时间、开标程序、开标记录以及投标人和招标人或者投标人相互之间存在利益冲突的情形等</w:t>
      </w:r>
      <w:r>
        <w:rPr>
          <w:rFonts w:hint="eastAsia" w:ascii="宋体" w:hAnsi="宋体"/>
          <w:color w:val="auto"/>
        </w:rPr>
        <w:t>提出的质疑。</w:t>
      </w:r>
    </w:p>
    <w:p>
      <w:pPr>
        <w:spacing w:line="360" w:lineRule="auto"/>
        <w:ind w:firstLine="420" w:firstLineChars="200"/>
        <w:rPr>
          <w:rFonts w:ascii="宋体" w:hAnsi="宋体"/>
          <w:color w:val="auto"/>
          <w:szCs w:val="21"/>
        </w:rPr>
      </w:pPr>
      <w:r>
        <w:rPr>
          <w:rFonts w:hint="eastAsia" w:ascii="宋体" w:hAnsi="宋体" w:cs="宋体"/>
          <w:color w:val="auto"/>
          <w:kern w:val="0"/>
          <w:szCs w:val="21"/>
        </w:rPr>
        <w:t>5.3.2</w:t>
      </w:r>
      <w:r>
        <w:rPr>
          <w:rFonts w:ascii="宋体" w:hAnsi="宋体" w:cs="宋体"/>
          <w:color w:val="auto"/>
          <w:kern w:val="0"/>
          <w:szCs w:val="21"/>
        </w:rPr>
        <w:t>投</w:t>
      </w:r>
      <w:r>
        <w:rPr>
          <w:rFonts w:ascii="宋体" w:hAnsi="宋体"/>
          <w:color w:val="auto"/>
        </w:rPr>
        <w:t>标人异议成立的，招标人</w:t>
      </w:r>
      <w:r>
        <w:rPr>
          <w:rFonts w:hint="eastAsia" w:ascii="宋体" w:hAnsi="宋体"/>
          <w:color w:val="auto"/>
        </w:rPr>
        <w:t>将</w:t>
      </w:r>
      <w:r>
        <w:rPr>
          <w:rFonts w:ascii="宋体" w:hAnsi="宋体"/>
          <w:color w:val="auto"/>
        </w:rPr>
        <w:t>及时采取纠正措施，或者提交评标委员会评审确认；投标人异议不成立的，招标人</w:t>
      </w:r>
      <w:r>
        <w:rPr>
          <w:rFonts w:hint="eastAsia" w:ascii="宋体" w:hAnsi="宋体"/>
          <w:color w:val="auto"/>
        </w:rPr>
        <w:t>将</w:t>
      </w:r>
      <w:r>
        <w:rPr>
          <w:rFonts w:ascii="宋体" w:hAnsi="宋体"/>
          <w:color w:val="auto"/>
        </w:rPr>
        <w:t>当场给予解释说明。</w:t>
      </w:r>
    </w:p>
    <w:p>
      <w:pPr>
        <w:pStyle w:val="87"/>
        <w:rPr>
          <w:rFonts w:ascii="Times New Roman"/>
          <w:color w:val="auto"/>
        </w:rPr>
      </w:pPr>
      <w:bookmarkStart w:id="399" w:name="_Toc2279"/>
      <w:r>
        <w:rPr>
          <w:rFonts w:ascii="Times New Roman"/>
          <w:color w:val="auto"/>
        </w:rPr>
        <w:t>5.</w:t>
      </w:r>
      <w:r>
        <w:rPr>
          <w:rFonts w:hint="eastAsia" w:ascii="Times New Roman"/>
          <w:color w:val="auto"/>
        </w:rPr>
        <w:t>4</w:t>
      </w:r>
      <w:r>
        <w:rPr>
          <w:rFonts w:ascii="Times New Roman"/>
          <w:color w:val="auto"/>
        </w:rPr>
        <w:t xml:space="preserve"> 特殊情况的处置</w:t>
      </w:r>
      <w:bookmarkEnd w:id="394"/>
      <w:bookmarkEnd w:id="395"/>
      <w:bookmarkEnd w:id="399"/>
    </w:p>
    <w:p>
      <w:pPr>
        <w:spacing w:line="360" w:lineRule="auto"/>
        <w:ind w:firstLine="420" w:firstLineChars="200"/>
        <w:rPr>
          <w:color w:val="auto"/>
        </w:rPr>
      </w:pPr>
      <w:r>
        <w:rPr>
          <w:rFonts w:hint="eastAsia" w:ascii="宋体" w:hAnsi="宋体"/>
          <w:color w:val="auto"/>
          <w:szCs w:val="21"/>
        </w:rPr>
        <w:t>5.4.1</w:t>
      </w:r>
      <w:r>
        <w:rPr>
          <w:color w:val="auto"/>
        </w:rPr>
        <w:t>因</w:t>
      </w:r>
      <w:r>
        <w:rPr>
          <w:rFonts w:hint="eastAsia"/>
          <w:color w:val="auto"/>
        </w:rPr>
        <w:t>“电子交易平台”</w:t>
      </w:r>
      <w:r>
        <w:rPr>
          <w:color w:val="auto"/>
        </w:rPr>
        <w:t>系统</w:t>
      </w:r>
      <w:r>
        <w:rPr>
          <w:rFonts w:hint="eastAsia"/>
          <w:color w:val="auto"/>
        </w:rPr>
        <w:t>故障</w:t>
      </w:r>
      <w:r>
        <w:rPr>
          <w:color w:val="auto"/>
        </w:rPr>
        <w:t>导致</w:t>
      </w:r>
      <w:r>
        <w:rPr>
          <w:rFonts w:hint="eastAsia"/>
          <w:color w:val="auto"/>
        </w:rPr>
        <w:t>无法投标的，交易中心及时通知招标人，招标人视情况决定是否顺延投标截止时间。</w:t>
      </w:r>
      <w:r>
        <w:rPr>
          <w:color w:val="auto"/>
        </w:rPr>
        <w:t>因投标人自身</w:t>
      </w:r>
      <w:r>
        <w:rPr>
          <w:rFonts w:hint="eastAsia"/>
          <w:color w:val="auto"/>
        </w:rPr>
        <w:t>原因</w:t>
      </w:r>
      <w:r>
        <w:rPr>
          <w:color w:val="auto"/>
        </w:rPr>
        <w:t>导致无法完成投标的，由投标人自行承担后果。</w:t>
      </w:r>
    </w:p>
    <w:p>
      <w:pPr>
        <w:spacing w:line="360" w:lineRule="auto"/>
        <w:ind w:firstLine="420" w:firstLineChars="200"/>
        <w:rPr>
          <w:rFonts w:ascii="宋体" w:hAnsi="宋体"/>
          <w:color w:val="auto"/>
          <w:szCs w:val="21"/>
        </w:rPr>
      </w:pPr>
      <w:r>
        <w:rPr>
          <w:rFonts w:hint="eastAsia" w:ascii="宋体" w:hAnsi="宋体"/>
          <w:color w:val="auto"/>
          <w:szCs w:val="21"/>
        </w:rPr>
        <w:t xml:space="preserve">5.4.2  </w:t>
      </w:r>
      <w:r>
        <w:rPr>
          <w:color w:val="auto"/>
        </w:rPr>
        <w:t>因</w:t>
      </w:r>
      <w:r>
        <w:rPr>
          <w:rFonts w:hint="eastAsia"/>
          <w:color w:val="auto"/>
        </w:rPr>
        <w:t>“电子交易平台”</w:t>
      </w:r>
      <w:r>
        <w:rPr>
          <w:color w:val="auto"/>
        </w:rPr>
        <w:t>系统</w:t>
      </w:r>
      <w:r>
        <w:rPr>
          <w:rFonts w:hint="eastAsia"/>
          <w:color w:val="auto"/>
        </w:rPr>
        <w:t>故障</w:t>
      </w:r>
      <w:r>
        <w:rPr>
          <w:color w:val="auto"/>
        </w:rPr>
        <w:t>导致</w:t>
      </w:r>
      <w:r>
        <w:rPr>
          <w:rFonts w:hint="eastAsia"/>
          <w:color w:val="auto"/>
        </w:rPr>
        <w:t>无法正常开标的，招标人将</w:t>
      </w:r>
      <w:r>
        <w:rPr>
          <w:color w:val="auto"/>
        </w:rPr>
        <w:t>暂停开标</w:t>
      </w:r>
      <w:r>
        <w:rPr>
          <w:rFonts w:hint="eastAsia"/>
          <w:color w:val="auto"/>
        </w:rPr>
        <w:t>，待系统恢复</w:t>
      </w:r>
      <w:r>
        <w:rPr>
          <w:color w:val="auto"/>
        </w:rPr>
        <w:t>正常</w:t>
      </w:r>
      <w:r>
        <w:rPr>
          <w:rFonts w:hint="eastAsia"/>
          <w:color w:val="auto"/>
        </w:rPr>
        <w:t>后继续开标。</w:t>
      </w:r>
    </w:p>
    <w:p>
      <w:pPr>
        <w:spacing w:line="360" w:lineRule="auto"/>
        <w:ind w:firstLine="420" w:firstLineChars="200"/>
        <w:rPr>
          <w:color w:val="auto"/>
        </w:rPr>
      </w:pPr>
      <w:r>
        <w:rPr>
          <w:rFonts w:hint="eastAsia" w:ascii="宋体" w:hAnsi="宋体"/>
          <w:color w:val="auto"/>
          <w:szCs w:val="21"/>
        </w:rPr>
        <w:t>5</w:t>
      </w:r>
      <w:r>
        <w:rPr>
          <w:rFonts w:ascii="宋体" w:hAnsi="宋体"/>
          <w:color w:val="auto"/>
          <w:szCs w:val="21"/>
        </w:rPr>
        <w:t>.</w:t>
      </w:r>
      <w:r>
        <w:rPr>
          <w:rFonts w:hint="eastAsia" w:ascii="宋体" w:hAnsi="宋体"/>
          <w:color w:val="auto"/>
          <w:szCs w:val="21"/>
        </w:rPr>
        <w:t>4</w:t>
      </w:r>
      <w:r>
        <w:rPr>
          <w:rFonts w:ascii="宋体" w:hAnsi="宋体"/>
          <w:color w:val="auto"/>
          <w:szCs w:val="21"/>
        </w:rPr>
        <w:t>.3</w:t>
      </w:r>
      <w:r>
        <w:rPr>
          <w:rFonts w:hint="eastAsia"/>
          <w:color w:val="auto"/>
        </w:rPr>
        <w:t xml:space="preserve"> “电子交易平台”</w:t>
      </w:r>
      <w:r>
        <w:rPr>
          <w:color w:val="auto"/>
        </w:rPr>
        <w:t>系统</w:t>
      </w:r>
      <w:r>
        <w:rPr>
          <w:rFonts w:hint="eastAsia"/>
          <w:color w:val="auto"/>
        </w:rPr>
        <w:t>故障是指下列情形：</w:t>
      </w:r>
    </w:p>
    <w:p>
      <w:pPr>
        <w:spacing w:line="360" w:lineRule="auto"/>
        <w:ind w:firstLine="420" w:firstLineChars="200"/>
        <w:rPr>
          <w:rFonts w:ascii="宋体" w:hAnsi="宋体"/>
          <w:color w:val="auto"/>
          <w:szCs w:val="21"/>
        </w:rPr>
      </w:pPr>
      <w:r>
        <w:rPr>
          <w:rFonts w:ascii="宋体" w:hAnsi="宋体"/>
          <w:color w:val="auto"/>
          <w:szCs w:val="21"/>
        </w:rPr>
        <w:t>（1）系统服务器发生故障，无法访问或无法使用系统；</w:t>
      </w:r>
    </w:p>
    <w:p>
      <w:pPr>
        <w:spacing w:line="360" w:lineRule="auto"/>
        <w:ind w:firstLine="420" w:firstLineChars="200"/>
        <w:rPr>
          <w:rFonts w:ascii="宋体" w:hAnsi="宋体"/>
          <w:color w:val="auto"/>
          <w:szCs w:val="21"/>
        </w:rPr>
      </w:pPr>
      <w:r>
        <w:rPr>
          <w:rFonts w:ascii="宋体" w:hAnsi="宋体"/>
          <w:color w:val="auto"/>
          <w:szCs w:val="21"/>
        </w:rPr>
        <w:t>（2）系统的软件或数据库出现错误，不能进行正常操作；</w:t>
      </w:r>
    </w:p>
    <w:p>
      <w:pPr>
        <w:spacing w:line="360" w:lineRule="auto"/>
        <w:ind w:firstLine="420" w:firstLineChars="200"/>
        <w:rPr>
          <w:rFonts w:ascii="宋体" w:hAnsi="宋体"/>
          <w:color w:val="auto"/>
          <w:szCs w:val="21"/>
        </w:rPr>
      </w:pPr>
      <w:r>
        <w:rPr>
          <w:rFonts w:ascii="宋体" w:hAnsi="宋体"/>
          <w:color w:val="auto"/>
          <w:szCs w:val="21"/>
        </w:rPr>
        <w:t>（3）系统发现有安全漏洞，有潜在的泄密危险；</w:t>
      </w:r>
    </w:p>
    <w:p>
      <w:pPr>
        <w:spacing w:line="360" w:lineRule="auto"/>
        <w:ind w:firstLine="420" w:firstLineChars="200"/>
        <w:rPr>
          <w:rFonts w:hint="eastAsia" w:ascii="宋体" w:hAnsi="宋体"/>
          <w:color w:val="auto"/>
          <w:szCs w:val="21"/>
        </w:rPr>
      </w:pPr>
      <w:r>
        <w:rPr>
          <w:rFonts w:hint="eastAsia" w:ascii="宋体" w:hAnsi="宋体"/>
          <w:color w:val="auto"/>
          <w:szCs w:val="21"/>
        </w:rPr>
        <w:t>（4）出现断电、断网事故；</w:t>
      </w:r>
    </w:p>
    <w:p>
      <w:pPr>
        <w:spacing w:line="360" w:lineRule="auto"/>
        <w:ind w:firstLine="420" w:firstLineChars="200"/>
        <w:rPr>
          <w:rFonts w:hint="eastAsia" w:ascii="宋体" w:hAnsi="宋体"/>
          <w:color w:val="auto"/>
          <w:szCs w:val="21"/>
        </w:rPr>
      </w:pPr>
      <w:r>
        <w:rPr>
          <w:rFonts w:ascii="宋体" w:hAnsi="宋体"/>
          <w:color w:val="auto"/>
          <w:szCs w:val="21"/>
        </w:rPr>
        <w:t>（</w:t>
      </w:r>
      <w:r>
        <w:rPr>
          <w:rFonts w:hint="eastAsia" w:ascii="宋体" w:hAnsi="宋体"/>
          <w:color w:val="auto"/>
          <w:szCs w:val="21"/>
        </w:rPr>
        <w:t>5</w:t>
      </w:r>
      <w:r>
        <w:rPr>
          <w:rFonts w:ascii="宋体" w:hAnsi="宋体"/>
          <w:color w:val="auto"/>
          <w:szCs w:val="21"/>
        </w:rPr>
        <w:t>）其他无法保证招投标过程</w:t>
      </w:r>
      <w:r>
        <w:rPr>
          <w:rFonts w:hint="eastAsia" w:ascii="宋体" w:hAnsi="宋体"/>
          <w:color w:val="auto"/>
          <w:szCs w:val="21"/>
        </w:rPr>
        <w:t>正常进行</w:t>
      </w:r>
      <w:r>
        <w:rPr>
          <w:rFonts w:ascii="宋体" w:hAnsi="宋体"/>
          <w:color w:val="auto"/>
          <w:szCs w:val="21"/>
        </w:rPr>
        <w:t>的情形。</w:t>
      </w:r>
      <w:bookmarkEnd w:id="393"/>
      <w:bookmarkStart w:id="400" w:name="_Toc387753557"/>
      <w:bookmarkStart w:id="401" w:name="_Toc168476080"/>
      <w:bookmarkStart w:id="402" w:name="_Toc144974530"/>
      <w:bookmarkStart w:id="403" w:name="_Toc222032655"/>
      <w:bookmarkStart w:id="404" w:name="_Toc168475677"/>
      <w:bookmarkStart w:id="405" w:name="_Toc222029486"/>
      <w:bookmarkStart w:id="406" w:name="_Toc222030988"/>
      <w:bookmarkStart w:id="407" w:name="_Toc221950200"/>
      <w:bookmarkStart w:id="408" w:name="_Toc222033837"/>
      <w:bookmarkStart w:id="409" w:name="_Toc229305346"/>
    </w:p>
    <w:p>
      <w:pPr>
        <w:pStyle w:val="80"/>
        <w:spacing w:before="120" w:after="156" w:afterLines="50"/>
        <w:rPr>
          <w:rFonts w:hint="eastAsia"/>
          <w:color w:val="auto"/>
        </w:rPr>
      </w:pPr>
      <w:bookmarkStart w:id="410" w:name="_Toc491089677"/>
      <w:bookmarkStart w:id="411" w:name="_Toc28533"/>
      <w:r>
        <w:rPr>
          <w:rFonts w:hint="eastAsia"/>
          <w:color w:val="auto"/>
        </w:rPr>
        <w:t>6. 评标</w:t>
      </w:r>
      <w:bookmarkEnd w:id="400"/>
      <w:bookmarkEnd w:id="401"/>
      <w:bookmarkEnd w:id="402"/>
      <w:bookmarkEnd w:id="403"/>
      <w:bookmarkEnd w:id="404"/>
      <w:bookmarkEnd w:id="405"/>
      <w:bookmarkEnd w:id="406"/>
      <w:bookmarkEnd w:id="407"/>
      <w:bookmarkEnd w:id="408"/>
      <w:bookmarkEnd w:id="409"/>
      <w:bookmarkEnd w:id="410"/>
      <w:bookmarkEnd w:id="411"/>
    </w:p>
    <w:p>
      <w:pPr>
        <w:pStyle w:val="87"/>
        <w:rPr>
          <w:rFonts w:hint="eastAsia" w:ascii="Times New Roman"/>
          <w:color w:val="auto"/>
        </w:rPr>
      </w:pPr>
      <w:bookmarkStart w:id="412" w:name="_Toc494315150"/>
      <w:bookmarkStart w:id="413" w:name="_Toc20972"/>
      <w:bookmarkStart w:id="414" w:name="_Toc152042339"/>
      <w:bookmarkStart w:id="415" w:name="_Toc491089678"/>
      <w:bookmarkStart w:id="416" w:name="_Toc179632581"/>
      <w:bookmarkStart w:id="417" w:name="_Toc144974531"/>
      <w:bookmarkStart w:id="418" w:name="_Toc152045563"/>
      <w:bookmarkStart w:id="419" w:name="_Toc221950207"/>
      <w:r>
        <w:rPr>
          <w:rFonts w:hint="eastAsia" w:ascii="Times New Roman"/>
          <w:color w:val="auto"/>
        </w:rPr>
        <w:t>6.1 评标委员会</w:t>
      </w:r>
      <w:bookmarkEnd w:id="412"/>
      <w:bookmarkEnd w:id="413"/>
      <w:bookmarkEnd w:id="414"/>
      <w:bookmarkEnd w:id="415"/>
      <w:bookmarkEnd w:id="416"/>
      <w:bookmarkEnd w:id="417"/>
      <w:bookmarkEnd w:id="418"/>
    </w:p>
    <w:p>
      <w:pPr>
        <w:spacing w:line="360" w:lineRule="auto"/>
        <w:ind w:firstLine="420" w:firstLineChars="200"/>
        <w:rPr>
          <w:rFonts w:hint="eastAsia" w:ascii="宋体" w:hAnsi="宋体"/>
          <w:color w:val="auto"/>
          <w:szCs w:val="21"/>
        </w:rPr>
      </w:pPr>
      <w:r>
        <w:rPr>
          <w:rFonts w:hint="eastAsia" w:ascii="宋体" w:hAnsi="宋体"/>
          <w:color w:val="auto"/>
          <w:szCs w:val="21"/>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360" w:lineRule="auto"/>
        <w:ind w:firstLine="420" w:firstLineChars="200"/>
        <w:rPr>
          <w:rFonts w:hint="eastAsia" w:ascii="宋体" w:hAnsi="宋体"/>
          <w:color w:val="auto"/>
          <w:szCs w:val="21"/>
        </w:rPr>
      </w:pPr>
      <w:r>
        <w:rPr>
          <w:rFonts w:hint="eastAsia" w:ascii="宋体" w:hAnsi="宋体"/>
          <w:color w:val="auto"/>
          <w:szCs w:val="21"/>
        </w:rPr>
        <w:t>6.1.2 评标委员会成员有下列情形之一的，应当回避：</w:t>
      </w:r>
    </w:p>
    <w:p>
      <w:pPr>
        <w:spacing w:line="360" w:lineRule="auto"/>
        <w:ind w:firstLine="359" w:firstLineChars="171"/>
        <w:rPr>
          <w:rFonts w:hint="eastAsia" w:ascii="宋体" w:hAnsi="宋体"/>
          <w:color w:val="auto"/>
          <w:szCs w:val="21"/>
        </w:rPr>
      </w:pPr>
      <w:r>
        <w:rPr>
          <w:rFonts w:hint="eastAsia" w:ascii="宋体" w:hAnsi="宋体"/>
          <w:color w:val="auto"/>
          <w:szCs w:val="21"/>
        </w:rPr>
        <w:t>（1）投标人或投标人的主要负责人的近亲属；</w:t>
      </w:r>
    </w:p>
    <w:p>
      <w:pPr>
        <w:spacing w:line="360" w:lineRule="auto"/>
        <w:ind w:firstLine="359" w:firstLineChars="171"/>
        <w:rPr>
          <w:rFonts w:hint="eastAsia" w:ascii="宋体" w:hAnsi="宋体"/>
          <w:color w:val="auto"/>
          <w:szCs w:val="21"/>
        </w:rPr>
      </w:pPr>
      <w:r>
        <w:rPr>
          <w:rFonts w:hint="eastAsia" w:ascii="宋体" w:hAnsi="宋体"/>
          <w:color w:val="auto"/>
          <w:szCs w:val="21"/>
        </w:rPr>
        <w:t>（2）项目主管部门或者行政监督部门的人员；</w:t>
      </w:r>
    </w:p>
    <w:p>
      <w:pPr>
        <w:spacing w:line="360" w:lineRule="auto"/>
        <w:ind w:firstLine="359" w:firstLineChars="171"/>
        <w:rPr>
          <w:rFonts w:hint="eastAsia" w:ascii="宋体" w:hAnsi="宋体"/>
          <w:color w:val="auto"/>
          <w:szCs w:val="21"/>
        </w:rPr>
      </w:pPr>
      <w:r>
        <w:rPr>
          <w:rFonts w:hint="eastAsia" w:ascii="宋体" w:hAnsi="宋体"/>
          <w:color w:val="auto"/>
          <w:szCs w:val="21"/>
        </w:rPr>
        <w:t>（3）与投标人有经济利益关系，可能影响对投标公正评审的；</w:t>
      </w:r>
    </w:p>
    <w:p>
      <w:pPr>
        <w:spacing w:line="360" w:lineRule="auto"/>
        <w:ind w:firstLine="359" w:firstLineChars="171"/>
        <w:rPr>
          <w:rFonts w:hint="eastAsia" w:ascii="宋体" w:hAnsi="宋体"/>
          <w:color w:val="auto"/>
          <w:szCs w:val="21"/>
        </w:rPr>
      </w:pPr>
      <w:r>
        <w:rPr>
          <w:rFonts w:hint="eastAsia" w:ascii="宋体" w:hAnsi="宋体"/>
          <w:color w:val="auto"/>
          <w:szCs w:val="21"/>
        </w:rPr>
        <w:t>（4）曾因在招标、评标以及其他与招标投标有关活动中从事违法行为而受过行政处罚或刑事处罚的。</w:t>
      </w:r>
    </w:p>
    <w:p>
      <w:pPr>
        <w:pStyle w:val="87"/>
        <w:rPr>
          <w:rFonts w:hint="eastAsia" w:hAnsi="宋体"/>
          <w:color w:val="auto"/>
          <w:szCs w:val="21"/>
        </w:rPr>
      </w:pPr>
      <w:bookmarkStart w:id="420" w:name="_Toc152042340"/>
      <w:bookmarkStart w:id="421" w:name="_Toc144974532"/>
      <w:bookmarkStart w:id="422" w:name="_Toc491089679"/>
      <w:bookmarkStart w:id="423" w:name="_Toc494315151"/>
      <w:bookmarkStart w:id="424" w:name="_Toc21332"/>
      <w:bookmarkStart w:id="425" w:name="_Toc152045564"/>
      <w:bookmarkStart w:id="426" w:name="_Toc179632582"/>
      <w:r>
        <w:rPr>
          <w:rFonts w:hint="eastAsia" w:ascii="Times New Roman"/>
          <w:color w:val="auto"/>
        </w:rPr>
        <w:t>6.2 评标原则</w:t>
      </w:r>
      <w:bookmarkEnd w:id="420"/>
      <w:bookmarkEnd w:id="421"/>
      <w:bookmarkEnd w:id="422"/>
      <w:bookmarkEnd w:id="423"/>
      <w:bookmarkEnd w:id="424"/>
      <w:bookmarkEnd w:id="425"/>
      <w:bookmarkEnd w:id="426"/>
      <w:r>
        <w:rPr>
          <w:rFonts w:hAnsi="宋体"/>
          <w:color w:val="auto"/>
          <w:szCs w:val="21"/>
        </w:rPr>
        <w:tab/>
      </w:r>
    </w:p>
    <w:p>
      <w:pPr>
        <w:spacing w:line="360" w:lineRule="auto"/>
        <w:ind w:firstLine="420" w:firstLineChars="200"/>
        <w:rPr>
          <w:rFonts w:hint="eastAsia" w:ascii="宋体" w:hAnsi="宋体"/>
          <w:color w:val="auto"/>
          <w:szCs w:val="21"/>
        </w:rPr>
      </w:pPr>
      <w:r>
        <w:rPr>
          <w:rFonts w:hint="eastAsia" w:ascii="宋体" w:hAnsi="宋体"/>
          <w:color w:val="auto"/>
          <w:szCs w:val="21"/>
        </w:rPr>
        <w:t>评标活动遵循公平、公正、科学和择优的原则。</w:t>
      </w:r>
    </w:p>
    <w:p>
      <w:pPr>
        <w:pStyle w:val="87"/>
        <w:rPr>
          <w:rFonts w:hint="eastAsia" w:ascii="Times New Roman"/>
          <w:color w:val="auto"/>
        </w:rPr>
      </w:pPr>
      <w:bookmarkStart w:id="427" w:name="_Toc21284"/>
      <w:bookmarkStart w:id="428" w:name="_Toc152045565"/>
      <w:bookmarkStart w:id="429" w:name="_Toc491089680"/>
      <w:bookmarkStart w:id="430" w:name="_Toc179632583"/>
      <w:bookmarkStart w:id="431" w:name="_Toc152042341"/>
      <w:bookmarkStart w:id="432" w:name="_Toc144974533"/>
      <w:bookmarkStart w:id="433" w:name="_Toc494315152"/>
      <w:r>
        <w:rPr>
          <w:rFonts w:hint="eastAsia" w:ascii="Times New Roman"/>
          <w:color w:val="auto"/>
        </w:rPr>
        <w:t>6.3 评标</w:t>
      </w:r>
      <w:bookmarkEnd w:id="427"/>
      <w:bookmarkEnd w:id="428"/>
      <w:bookmarkEnd w:id="429"/>
      <w:bookmarkEnd w:id="430"/>
      <w:bookmarkEnd w:id="431"/>
      <w:bookmarkEnd w:id="432"/>
      <w:bookmarkEnd w:id="433"/>
    </w:p>
    <w:p>
      <w:pPr>
        <w:spacing w:line="360" w:lineRule="auto"/>
        <w:ind w:firstLine="420" w:firstLineChars="200"/>
        <w:rPr>
          <w:rFonts w:hint="eastAsia" w:ascii="宋体" w:hAnsi="宋体"/>
          <w:color w:val="auto"/>
          <w:szCs w:val="21"/>
        </w:rPr>
      </w:pPr>
      <w:r>
        <w:rPr>
          <w:rFonts w:hint="eastAsia" w:ascii="宋体" w:hAnsi="宋体"/>
          <w:color w:val="auto"/>
          <w:szCs w:val="21"/>
        </w:rPr>
        <w:t>评标委员会按照第三章“评标办法”规定的方法、评审因素、标准和程序对投标文件进行评审。第三章“评标办法”没有规定的方法、评审因素和标准，不作为评标依据。</w:t>
      </w:r>
      <w:bookmarkEnd w:id="419"/>
      <w:bookmarkStart w:id="434" w:name="_Toc221950208"/>
      <w:bookmarkStart w:id="435" w:name="_Toc222030989"/>
      <w:bookmarkStart w:id="436" w:name="_Toc168476084"/>
      <w:bookmarkStart w:id="437" w:name="_Toc168475681"/>
      <w:bookmarkStart w:id="438" w:name="_Toc222032656"/>
      <w:bookmarkStart w:id="439" w:name="_Toc387753558"/>
      <w:bookmarkStart w:id="440" w:name="_Toc222029487"/>
      <w:bookmarkStart w:id="441" w:name="_Toc144974534"/>
      <w:bookmarkStart w:id="442" w:name="_Toc222033838"/>
      <w:bookmarkStart w:id="443" w:name="_Toc229305347"/>
    </w:p>
    <w:p>
      <w:pPr>
        <w:pStyle w:val="87"/>
        <w:rPr>
          <w:rFonts w:hint="eastAsia" w:ascii="Times New Roman"/>
          <w:color w:val="auto"/>
        </w:rPr>
      </w:pPr>
      <w:bookmarkStart w:id="444" w:name="_Toc491089681"/>
      <w:bookmarkStart w:id="445" w:name="_Toc494315153"/>
      <w:bookmarkStart w:id="446" w:name="_Toc3146"/>
      <w:r>
        <w:rPr>
          <w:rFonts w:hint="eastAsia" w:ascii="Times New Roman"/>
          <w:color w:val="auto"/>
        </w:rPr>
        <w:t>6.4 评标结果公示</w:t>
      </w:r>
      <w:bookmarkEnd w:id="444"/>
      <w:bookmarkEnd w:id="445"/>
      <w:bookmarkEnd w:id="446"/>
    </w:p>
    <w:p>
      <w:pPr>
        <w:spacing w:line="440" w:lineRule="exact"/>
        <w:ind w:firstLine="420" w:firstLineChars="200"/>
        <w:rPr>
          <w:rFonts w:hint="eastAsia"/>
          <w:color w:val="auto"/>
        </w:rPr>
      </w:pPr>
      <w:r>
        <w:rPr>
          <w:rFonts w:hint="eastAsia" w:ascii="宋体" w:hAnsi="宋体"/>
          <w:color w:val="auto"/>
          <w:szCs w:val="21"/>
        </w:rPr>
        <w:t>招标人将自收到评标报告之日起3日内，</w:t>
      </w:r>
      <w:r>
        <w:rPr>
          <w:rFonts w:hint="eastAsia"/>
          <w:color w:val="auto"/>
        </w:rPr>
        <w:t>在投标人须知前附表规定的媒介公示中标候选人。公示期不少于3日。</w:t>
      </w:r>
    </w:p>
    <w:p>
      <w:pPr>
        <w:spacing w:line="360" w:lineRule="auto"/>
        <w:ind w:firstLine="315" w:firstLineChars="150"/>
        <w:rPr>
          <w:rFonts w:hint="eastAsia" w:ascii="宋体" w:hAnsi="宋体"/>
          <w:color w:val="auto"/>
          <w:szCs w:val="21"/>
        </w:rPr>
      </w:pPr>
      <w:r>
        <w:rPr>
          <w:rFonts w:hint="eastAsia" w:ascii="宋体" w:hAnsi="宋体"/>
          <w:color w:val="auto"/>
          <w:szCs w:val="21"/>
        </w:rPr>
        <w:t xml:space="preserve"> 投标人或者其他利害关系人对依法必须招标项目的评标结果有异议的，应当在评标结果公示期间提出，招标人应当自收到异议之日起3日内作出答复；作出答复前，应当暂停招投标活动。异议和答复应</w:t>
      </w:r>
      <w:r>
        <w:rPr>
          <w:rFonts w:hint="eastAsia"/>
          <w:color w:val="auto"/>
        </w:rPr>
        <w:t>当</w:t>
      </w:r>
      <w:r>
        <w:rPr>
          <w:rFonts w:hint="eastAsia" w:ascii="宋体" w:hAnsi="宋体"/>
          <w:color w:val="auto"/>
          <w:szCs w:val="21"/>
        </w:rPr>
        <w:t>通过“电子交易平台”在“异议与答复”菜单以书面形式进行。</w:t>
      </w:r>
    </w:p>
    <w:p>
      <w:pPr>
        <w:pStyle w:val="87"/>
        <w:rPr>
          <w:rFonts w:hint="eastAsia" w:ascii="Times New Roman"/>
          <w:color w:val="auto"/>
        </w:rPr>
      </w:pPr>
      <w:bookmarkStart w:id="447" w:name="_Toc494315154"/>
      <w:bookmarkStart w:id="448" w:name="_Toc10508"/>
      <w:bookmarkStart w:id="449" w:name="_Toc400530233"/>
      <w:bookmarkStart w:id="450" w:name="_Toc491089682"/>
      <w:r>
        <w:rPr>
          <w:rFonts w:hint="eastAsia" w:ascii="Times New Roman"/>
          <w:color w:val="auto"/>
        </w:rPr>
        <w:t>6</w:t>
      </w:r>
      <w:r>
        <w:rPr>
          <w:rFonts w:ascii="Times New Roman"/>
          <w:color w:val="auto"/>
        </w:rPr>
        <w:t>.</w:t>
      </w:r>
      <w:r>
        <w:rPr>
          <w:rFonts w:hint="eastAsia" w:ascii="Times New Roman"/>
          <w:color w:val="auto"/>
        </w:rPr>
        <w:t>5</w:t>
      </w:r>
      <w:r>
        <w:rPr>
          <w:rFonts w:ascii="Times New Roman"/>
          <w:color w:val="auto"/>
        </w:rPr>
        <w:t xml:space="preserve"> </w:t>
      </w:r>
      <w:r>
        <w:rPr>
          <w:rFonts w:hint="eastAsia" w:ascii="Times New Roman"/>
          <w:color w:val="auto"/>
        </w:rPr>
        <w:t>履约能力的审查（如有）</w:t>
      </w:r>
      <w:bookmarkEnd w:id="447"/>
      <w:bookmarkEnd w:id="448"/>
      <w:bookmarkEnd w:id="449"/>
      <w:bookmarkEnd w:id="450"/>
    </w:p>
    <w:p>
      <w:pPr>
        <w:spacing w:line="400" w:lineRule="exact"/>
        <w:ind w:firstLine="420" w:firstLineChars="200"/>
        <w:rPr>
          <w:rFonts w:hint="eastAsia" w:ascii="宋体" w:hAnsi="宋体"/>
          <w:color w:val="auto"/>
          <w:szCs w:val="21"/>
        </w:rPr>
      </w:pPr>
      <w:r>
        <w:rPr>
          <w:rFonts w:hint="eastAsia"/>
          <w:color w:val="auto"/>
        </w:rPr>
        <w:t>如果中标候选人的经营、财务状况发生较大变化或者存在违法行为，招标人认为可能影响其履约能力的，将在发出中标通知书前报行政监督部门后，召集原评标委员会按照招标文件规定的标准和方法审查确认。</w:t>
      </w:r>
    </w:p>
    <w:p>
      <w:pPr>
        <w:pStyle w:val="80"/>
        <w:spacing w:before="120" w:after="156" w:afterLines="50"/>
        <w:rPr>
          <w:rFonts w:hint="eastAsia"/>
          <w:color w:val="auto"/>
        </w:rPr>
      </w:pPr>
      <w:bookmarkStart w:id="451" w:name="_Toc25686"/>
      <w:bookmarkStart w:id="452" w:name="_Toc491089683"/>
      <w:r>
        <w:rPr>
          <w:rFonts w:hint="eastAsia"/>
          <w:color w:val="auto"/>
        </w:rPr>
        <w:t>7. 合同授予</w:t>
      </w:r>
      <w:bookmarkEnd w:id="434"/>
      <w:bookmarkEnd w:id="435"/>
      <w:bookmarkEnd w:id="436"/>
      <w:bookmarkEnd w:id="437"/>
      <w:bookmarkEnd w:id="438"/>
      <w:bookmarkEnd w:id="439"/>
      <w:bookmarkEnd w:id="440"/>
      <w:bookmarkEnd w:id="441"/>
      <w:bookmarkEnd w:id="442"/>
      <w:bookmarkEnd w:id="443"/>
      <w:bookmarkEnd w:id="451"/>
      <w:bookmarkEnd w:id="452"/>
    </w:p>
    <w:p>
      <w:pPr>
        <w:pStyle w:val="87"/>
        <w:rPr>
          <w:rFonts w:hint="eastAsia" w:ascii="Times New Roman"/>
          <w:color w:val="auto"/>
        </w:rPr>
      </w:pPr>
      <w:bookmarkStart w:id="453" w:name="_Toc494315156"/>
      <w:bookmarkStart w:id="454" w:name="_Toc32564"/>
      <w:bookmarkStart w:id="455" w:name="_Toc491089684"/>
      <w:bookmarkStart w:id="456" w:name="_Toc221950211"/>
      <w:r>
        <w:rPr>
          <w:rFonts w:hint="eastAsia" w:ascii="Times New Roman"/>
          <w:color w:val="auto"/>
        </w:rPr>
        <w:t>7.1 定标方式</w:t>
      </w:r>
      <w:bookmarkEnd w:id="453"/>
      <w:bookmarkEnd w:id="454"/>
      <w:bookmarkEnd w:id="455"/>
    </w:p>
    <w:bookmarkEnd w:id="456"/>
    <w:p>
      <w:pPr>
        <w:spacing w:line="360" w:lineRule="auto"/>
        <w:ind w:firstLine="420" w:firstLineChars="200"/>
        <w:rPr>
          <w:rFonts w:hint="eastAsia" w:ascii="宋体" w:hAnsi="宋体"/>
          <w:color w:val="auto"/>
          <w:szCs w:val="21"/>
        </w:rPr>
      </w:pPr>
      <w:bookmarkStart w:id="457" w:name="_Toc179632586"/>
      <w:bookmarkStart w:id="458" w:name="_Toc152045568"/>
      <w:bookmarkStart w:id="459" w:name="_Toc152042344"/>
      <w:bookmarkStart w:id="460" w:name="_Toc494315157"/>
      <w:bookmarkStart w:id="461" w:name="_Toc144974536"/>
      <w:bookmarkStart w:id="462" w:name="_Toc491089685"/>
      <w:r>
        <w:rPr>
          <w:rFonts w:hint="eastAsia" w:ascii="宋体" w:hAnsi="宋体"/>
          <w:color w:val="auto"/>
          <w:szCs w:val="21"/>
        </w:rPr>
        <w:t>除投标人须知前附表规定评标委员会直接确定中标人外，招标人依据评标委员会推荐的中标候选人确定中标人，评标委员会推荐中标候选人的人数见投标须知前附表。</w:t>
      </w:r>
    </w:p>
    <w:p>
      <w:pPr>
        <w:pStyle w:val="87"/>
        <w:rPr>
          <w:rFonts w:hint="eastAsia" w:ascii="Times New Roman"/>
          <w:color w:val="auto"/>
        </w:rPr>
      </w:pPr>
      <w:bookmarkStart w:id="463" w:name="_Toc1049"/>
      <w:r>
        <w:rPr>
          <w:rFonts w:hint="eastAsia" w:ascii="Times New Roman"/>
          <w:color w:val="auto"/>
        </w:rPr>
        <w:t>7.2 中标通知</w:t>
      </w:r>
      <w:bookmarkEnd w:id="457"/>
      <w:bookmarkEnd w:id="458"/>
      <w:bookmarkEnd w:id="459"/>
      <w:bookmarkEnd w:id="460"/>
      <w:bookmarkEnd w:id="461"/>
      <w:bookmarkEnd w:id="462"/>
      <w:bookmarkEnd w:id="463"/>
    </w:p>
    <w:p>
      <w:pPr>
        <w:spacing w:line="360" w:lineRule="auto"/>
        <w:ind w:firstLine="420" w:firstLineChars="200"/>
        <w:rPr>
          <w:rFonts w:ascii="宋体" w:hAnsi="宋体"/>
          <w:color w:val="auto"/>
          <w:szCs w:val="21"/>
        </w:rPr>
      </w:pPr>
      <w:r>
        <w:rPr>
          <w:rFonts w:hint="eastAsia" w:ascii="宋体" w:hAnsi="宋体"/>
          <w:color w:val="auto"/>
          <w:szCs w:val="21"/>
        </w:rPr>
        <w:t>在本章第3.3款规定的投标有效期内，招标人</w:t>
      </w:r>
      <w:r>
        <w:rPr>
          <w:rFonts w:hint="eastAsia"/>
          <w:color w:val="auto"/>
        </w:rPr>
        <w:t>通过“电子交易平台”</w:t>
      </w:r>
      <w:r>
        <w:rPr>
          <w:rFonts w:hint="eastAsia" w:ascii="宋体" w:hAnsi="宋体"/>
          <w:color w:val="auto"/>
          <w:szCs w:val="21"/>
        </w:rPr>
        <w:t>以书面形式向中标人发出中标通知书，同时将中标结果通知未中标的投标人。</w:t>
      </w:r>
    </w:p>
    <w:p>
      <w:pPr>
        <w:spacing w:line="400" w:lineRule="exact"/>
        <w:ind w:firstLine="420" w:firstLineChars="200"/>
        <w:rPr>
          <w:rFonts w:hint="eastAsia"/>
          <w:color w:val="auto"/>
        </w:rPr>
      </w:pPr>
      <w:r>
        <w:rPr>
          <w:rFonts w:hint="eastAsia"/>
          <w:color w:val="auto"/>
        </w:rPr>
        <w:t>中标通知书发出的同时，招标人将在投标人须知前附表第6.4款规定的媒介发布中标结果公示。</w:t>
      </w:r>
    </w:p>
    <w:p>
      <w:pPr>
        <w:pStyle w:val="87"/>
        <w:rPr>
          <w:rFonts w:hint="eastAsia" w:ascii="Times New Roman"/>
          <w:color w:val="auto"/>
        </w:rPr>
      </w:pPr>
      <w:bookmarkStart w:id="464" w:name="_Toc152045569"/>
      <w:bookmarkStart w:id="465" w:name="_Toc479"/>
      <w:bookmarkStart w:id="466" w:name="_Toc179632587"/>
      <w:bookmarkStart w:id="467" w:name="_Toc491089686"/>
      <w:bookmarkStart w:id="468" w:name="_Toc152042345"/>
      <w:bookmarkStart w:id="469" w:name="_Toc144974537"/>
      <w:bookmarkStart w:id="470" w:name="_Toc494315158"/>
      <w:r>
        <w:rPr>
          <w:rFonts w:hint="eastAsia" w:ascii="Times New Roman"/>
          <w:color w:val="auto"/>
        </w:rPr>
        <w:t>7.3 履约担保</w:t>
      </w:r>
      <w:bookmarkEnd w:id="464"/>
      <w:bookmarkEnd w:id="465"/>
      <w:bookmarkEnd w:id="466"/>
      <w:bookmarkEnd w:id="467"/>
      <w:bookmarkEnd w:id="468"/>
      <w:bookmarkEnd w:id="469"/>
      <w:bookmarkEnd w:id="470"/>
    </w:p>
    <w:p>
      <w:pPr>
        <w:spacing w:line="360" w:lineRule="auto"/>
        <w:ind w:firstLine="420" w:firstLineChars="200"/>
        <w:rPr>
          <w:rFonts w:hint="eastAsia" w:ascii="宋体" w:hAnsi="宋体"/>
          <w:color w:val="auto"/>
          <w:szCs w:val="21"/>
        </w:rPr>
      </w:pPr>
      <w:r>
        <w:rPr>
          <w:rFonts w:hint="eastAsia" w:ascii="宋体" w:hAnsi="宋体"/>
          <w:color w:val="auto"/>
          <w:szCs w:val="21"/>
        </w:rPr>
        <w:t>7.3.1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pPr>
        <w:spacing w:line="360" w:lineRule="auto"/>
        <w:ind w:firstLine="420" w:firstLineChars="200"/>
        <w:rPr>
          <w:rFonts w:hint="eastAsia" w:ascii="宋体" w:hAnsi="宋体"/>
          <w:color w:val="auto"/>
          <w:szCs w:val="21"/>
        </w:rPr>
      </w:pPr>
      <w:r>
        <w:rPr>
          <w:rFonts w:hint="eastAsia" w:ascii="宋体" w:hAnsi="宋体"/>
          <w:color w:val="auto"/>
          <w:szCs w:val="21"/>
        </w:rPr>
        <w:t>7.3.2 中标人不能按本章第7.3.1项要求提交履约担保的，视为放弃中标，其投标保证金不予退还，给招标人造成的损失超过投标保证金数额的，中标人还应当对超过部分予以赔偿。</w:t>
      </w:r>
    </w:p>
    <w:p>
      <w:pPr>
        <w:pStyle w:val="87"/>
        <w:rPr>
          <w:rFonts w:hint="eastAsia" w:ascii="Times New Roman"/>
          <w:color w:val="auto"/>
        </w:rPr>
      </w:pPr>
      <w:bookmarkStart w:id="471" w:name="_Toc31838"/>
      <w:bookmarkStart w:id="472" w:name="_Toc494315159"/>
      <w:bookmarkStart w:id="473" w:name="_Toc491089687"/>
      <w:r>
        <w:rPr>
          <w:rFonts w:hint="eastAsia" w:ascii="Times New Roman"/>
          <w:color w:val="auto"/>
        </w:rPr>
        <w:t>7.4 签订合同</w:t>
      </w:r>
      <w:bookmarkEnd w:id="471"/>
      <w:bookmarkEnd w:id="472"/>
      <w:bookmarkEnd w:id="473"/>
    </w:p>
    <w:p>
      <w:pPr>
        <w:spacing w:line="360" w:lineRule="auto"/>
        <w:ind w:firstLine="420" w:firstLineChars="200"/>
        <w:rPr>
          <w:rFonts w:hint="eastAsia" w:ascii="宋体" w:hAnsi="宋体"/>
          <w:color w:val="auto"/>
          <w:szCs w:val="21"/>
        </w:rPr>
      </w:pPr>
      <w:bookmarkStart w:id="474" w:name="_Toc221950219"/>
      <w:r>
        <w:rPr>
          <w:rFonts w:hint="eastAsia" w:ascii="宋体" w:hAnsi="宋体"/>
          <w:color w:val="auto"/>
          <w:szCs w:val="21"/>
        </w:rPr>
        <w:t>7.4.1招标人和中标人应当自中标通知书发出之日起30天内，根据招标文件和中标人的投标文件（</w:t>
      </w:r>
      <w:r>
        <w:rPr>
          <w:rFonts w:ascii="宋体" w:hAnsi="宋体"/>
          <w:color w:val="auto"/>
          <w:szCs w:val="21"/>
        </w:rPr>
        <w:t>以</w:t>
      </w:r>
      <w:r>
        <w:rPr>
          <w:rFonts w:hint="eastAsia" w:ascii="宋体" w:hAnsi="宋体"/>
          <w:color w:val="auto"/>
          <w:szCs w:val="21"/>
        </w:rPr>
        <w:t>经评标委员会</w:t>
      </w:r>
      <w:r>
        <w:rPr>
          <w:rFonts w:ascii="宋体" w:hAnsi="宋体"/>
          <w:color w:val="auto"/>
          <w:szCs w:val="21"/>
        </w:rPr>
        <w:t>评审的文件</w:t>
      </w:r>
      <w:r>
        <w:rPr>
          <w:rFonts w:hint="eastAsia" w:ascii="宋体" w:hAnsi="宋体"/>
          <w:color w:val="auto"/>
          <w:szCs w:val="21"/>
        </w:rPr>
        <w:t>版本</w:t>
      </w:r>
      <w:r>
        <w:rPr>
          <w:rFonts w:ascii="宋体" w:hAnsi="宋体"/>
          <w:color w:val="auto"/>
          <w:szCs w:val="21"/>
        </w:rPr>
        <w:t>为准）</w:t>
      </w:r>
      <w:r>
        <w:rPr>
          <w:rFonts w:hint="eastAsia" w:ascii="宋体" w:hAnsi="宋体"/>
          <w:color w:val="auto"/>
          <w:szCs w:val="21"/>
        </w:rPr>
        <w:t>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420" w:firstLineChars="200"/>
        <w:rPr>
          <w:rFonts w:hint="eastAsia" w:ascii="宋体" w:hAnsi="宋体"/>
          <w:color w:val="auto"/>
          <w:szCs w:val="21"/>
        </w:rPr>
      </w:pPr>
      <w:r>
        <w:rPr>
          <w:rFonts w:hint="eastAsia" w:ascii="宋体" w:hAnsi="宋体"/>
          <w:color w:val="auto"/>
          <w:szCs w:val="21"/>
        </w:rPr>
        <w:t>7.4.2 发出中标通知书后，招标人无正当理由拒签合同的，招标人向中标人退还投标保证金</w:t>
      </w:r>
      <w:bookmarkEnd w:id="474"/>
      <w:r>
        <w:rPr>
          <w:rFonts w:hint="eastAsia" w:ascii="宋体" w:hAnsi="宋体"/>
          <w:color w:val="auto"/>
          <w:szCs w:val="21"/>
        </w:rPr>
        <w:t>；</w:t>
      </w:r>
      <w:r>
        <w:rPr>
          <w:rFonts w:hint="eastAsia" w:ascii="宋体" w:hAnsi="宋体" w:cs="宋体"/>
          <w:color w:val="auto"/>
          <w:szCs w:val="21"/>
        </w:rPr>
        <w:t>给中标人造成损失的，还应当赔偿损失。</w:t>
      </w:r>
      <w:r>
        <w:rPr>
          <w:rFonts w:hint="eastAsia" w:ascii="宋体" w:hAnsi="宋体"/>
          <w:color w:val="auto"/>
          <w:szCs w:val="21"/>
        </w:rPr>
        <w:t xml:space="preserve"> </w:t>
      </w:r>
      <w:bookmarkStart w:id="475" w:name="_Toc222029488"/>
      <w:bookmarkStart w:id="476" w:name="_Toc168476089"/>
      <w:bookmarkStart w:id="477" w:name="_Toc222033839"/>
      <w:bookmarkStart w:id="478" w:name="_Toc222032657"/>
      <w:bookmarkStart w:id="479" w:name="_Toc229305348"/>
      <w:bookmarkStart w:id="480" w:name="_Toc222030990"/>
      <w:bookmarkStart w:id="481" w:name="_Toc144974539"/>
      <w:bookmarkStart w:id="482" w:name="_Toc221950220"/>
      <w:bookmarkStart w:id="483" w:name="_Toc168475686"/>
    </w:p>
    <w:p>
      <w:pPr>
        <w:spacing w:line="360" w:lineRule="auto"/>
        <w:ind w:firstLine="420" w:firstLineChars="200"/>
        <w:rPr>
          <w:rFonts w:hint="eastAsia" w:ascii="宋体" w:hAnsi="宋体"/>
          <w:color w:val="auto"/>
          <w:szCs w:val="21"/>
        </w:rPr>
      </w:pPr>
      <w:r>
        <w:rPr>
          <w:rFonts w:hint="eastAsia" w:ascii="宋体" w:hAnsi="宋体"/>
          <w:color w:val="auto"/>
          <w:szCs w:val="21"/>
        </w:rPr>
        <w:t>7.4.3 签约合同价的确定原则如下：</w:t>
      </w:r>
    </w:p>
    <w:p>
      <w:pPr>
        <w:spacing w:line="360" w:lineRule="auto"/>
        <w:ind w:firstLine="420" w:firstLineChars="200"/>
        <w:rPr>
          <w:rFonts w:ascii="宋体" w:hAnsi="宋体"/>
          <w:color w:val="auto"/>
          <w:szCs w:val="21"/>
        </w:rPr>
      </w:pPr>
      <w:r>
        <w:rPr>
          <w:rFonts w:hint="eastAsia" w:ascii="宋体" w:hAnsi="宋体"/>
          <w:color w:val="auto"/>
          <w:szCs w:val="21"/>
        </w:rPr>
        <w:t>开标时投标函中大写投标总价应为签约合同价。按照第三章“评标办法”的规定，如投标报价有算术错误的，修正的价格经投标人书面确认后，以修正后的投标总价为签约合同价。</w:t>
      </w:r>
    </w:p>
    <w:p>
      <w:pPr>
        <w:spacing w:line="400" w:lineRule="exact"/>
        <w:ind w:firstLine="420" w:firstLineChars="200"/>
        <w:rPr>
          <w:rFonts w:hint="eastAsia"/>
          <w:color w:val="auto"/>
        </w:rPr>
      </w:pPr>
      <w:r>
        <w:rPr>
          <w:rFonts w:hint="eastAsia"/>
          <w:color w:val="auto"/>
        </w:rPr>
        <w:t>7.4.4 中标人应当在合同签订后15日内，登录“电子交易平台”</w:t>
      </w:r>
      <w:r>
        <w:rPr>
          <w:rFonts w:hint="eastAsia"/>
          <w:color w:val="auto"/>
          <w:shd w:val="clear" w:color="auto" w:fill="FFFFFF"/>
        </w:rPr>
        <w:t>提交电子合同文件备案</w:t>
      </w:r>
      <w:r>
        <w:rPr>
          <w:rFonts w:hint="eastAsia"/>
          <w:color w:val="auto"/>
          <w:sz w:val="19"/>
          <w:szCs w:val="19"/>
          <w:shd w:val="clear" w:color="auto" w:fill="FFFFFF"/>
        </w:rPr>
        <w:t>。</w:t>
      </w:r>
    </w:p>
    <w:p>
      <w:pPr>
        <w:pStyle w:val="80"/>
        <w:spacing w:before="120" w:after="156" w:afterLines="50"/>
        <w:rPr>
          <w:rFonts w:hint="eastAsia"/>
          <w:color w:val="auto"/>
        </w:rPr>
      </w:pPr>
      <w:bookmarkStart w:id="484" w:name="_Toc387753559"/>
      <w:bookmarkStart w:id="485" w:name="_Toc9692"/>
      <w:bookmarkStart w:id="486" w:name="_Toc491089688"/>
      <w:r>
        <w:rPr>
          <w:rFonts w:hint="eastAsia"/>
          <w:color w:val="auto"/>
        </w:rPr>
        <w:t>8. 重新招标</w:t>
      </w:r>
      <w:bookmarkEnd w:id="475"/>
      <w:bookmarkEnd w:id="476"/>
      <w:bookmarkEnd w:id="477"/>
      <w:bookmarkEnd w:id="478"/>
      <w:bookmarkEnd w:id="479"/>
      <w:bookmarkEnd w:id="480"/>
      <w:bookmarkEnd w:id="481"/>
      <w:bookmarkEnd w:id="482"/>
      <w:bookmarkEnd w:id="483"/>
      <w:bookmarkEnd w:id="484"/>
      <w:r>
        <w:rPr>
          <w:rFonts w:hint="eastAsia"/>
          <w:color w:val="auto"/>
        </w:rPr>
        <w:t>、不再招标和终止招标</w:t>
      </w:r>
      <w:bookmarkEnd w:id="485"/>
      <w:bookmarkEnd w:id="486"/>
    </w:p>
    <w:p>
      <w:pPr>
        <w:pStyle w:val="87"/>
        <w:rPr>
          <w:rFonts w:hint="eastAsia" w:ascii="Times New Roman"/>
          <w:color w:val="auto"/>
        </w:rPr>
      </w:pPr>
      <w:bookmarkStart w:id="487" w:name="_Toc16678"/>
      <w:bookmarkStart w:id="488" w:name="_Toc491089689"/>
      <w:bookmarkStart w:id="489" w:name="_Toc144974540"/>
      <w:bookmarkStart w:id="490" w:name="_Toc494315161"/>
      <w:bookmarkStart w:id="491" w:name="_Toc152042348"/>
      <w:bookmarkStart w:id="492" w:name="_Toc152045572"/>
      <w:bookmarkStart w:id="493" w:name="_Toc179632590"/>
      <w:bookmarkStart w:id="494" w:name="_Toc221950225"/>
      <w:r>
        <w:rPr>
          <w:rFonts w:hint="eastAsia" w:ascii="Times New Roman"/>
          <w:color w:val="auto"/>
        </w:rPr>
        <w:t>8.1 重新招标</w:t>
      </w:r>
      <w:bookmarkEnd w:id="487"/>
      <w:bookmarkEnd w:id="488"/>
      <w:bookmarkEnd w:id="489"/>
      <w:bookmarkEnd w:id="490"/>
      <w:bookmarkEnd w:id="491"/>
      <w:bookmarkEnd w:id="492"/>
      <w:bookmarkEnd w:id="493"/>
    </w:p>
    <w:p>
      <w:pPr>
        <w:spacing w:line="360" w:lineRule="auto"/>
        <w:ind w:firstLine="420" w:firstLineChars="200"/>
        <w:rPr>
          <w:rFonts w:hint="eastAsia" w:ascii="宋体" w:hAnsi="宋体"/>
          <w:color w:val="auto"/>
          <w:szCs w:val="21"/>
        </w:rPr>
      </w:pPr>
      <w:r>
        <w:rPr>
          <w:rFonts w:hint="eastAsia" w:ascii="宋体" w:hAnsi="宋体"/>
          <w:color w:val="auto"/>
          <w:szCs w:val="21"/>
        </w:rPr>
        <w:t>有下列情形之一的，招标人将重新招标：</w:t>
      </w:r>
    </w:p>
    <w:p>
      <w:pPr>
        <w:spacing w:line="360" w:lineRule="auto"/>
        <w:ind w:firstLine="359" w:firstLineChars="171"/>
        <w:rPr>
          <w:rFonts w:hint="eastAsia" w:ascii="宋体" w:hAnsi="宋体"/>
          <w:color w:val="auto"/>
          <w:szCs w:val="21"/>
        </w:rPr>
      </w:pPr>
      <w:r>
        <w:rPr>
          <w:rFonts w:hint="eastAsia" w:ascii="宋体" w:hAnsi="宋体"/>
          <w:color w:val="auto"/>
          <w:szCs w:val="21"/>
        </w:rPr>
        <w:t>（1）投标截止时间止，投标人少于3个的；</w:t>
      </w:r>
    </w:p>
    <w:p>
      <w:pPr>
        <w:adjustRightInd w:val="0"/>
        <w:snapToGrid w:val="0"/>
        <w:spacing w:line="360" w:lineRule="auto"/>
        <w:ind w:firstLine="420" w:firstLineChars="200"/>
        <w:rPr>
          <w:rFonts w:hint="eastAsia"/>
          <w:color w:val="auto"/>
          <w:szCs w:val="21"/>
        </w:rPr>
      </w:pPr>
      <w:r>
        <w:rPr>
          <w:rFonts w:hint="eastAsia"/>
          <w:color w:val="auto"/>
          <w:szCs w:val="21"/>
        </w:rPr>
        <w:t>（2）经评标委员会评审后否决所有投标的；</w:t>
      </w:r>
    </w:p>
    <w:p>
      <w:pPr>
        <w:spacing w:line="360" w:lineRule="auto"/>
        <w:ind w:firstLine="359" w:firstLineChars="171"/>
        <w:rPr>
          <w:rFonts w:hint="eastAsia" w:ascii="宋体" w:hAnsi="宋体"/>
          <w:color w:val="auto"/>
          <w:szCs w:val="21"/>
        </w:rPr>
      </w:pPr>
      <w:r>
        <w:rPr>
          <w:rFonts w:hint="eastAsia" w:ascii="宋体" w:hAnsi="宋体"/>
          <w:color w:val="auto"/>
          <w:szCs w:val="21"/>
        </w:rPr>
        <w:t>（3）评标委员会否决不合格投标后因有效投标不足3个使得投标明显缺乏竞争，评标委员会决定否决全部投标的；</w:t>
      </w:r>
    </w:p>
    <w:p>
      <w:pPr>
        <w:spacing w:line="360" w:lineRule="auto"/>
        <w:ind w:firstLine="359" w:firstLineChars="171"/>
        <w:rPr>
          <w:rFonts w:hint="eastAsia" w:ascii="宋体" w:hAnsi="宋体"/>
          <w:color w:val="auto"/>
          <w:szCs w:val="21"/>
        </w:rPr>
      </w:pPr>
      <w:r>
        <w:rPr>
          <w:rFonts w:hint="eastAsia" w:ascii="宋体" w:hAnsi="宋体"/>
          <w:color w:val="auto"/>
          <w:szCs w:val="21"/>
        </w:rPr>
        <w:t>（4）除非已经产生了中标候选人，在投标有效期内同意延长投标有效期的投标人少于3个的；</w:t>
      </w:r>
    </w:p>
    <w:p>
      <w:pPr>
        <w:spacing w:line="360" w:lineRule="auto"/>
        <w:ind w:firstLine="359" w:firstLineChars="171"/>
        <w:rPr>
          <w:rFonts w:hint="eastAsia" w:ascii="宋体" w:hAnsi="宋体"/>
          <w:color w:val="auto"/>
          <w:szCs w:val="21"/>
        </w:rPr>
      </w:pPr>
      <w:r>
        <w:rPr>
          <w:rFonts w:hint="eastAsia" w:ascii="宋体" w:hAnsi="宋体"/>
          <w:color w:val="auto"/>
          <w:szCs w:val="21"/>
        </w:rPr>
        <w:t>（5）中标候选人均未与招标人签订合同的；</w:t>
      </w:r>
    </w:p>
    <w:p>
      <w:pPr>
        <w:spacing w:line="360" w:lineRule="auto"/>
        <w:ind w:firstLine="359" w:firstLineChars="171"/>
        <w:rPr>
          <w:rFonts w:hint="eastAsia"/>
          <w:color w:val="auto"/>
        </w:rPr>
      </w:pPr>
      <w:r>
        <w:rPr>
          <w:rFonts w:hint="eastAsia" w:ascii="宋体" w:hAnsi="宋体"/>
          <w:color w:val="auto"/>
          <w:szCs w:val="21"/>
        </w:rPr>
        <w:t>（6）</w:t>
      </w:r>
      <w:r>
        <w:rPr>
          <w:rFonts w:hint="eastAsia"/>
          <w:color w:val="auto"/>
        </w:rPr>
        <w:t>法律、法规规定的其他情形。</w:t>
      </w:r>
    </w:p>
    <w:p>
      <w:pPr>
        <w:pStyle w:val="87"/>
        <w:rPr>
          <w:rFonts w:hint="eastAsia" w:ascii="Times New Roman"/>
          <w:color w:val="auto"/>
        </w:rPr>
      </w:pPr>
      <w:bookmarkStart w:id="495" w:name="_Toc491089690"/>
      <w:bookmarkStart w:id="496" w:name="_Toc494315162"/>
      <w:bookmarkStart w:id="497" w:name="_Toc426495799"/>
      <w:bookmarkStart w:id="498" w:name="_Toc16360"/>
      <w:r>
        <w:rPr>
          <w:rFonts w:hint="eastAsia" w:ascii="Times New Roman"/>
          <w:color w:val="auto"/>
        </w:rPr>
        <w:t>8.2 不再招标</w:t>
      </w:r>
      <w:bookmarkEnd w:id="495"/>
      <w:bookmarkEnd w:id="496"/>
      <w:bookmarkEnd w:id="497"/>
      <w:bookmarkEnd w:id="498"/>
    </w:p>
    <w:p>
      <w:pPr>
        <w:spacing w:line="400" w:lineRule="exact"/>
        <w:ind w:firstLine="420" w:firstLineChars="200"/>
        <w:rPr>
          <w:rFonts w:hint="eastAsia"/>
          <w:color w:val="auto"/>
        </w:rPr>
      </w:pPr>
      <w:r>
        <w:rPr>
          <w:rFonts w:hint="eastAsia"/>
          <w:color w:val="auto"/>
        </w:rPr>
        <w:t>依法必须进行招标的项目提交投标文件的投标人少于3个的，招标人在分析招标失败的原因并采取相应措施后，应当依法重新招标。重新招标后投标人仍少于3个的，属于必须审批、核准的工程建设项目，报经原审批、核准部门审批、核准后可以不再进行招标。</w:t>
      </w:r>
    </w:p>
    <w:p>
      <w:pPr>
        <w:pStyle w:val="87"/>
        <w:rPr>
          <w:rFonts w:hint="eastAsia" w:ascii="Times New Roman"/>
          <w:color w:val="auto"/>
        </w:rPr>
      </w:pPr>
      <w:bookmarkStart w:id="499" w:name="_Toc18930"/>
      <w:bookmarkStart w:id="500" w:name="_Toc491089691"/>
      <w:bookmarkStart w:id="501" w:name="_Toc494315163"/>
      <w:bookmarkStart w:id="502" w:name="_Toc144974541"/>
      <w:bookmarkStart w:id="503" w:name="_Toc152042349"/>
      <w:bookmarkStart w:id="504" w:name="_Toc152045573"/>
      <w:bookmarkStart w:id="505" w:name="_Toc179632591"/>
      <w:r>
        <w:rPr>
          <w:rFonts w:hint="eastAsia" w:ascii="Times New Roman"/>
          <w:color w:val="auto"/>
        </w:rPr>
        <w:t>8.3 终止招标</w:t>
      </w:r>
      <w:bookmarkEnd w:id="499"/>
      <w:bookmarkEnd w:id="500"/>
      <w:bookmarkEnd w:id="501"/>
    </w:p>
    <w:p>
      <w:pPr>
        <w:spacing w:line="400" w:lineRule="exact"/>
        <w:ind w:firstLine="420" w:firstLineChars="200"/>
        <w:rPr>
          <w:rFonts w:hint="eastAsia"/>
          <w:color w:val="auto"/>
        </w:rPr>
      </w:pPr>
      <w:r>
        <w:rPr>
          <w:rFonts w:hint="eastAsia"/>
          <w:color w:val="auto"/>
        </w:rPr>
        <w:t>因不可抗力等原因，招标人终止招标的，将通过“电子交易平台”及时发布公告，或者以书面形式通知被邀请的或者已经获取招标文件的潜在投标人。已经收取投标保证金的，招标人将及时退还所收取的投标保证金及银行同期存款利息。</w:t>
      </w:r>
      <w:bookmarkEnd w:id="494"/>
      <w:bookmarkEnd w:id="502"/>
      <w:bookmarkEnd w:id="503"/>
      <w:bookmarkEnd w:id="504"/>
      <w:bookmarkEnd w:id="505"/>
    </w:p>
    <w:p>
      <w:pPr>
        <w:pStyle w:val="80"/>
        <w:spacing w:before="120" w:after="156" w:afterLines="50"/>
        <w:rPr>
          <w:rFonts w:hint="eastAsia"/>
          <w:color w:val="auto"/>
        </w:rPr>
      </w:pPr>
      <w:bookmarkStart w:id="506" w:name="_Toc168475689"/>
      <w:bookmarkStart w:id="507" w:name="_Toc168476092"/>
      <w:bookmarkStart w:id="508" w:name="_Toc144974542"/>
      <w:bookmarkStart w:id="509" w:name="_Toc222030991"/>
      <w:bookmarkStart w:id="510" w:name="_Toc222029489"/>
      <w:bookmarkStart w:id="511" w:name="_Toc222033840"/>
      <w:bookmarkStart w:id="512" w:name="_Toc491089692"/>
      <w:bookmarkStart w:id="513" w:name="_Toc387753560"/>
      <w:bookmarkStart w:id="514" w:name="_Toc221950226"/>
      <w:bookmarkStart w:id="515" w:name="_Toc229305349"/>
      <w:bookmarkStart w:id="516" w:name="_Toc28758"/>
      <w:bookmarkStart w:id="517" w:name="_Toc222032658"/>
      <w:r>
        <w:rPr>
          <w:rFonts w:hint="eastAsia"/>
          <w:color w:val="auto"/>
        </w:rPr>
        <w:t>9. 纪律和监督</w:t>
      </w:r>
      <w:bookmarkEnd w:id="506"/>
      <w:bookmarkEnd w:id="507"/>
      <w:bookmarkEnd w:id="508"/>
      <w:bookmarkEnd w:id="509"/>
      <w:bookmarkEnd w:id="510"/>
      <w:bookmarkEnd w:id="511"/>
      <w:bookmarkEnd w:id="512"/>
      <w:bookmarkEnd w:id="513"/>
      <w:bookmarkEnd w:id="514"/>
      <w:bookmarkEnd w:id="515"/>
      <w:bookmarkEnd w:id="516"/>
      <w:bookmarkEnd w:id="517"/>
    </w:p>
    <w:p>
      <w:pPr>
        <w:pStyle w:val="87"/>
        <w:rPr>
          <w:rFonts w:hint="eastAsia" w:ascii="Times New Roman"/>
          <w:color w:val="auto"/>
        </w:rPr>
      </w:pPr>
      <w:bookmarkStart w:id="518" w:name="_Toc26961"/>
      <w:bookmarkStart w:id="519" w:name="_Toc491089693"/>
      <w:bookmarkStart w:id="520" w:name="_Toc494315165"/>
      <w:bookmarkStart w:id="521" w:name="_Toc152042351"/>
      <w:bookmarkStart w:id="522" w:name="_Toc144974543"/>
      <w:bookmarkStart w:id="523" w:name="_Toc152045575"/>
      <w:bookmarkStart w:id="524" w:name="_Toc179632593"/>
      <w:r>
        <w:rPr>
          <w:rFonts w:hint="eastAsia" w:ascii="Times New Roman"/>
          <w:color w:val="auto"/>
        </w:rPr>
        <w:t>9.1 对招标人的纪律要求</w:t>
      </w:r>
      <w:bookmarkEnd w:id="518"/>
      <w:bookmarkEnd w:id="519"/>
      <w:bookmarkEnd w:id="520"/>
      <w:bookmarkEnd w:id="521"/>
      <w:bookmarkEnd w:id="522"/>
      <w:bookmarkEnd w:id="523"/>
      <w:bookmarkEnd w:id="524"/>
    </w:p>
    <w:p>
      <w:pPr>
        <w:spacing w:line="360" w:lineRule="auto"/>
        <w:ind w:firstLine="420" w:firstLineChars="200"/>
        <w:rPr>
          <w:rFonts w:hint="eastAsia" w:ascii="宋体" w:hAnsi="宋体"/>
          <w:color w:val="auto"/>
          <w:szCs w:val="21"/>
        </w:rPr>
      </w:pPr>
      <w:r>
        <w:rPr>
          <w:rFonts w:hint="eastAsia" w:ascii="宋体" w:hAnsi="宋体"/>
          <w:color w:val="auto"/>
          <w:szCs w:val="21"/>
        </w:rPr>
        <w:t>招标人不得泄漏招标投标活动中应当保密的情况和资料，不得与投标人串通损害国家利益、社会公共利益或者他人合法权益。</w:t>
      </w:r>
    </w:p>
    <w:p>
      <w:pPr>
        <w:spacing w:line="360" w:lineRule="auto"/>
        <w:ind w:firstLine="420" w:firstLineChars="200"/>
        <w:rPr>
          <w:rFonts w:hint="eastAsia" w:ascii="宋体" w:hAnsi="宋体"/>
          <w:color w:val="auto"/>
          <w:szCs w:val="21"/>
        </w:rPr>
      </w:pPr>
      <w:r>
        <w:rPr>
          <w:rFonts w:hint="eastAsia" w:ascii="宋体" w:hAnsi="宋体"/>
          <w:color w:val="auto"/>
          <w:szCs w:val="21"/>
        </w:rPr>
        <w:t>9.1.1有下列情形之一的，属于招标人与投标人串通投标：</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招标人在开标前开启投标文件并将有关信息泄露给其他投标人；</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招标人直接或者间接向投标人泄露标底、评标委员会成员等信息；</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招标人明示或者暗示投标人压低或者抬高投标报价；</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招标人授意投标人撤换、修改投标文件；</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招标人明示或者暗示投标人为特定投标人中标提供方便；</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 xml:space="preserve">发现不同投标人的法定代表人、项目负责人属于同一单位，仍同意其继续参加投标； </w:t>
      </w:r>
    </w:p>
    <w:p>
      <w:pPr>
        <w:numPr>
          <w:ilvl w:val="0"/>
          <w:numId w:val="1"/>
        </w:numPr>
        <w:spacing w:line="360" w:lineRule="auto"/>
        <w:ind w:firstLine="420" w:firstLineChars="200"/>
        <w:rPr>
          <w:rFonts w:hint="eastAsia" w:ascii="宋体" w:hAnsi="宋体"/>
          <w:color w:val="auto"/>
          <w:szCs w:val="21"/>
        </w:rPr>
      </w:pPr>
      <w:r>
        <w:rPr>
          <w:rFonts w:hint="eastAsia" w:ascii="宋体" w:hAnsi="宋体"/>
          <w:color w:val="auto"/>
          <w:szCs w:val="21"/>
        </w:rPr>
        <w:t>招标人与投标人为谋求特定投标人中标而采取的其他串通行为。</w:t>
      </w:r>
    </w:p>
    <w:p>
      <w:pPr>
        <w:spacing w:line="360" w:lineRule="auto"/>
        <w:ind w:firstLine="420" w:firstLineChars="200"/>
        <w:rPr>
          <w:rFonts w:hint="eastAsia" w:ascii="宋体" w:hAnsi="宋体"/>
          <w:color w:val="auto"/>
          <w:szCs w:val="21"/>
        </w:rPr>
      </w:pPr>
      <w:r>
        <w:rPr>
          <w:rFonts w:hint="eastAsia" w:ascii="宋体" w:hAnsi="宋体"/>
          <w:color w:val="auto"/>
          <w:szCs w:val="21"/>
        </w:rPr>
        <w:t>9.1.2 有下列情形之一的，视为招标人与投标人串通投标：</w:t>
      </w:r>
    </w:p>
    <w:p>
      <w:pPr>
        <w:spacing w:line="360" w:lineRule="auto"/>
        <w:ind w:firstLine="420" w:firstLineChars="200"/>
        <w:rPr>
          <w:rFonts w:hint="eastAsia" w:ascii="宋体" w:hAnsi="宋体"/>
          <w:color w:val="auto"/>
          <w:szCs w:val="21"/>
        </w:rPr>
      </w:pPr>
      <w:r>
        <w:rPr>
          <w:rFonts w:hint="eastAsia" w:ascii="宋体" w:hAnsi="宋体"/>
          <w:color w:val="auto"/>
          <w:szCs w:val="21"/>
        </w:rPr>
        <w:t>（1）投标截止后，向特定投标人泄露其他投标人投标文件内容或者其他应当保密的内容；</w:t>
      </w:r>
    </w:p>
    <w:p>
      <w:pPr>
        <w:spacing w:line="360" w:lineRule="auto"/>
        <w:ind w:firstLine="420" w:firstLineChars="200"/>
        <w:rPr>
          <w:rFonts w:hint="eastAsia" w:ascii="宋体" w:hAnsi="宋体"/>
          <w:color w:val="auto"/>
          <w:szCs w:val="21"/>
        </w:rPr>
      </w:pPr>
      <w:r>
        <w:rPr>
          <w:rFonts w:hint="eastAsia" w:ascii="宋体" w:hAnsi="宋体"/>
          <w:color w:val="auto"/>
          <w:szCs w:val="21"/>
        </w:rPr>
        <w:t>（2）以胁迫、劝退、利诱等方式，使特定投标人以外的其他投标人放弃投标或者使中标人放弃中标；</w:t>
      </w:r>
    </w:p>
    <w:p>
      <w:pPr>
        <w:spacing w:line="360" w:lineRule="auto"/>
        <w:ind w:firstLine="420" w:firstLineChars="200"/>
        <w:rPr>
          <w:rFonts w:hint="eastAsia" w:ascii="宋体" w:hAnsi="宋体"/>
          <w:color w:val="auto"/>
          <w:szCs w:val="21"/>
        </w:rPr>
      </w:pPr>
      <w:r>
        <w:rPr>
          <w:rFonts w:hint="eastAsia" w:ascii="宋体" w:hAnsi="宋体"/>
          <w:color w:val="auto"/>
          <w:szCs w:val="21"/>
        </w:rPr>
        <w:t>（3）招标人编制的招标公告、资格审查文件、招标文件等设有明显倾向性条款；</w:t>
      </w:r>
    </w:p>
    <w:p>
      <w:pPr>
        <w:spacing w:line="360" w:lineRule="auto"/>
        <w:ind w:firstLine="420" w:firstLineChars="200"/>
        <w:rPr>
          <w:rFonts w:hint="eastAsia" w:ascii="宋体" w:hAnsi="宋体"/>
          <w:color w:val="auto"/>
          <w:szCs w:val="21"/>
        </w:rPr>
      </w:pPr>
      <w:r>
        <w:rPr>
          <w:rFonts w:hint="eastAsia" w:ascii="宋体" w:hAnsi="宋体"/>
          <w:color w:val="auto"/>
          <w:szCs w:val="21"/>
        </w:rPr>
        <w:t>（4）有证据证明的其他串通投标行为。</w:t>
      </w:r>
    </w:p>
    <w:p>
      <w:pPr>
        <w:pStyle w:val="87"/>
        <w:rPr>
          <w:rFonts w:hint="eastAsia" w:ascii="Times New Roman"/>
          <w:color w:val="auto"/>
        </w:rPr>
      </w:pPr>
      <w:bookmarkStart w:id="525" w:name="_Toc494315166"/>
      <w:bookmarkStart w:id="526" w:name="_Toc491089694"/>
      <w:bookmarkStart w:id="527" w:name="_Toc19674"/>
      <w:r>
        <w:rPr>
          <w:rFonts w:hint="eastAsia" w:ascii="Times New Roman"/>
          <w:color w:val="auto"/>
        </w:rPr>
        <w:t>9.2 对投标人的纪律要求</w:t>
      </w:r>
      <w:bookmarkEnd w:id="525"/>
      <w:bookmarkEnd w:id="526"/>
      <w:bookmarkEnd w:id="527"/>
    </w:p>
    <w:p>
      <w:pPr>
        <w:spacing w:line="360" w:lineRule="auto"/>
        <w:ind w:firstLine="420" w:firstLineChars="200"/>
        <w:rPr>
          <w:rFonts w:hint="eastAsia" w:ascii="宋体" w:hAnsi="宋体"/>
          <w:color w:val="auto"/>
          <w:szCs w:val="21"/>
        </w:rPr>
      </w:pPr>
      <w:r>
        <w:rPr>
          <w:rFonts w:hint="eastAsia" w:ascii="宋体" w:hAnsi="宋体"/>
          <w:color w:val="auto"/>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360" w:lineRule="auto"/>
        <w:ind w:firstLine="420" w:firstLineChars="200"/>
        <w:rPr>
          <w:rFonts w:hint="eastAsia" w:ascii="宋体" w:hAnsi="宋体"/>
          <w:color w:val="auto"/>
          <w:szCs w:val="21"/>
        </w:rPr>
      </w:pPr>
      <w:r>
        <w:rPr>
          <w:rFonts w:hint="eastAsia" w:ascii="宋体" w:hAnsi="宋体"/>
          <w:color w:val="auto"/>
          <w:szCs w:val="21"/>
        </w:rPr>
        <w:t>9.2</w:t>
      </w:r>
      <w:bookmarkStart w:id="528" w:name="_Toc221950237"/>
      <w:r>
        <w:rPr>
          <w:rFonts w:hint="eastAsia" w:ascii="宋体" w:hAnsi="宋体"/>
          <w:color w:val="auto"/>
          <w:szCs w:val="21"/>
        </w:rPr>
        <w:t>.1下列行为均属以他人名义投标：</w:t>
      </w:r>
    </w:p>
    <w:p>
      <w:pPr>
        <w:spacing w:line="360" w:lineRule="auto"/>
        <w:ind w:firstLine="420" w:firstLineChars="200"/>
        <w:rPr>
          <w:rFonts w:hint="eastAsia" w:ascii="宋体" w:hAnsi="宋体"/>
          <w:color w:val="auto"/>
          <w:szCs w:val="21"/>
        </w:rPr>
      </w:pPr>
      <w:r>
        <w:rPr>
          <w:rFonts w:hint="eastAsia" w:ascii="宋体" w:hAnsi="宋体"/>
          <w:color w:val="auto"/>
          <w:szCs w:val="21"/>
        </w:rPr>
        <w:t>（1）投标人挂靠其他施工单位；</w:t>
      </w:r>
    </w:p>
    <w:p>
      <w:pPr>
        <w:spacing w:line="360" w:lineRule="auto"/>
        <w:ind w:firstLine="420" w:firstLineChars="200"/>
        <w:rPr>
          <w:rFonts w:hint="eastAsia" w:ascii="宋体" w:hAnsi="宋体"/>
          <w:color w:val="auto"/>
          <w:szCs w:val="21"/>
        </w:rPr>
      </w:pPr>
      <w:r>
        <w:rPr>
          <w:rFonts w:hint="eastAsia" w:ascii="宋体" w:hAnsi="宋体"/>
          <w:color w:val="auto"/>
          <w:szCs w:val="21"/>
        </w:rPr>
        <w:t>（2）投标人从其他施工单位通过转让或租借的方式获取资格或资质证书；</w:t>
      </w:r>
    </w:p>
    <w:p>
      <w:pPr>
        <w:spacing w:line="360" w:lineRule="auto"/>
        <w:ind w:firstLine="420" w:firstLineChars="200"/>
        <w:rPr>
          <w:rFonts w:hint="eastAsia" w:ascii="宋体" w:hAnsi="宋体"/>
          <w:color w:val="auto"/>
          <w:szCs w:val="21"/>
        </w:rPr>
      </w:pPr>
      <w:r>
        <w:rPr>
          <w:rFonts w:hint="eastAsia" w:ascii="宋体" w:hAnsi="宋体"/>
          <w:color w:val="auto"/>
          <w:szCs w:val="21"/>
        </w:rPr>
        <w:t>（3）由其他单位及法定代表人在自己编制的投标文件上加盖印章或签字的行为。</w:t>
      </w:r>
      <w:bookmarkEnd w:id="528"/>
    </w:p>
    <w:p>
      <w:pPr>
        <w:spacing w:line="360" w:lineRule="auto"/>
        <w:ind w:firstLine="420" w:firstLineChars="200"/>
        <w:rPr>
          <w:rFonts w:hint="eastAsia" w:ascii="宋体" w:hAnsi="宋体"/>
          <w:color w:val="auto"/>
          <w:szCs w:val="21"/>
        </w:rPr>
      </w:pPr>
      <w:bookmarkStart w:id="529" w:name="_Toc221950238"/>
      <w:r>
        <w:rPr>
          <w:rFonts w:hint="eastAsia" w:ascii="宋体" w:hAnsi="宋体"/>
          <w:color w:val="auto"/>
          <w:szCs w:val="21"/>
        </w:rPr>
        <w:t>9.2.2下列行为，视为允许他人以本单位名义承揽工程：</w:t>
      </w:r>
      <w:bookmarkEnd w:id="529"/>
    </w:p>
    <w:p>
      <w:pPr>
        <w:spacing w:line="360" w:lineRule="auto"/>
        <w:ind w:firstLine="420" w:firstLineChars="200"/>
        <w:rPr>
          <w:rFonts w:hint="eastAsia" w:ascii="宋体" w:hAnsi="宋体"/>
          <w:color w:val="auto"/>
          <w:szCs w:val="21"/>
        </w:rPr>
      </w:pPr>
      <w:bookmarkStart w:id="530" w:name="_Toc221950239"/>
      <w:r>
        <w:rPr>
          <w:rFonts w:hint="eastAsia" w:ascii="宋体" w:hAnsi="宋体"/>
          <w:color w:val="auto"/>
          <w:szCs w:val="21"/>
        </w:rPr>
        <w:t>（1）投标人的法定代表人的委托代理人不是投标人本单位人员；</w:t>
      </w:r>
      <w:bookmarkEnd w:id="530"/>
    </w:p>
    <w:p>
      <w:pPr>
        <w:spacing w:line="360" w:lineRule="auto"/>
        <w:ind w:firstLine="420" w:firstLineChars="200"/>
        <w:rPr>
          <w:rFonts w:hint="eastAsia" w:ascii="宋体" w:hAnsi="宋体"/>
          <w:color w:val="auto"/>
          <w:szCs w:val="21"/>
        </w:rPr>
      </w:pPr>
      <w:bookmarkStart w:id="531" w:name="_Toc221950240"/>
      <w:r>
        <w:rPr>
          <w:rFonts w:hint="eastAsia" w:ascii="宋体" w:hAnsi="宋体"/>
          <w:color w:val="auto"/>
          <w:szCs w:val="21"/>
        </w:rPr>
        <w:t>（2）投标人拟在施工现场所设项目管理机构的项目经理、技术负责人等主要管理人员不是本单位人员。</w:t>
      </w:r>
      <w:bookmarkEnd w:id="531"/>
    </w:p>
    <w:p>
      <w:pPr>
        <w:spacing w:line="360" w:lineRule="auto"/>
        <w:ind w:firstLine="420" w:firstLineChars="200"/>
        <w:rPr>
          <w:rFonts w:hint="eastAsia" w:ascii="宋体" w:hAnsi="宋体"/>
          <w:color w:val="auto"/>
          <w:szCs w:val="21"/>
        </w:rPr>
      </w:pPr>
      <w:bookmarkStart w:id="532" w:name="_Toc221950241"/>
      <w:r>
        <w:rPr>
          <w:rFonts w:hint="eastAsia" w:ascii="宋体" w:hAnsi="宋体"/>
          <w:color w:val="auto"/>
          <w:szCs w:val="21"/>
        </w:rPr>
        <w:t>投标人本单位人员，必须同时满足以下条件：</w:t>
      </w:r>
      <w:bookmarkEnd w:id="532"/>
    </w:p>
    <w:p>
      <w:pPr>
        <w:spacing w:line="360" w:lineRule="auto"/>
        <w:ind w:firstLine="420" w:firstLineChars="200"/>
        <w:rPr>
          <w:rFonts w:hint="eastAsia" w:ascii="宋体" w:hAnsi="宋体"/>
          <w:color w:val="auto"/>
          <w:szCs w:val="21"/>
        </w:rPr>
      </w:pPr>
      <w:bookmarkStart w:id="533" w:name="_Toc221950242"/>
      <w:r>
        <w:rPr>
          <w:rFonts w:hint="eastAsia" w:ascii="宋体" w:hAnsi="宋体"/>
          <w:color w:val="auto"/>
          <w:szCs w:val="21"/>
        </w:rPr>
        <w:t>（1）聘任合同必须由投标人单位与之签订；</w:t>
      </w:r>
      <w:bookmarkEnd w:id="533"/>
    </w:p>
    <w:p>
      <w:pPr>
        <w:spacing w:line="360" w:lineRule="auto"/>
        <w:ind w:firstLine="420" w:firstLineChars="200"/>
        <w:rPr>
          <w:rFonts w:hint="eastAsia" w:ascii="宋体" w:hAnsi="宋体"/>
          <w:color w:val="auto"/>
          <w:szCs w:val="21"/>
        </w:rPr>
      </w:pPr>
      <w:bookmarkStart w:id="534" w:name="_Toc221950243"/>
      <w:r>
        <w:rPr>
          <w:rFonts w:hint="eastAsia" w:ascii="宋体" w:hAnsi="宋体"/>
          <w:color w:val="auto"/>
          <w:szCs w:val="21"/>
        </w:rPr>
        <w:t>（2）与投标人单位有合法的工资关系；</w:t>
      </w:r>
      <w:bookmarkEnd w:id="534"/>
    </w:p>
    <w:p>
      <w:pPr>
        <w:spacing w:line="360" w:lineRule="auto"/>
        <w:ind w:firstLine="420" w:firstLineChars="200"/>
        <w:rPr>
          <w:rFonts w:hint="eastAsia" w:ascii="宋体" w:hAnsi="宋体"/>
          <w:color w:val="auto"/>
          <w:szCs w:val="21"/>
        </w:rPr>
      </w:pPr>
      <w:bookmarkStart w:id="535" w:name="_Toc221950244"/>
      <w:r>
        <w:rPr>
          <w:rFonts w:hint="eastAsia" w:ascii="宋体" w:hAnsi="宋体"/>
          <w:color w:val="auto"/>
          <w:szCs w:val="21"/>
        </w:rPr>
        <w:t>（3）投标人单位为其办理社会保险关系，或具有其他有效证明其为本单位人员身份的文件。</w:t>
      </w:r>
      <w:bookmarkEnd w:id="535"/>
    </w:p>
    <w:p>
      <w:pPr>
        <w:spacing w:line="360" w:lineRule="auto"/>
        <w:ind w:firstLine="420" w:firstLineChars="200"/>
        <w:rPr>
          <w:rFonts w:hint="eastAsia" w:ascii="宋体" w:hAnsi="宋体"/>
          <w:color w:val="auto"/>
          <w:szCs w:val="21"/>
        </w:rPr>
      </w:pPr>
      <w:bookmarkStart w:id="536" w:name="_Toc179632595"/>
      <w:bookmarkStart w:id="537" w:name="_Toc144974545"/>
      <w:bookmarkStart w:id="538" w:name="_Toc152042353"/>
      <w:bookmarkStart w:id="539" w:name="_Toc152045577"/>
      <w:r>
        <w:rPr>
          <w:rFonts w:hint="eastAsia" w:ascii="宋体" w:hAnsi="宋体"/>
          <w:color w:val="auto"/>
          <w:szCs w:val="21"/>
        </w:rPr>
        <w:t>9.2.3有下列情形之一的，属于投标人相互串通投标：</w:t>
      </w:r>
    </w:p>
    <w:p>
      <w:pPr>
        <w:spacing w:line="360" w:lineRule="auto"/>
        <w:ind w:firstLine="420" w:firstLineChars="200"/>
        <w:rPr>
          <w:rFonts w:hint="eastAsia" w:ascii="宋体" w:hAnsi="宋体"/>
          <w:color w:val="auto"/>
          <w:szCs w:val="21"/>
        </w:rPr>
      </w:pPr>
      <w:r>
        <w:rPr>
          <w:rFonts w:hint="eastAsia" w:ascii="宋体" w:hAnsi="宋体"/>
          <w:color w:val="auto"/>
          <w:szCs w:val="21"/>
        </w:rPr>
        <w:t>（1）投标人之间协商投标报价等投标文件的实质性内容；</w:t>
      </w:r>
    </w:p>
    <w:p>
      <w:pPr>
        <w:spacing w:line="360" w:lineRule="auto"/>
        <w:ind w:firstLine="420" w:firstLineChars="200"/>
        <w:rPr>
          <w:rFonts w:hint="eastAsia" w:ascii="宋体" w:hAnsi="宋体"/>
          <w:color w:val="auto"/>
          <w:szCs w:val="21"/>
        </w:rPr>
      </w:pPr>
      <w:r>
        <w:rPr>
          <w:rFonts w:hint="eastAsia" w:ascii="宋体" w:hAnsi="宋体"/>
          <w:color w:val="auto"/>
          <w:szCs w:val="21"/>
        </w:rPr>
        <w:t>（2）投标人之间约定中标人；</w:t>
      </w:r>
    </w:p>
    <w:p>
      <w:pPr>
        <w:spacing w:line="360" w:lineRule="auto"/>
        <w:ind w:firstLine="420" w:firstLineChars="200"/>
        <w:rPr>
          <w:rFonts w:hint="eastAsia" w:ascii="宋体" w:hAnsi="宋体"/>
          <w:color w:val="auto"/>
          <w:szCs w:val="21"/>
        </w:rPr>
      </w:pPr>
      <w:r>
        <w:rPr>
          <w:rFonts w:hint="eastAsia" w:ascii="宋体" w:hAnsi="宋体"/>
          <w:color w:val="auto"/>
          <w:szCs w:val="21"/>
        </w:rPr>
        <w:t>（3）投标人之间约定部分投标人放弃投标或者中标；</w:t>
      </w:r>
    </w:p>
    <w:p>
      <w:pPr>
        <w:spacing w:line="360" w:lineRule="auto"/>
        <w:ind w:firstLine="420" w:firstLineChars="200"/>
        <w:rPr>
          <w:rFonts w:hint="eastAsia" w:ascii="宋体" w:hAnsi="宋体"/>
          <w:color w:val="auto"/>
          <w:szCs w:val="21"/>
        </w:rPr>
      </w:pPr>
      <w:r>
        <w:rPr>
          <w:rFonts w:hint="eastAsia" w:ascii="宋体" w:hAnsi="宋体"/>
          <w:color w:val="auto"/>
          <w:szCs w:val="21"/>
        </w:rPr>
        <w:t>（4）属于同一集团、协会、商会等组织成员的投标人按照该组织要求协同投标；</w:t>
      </w:r>
    </w:p>
    <w:p>
      <w:pPr>
        <w:spacing w:line="360" w:lineRule="auto"/>
        <w:ind w:firstLine="420" w:firstLineChars="200"/>
        <w:rPr>
          <w:rFonts w:hint="eastAsia" w:ascii="宋体" w:hAnsi="宋体"/>
          <w:color w:val="auto"/>
          <w:szCs w:val="21"/>
        </w:rPr>
      </w:pPr>
      <w:r>
        <w:rPr>
          <w:rFonts w:hint="eastAsia" w:ascii="宋体" w:hAnsi="宋体"/>
          <w:color w:val="auto"/>
          <w:szCs w:val="21"/>
        </w:rPr>
        <w:t>（5）投标人之间为谋取中标或者排斥特定投标人而采取的其他联合行动。</w:t>
      </w:r>
    </w:p>
    <w:p>
      <w:pPr>
        <w:spacing w:line="360" w:lineRule="auto"/>
        <w:ind w:firstLine="420" w:firstLineChars="200"/>
        <w:rPr>
          <w:rFonts w:hint="eastAsia"/>
          <w:color w:val="auto"/>
        </w:rPr>
      </w:pPr>
      <w:r>
        <w:rPr>
          <w:rFonts w:hint="eastAsia" w:ascii="宋体" w:hAnsi="宋体"/>
          <w:color w:val="auto"/>
          <w:szCs w:val="21"/>
        </w:rPr>
        <w:t>9.2.4</w:t>
      </w:r>
      <w:r>
        <w:rPr>
          <w:rFonts w:hint="eastAsia"/>
          <w:color w:val="auto"/>
        </w:rPr>
        <w:t>有下列情形之一的，视为投标人相互串通投标：</w:t>
      </w:r>
    </w:p>
    <w:p>
      <w:pPr>
        <w:spacing w:line="360" w:lineRule="auto"/>
        <w:ind w:firstLine="420" w:firstLineChars="200"/>
        <w:rPr>
          <w:rFonts w:hint="eastAsia"/>
          <w:color w:val="auto"/>
        </w:rPr>
      </w:pPr>
      <w:r>
        <w:rPr>
          <w:rFonts w:hint="eastAsia" w:ascii="宋体" w:hAnsi="宋体"/>
          <w:color w:val="auto"/>
          <w:szCs w:val="21"/>
        </w:rPr>
        <w:t>（1）</w:t>
      </w:r>
      <w:r>
        <w:rPr>
          <w:rFonts w:hint="eastAsia"/>
          <w:color w:val="auto"/>
        </w:rPr>
        <w:t>不同投标人的投标文件由同一单位或者个人编制；</w:t>
      </w:r>
    </w:p>
    <w:p>
      <w:pPr>
        <w:spacing w:line="360" w:lineRule="auto"/>
        <w:ind w:firstLine="420" w:firstLineChars="200"/>
        <w:rPr>
          <w:rFonts w:hint="eastAsia"/>
          <w:color w:val="auto"/>
        </w:rPr>
      </w:pPr>
      <w:r>
        <w:rPr>
          <w:rFonts w:hint="eastAsia" w:ascii="宋体" w:hAnsi="宋体"/>
          <w:color w:val="auto"/>
          <w:szCs w:val="21"/>
        </w:rPr>
        <w:t>（2）</w:t>
      </w:r>
      <w:r>
        <w:rPr>
          <w:rFonts w:hint="eastAsia"/>
          <w:color w:val="auto"/>
        </w:rPr>
        <w:t>不同投标人委托同一单位或者个人办理投标事宜；</w:t>
      </w:r>
    </w:p>
    <w:p>
      <w:pPr>
        <w:spacing w:line="360" w:lineRule="auto"/>
        <w:ind w:firstLine="420" w:firstLineChars="200"/>
        <w:rPr>
          <w:rFonts w:hint="eastAsia"/>
          <w:color w:val="auto"/>
        </w:rPr>
      </w:pPr>
      <w:r>
        <w:rPr>
          <w:rFonts w:hint="eastAsia" w:ascii="宋体" w:hAnsi="宋体"/>
          <w:color w:val="auto"/>
          <w:szCs w:val="21"/>
        </w:rPr>
        <w:t>（3）</w:t>
      </w:r>
      <w:r>
        <w:rPr>
          <w:rFonts w:hint="eastAsia"/>
          <w:color w:val="auto"/>
        </w:rPr>
        <w:t>不同投标人的投标文件载明的项目管理成员为同一人；</w:t>
      </w:r>
    </w:p>
    <w:p>
      <w:pPr>
        <w:spacing w:line="360" w:lineRule="auto"/>
        <w:ind w:firstLine="420" w:firstLineChars="200"/>
        <w:rPr>
          <w:rFonts w:hint="eastAsia"/>
          <w:color w:val="auto"/>
        </w:rPr>
      </w:pPr>
      <w:r>
        <w:rPr>
          <w:rFonts w:hint="eastAsia" w:ascii="宋体" w:hAnsi="宋体"/>
          <w:color w:val="auto"/>
          <w:szCs w:val="21"/>
        </w:rPr>
        <w:t>（4）</w:t>
      </w:r>
      <w:r>
        <w:rPr>
          <w:rFonts w:hint="eastAsia"/>
          <w:color w:val="auto"/>
        </w:rPr>
        <w:t>不同投标人的投标文件异常一致或者投标报价呈规律性差异；</w:t>
      </w:r>
    </w:p>
    <w:p>
      <w:pPr>
        <w:spacing w:line="360" w:lineRule="auto"/>
        <w:ind w:firstLine="420" w:firstLineChars="200"/>
        <w:rPr>
          <w:rFonts w:hint="eastAsia"/>
          <w:color w:val="auto"/>
        </w:rPr>
      </w:pPr>
      <w:r>
        <w:rPr>
          <w:rFonts w:hint="eastAsia" w:ascii="宋体" w:hAnsi="宋体"/>
          <w:color w:val="auto"/>
          <w:szCs w:val="21"/>
        </w:rPr>
        <w:t>（5）</w:t>
      </w:r>
      <w:r>
        <w:rPr>
          <w:rFonts w:hint="eastAsia"/>
          <w:color w:val="auto"/>
        </w:rPr>
        <w:t>不同投标人的投标文件相互混装；</w:t>
      </w:r>
    </w:p>
    <w:p>
      <w:pPr>
        <w:spacing w:line="360" w:lineRule="auto"/>
        <w:ind w:firstLine="420" w:firstLineChars="200"/>
        <w:rPr>
          <w:rFonts w:hint="eastAsia"/>
          <w:color w:val="auto"/>
        </w:rPr>
      </w:pPr>
      <w:r>
        <w:rPr>
          <w:rFonts w:hint="eastAsia" w:ascii="宋体" w:hAnsi="宋体"/>
          <w:color w:val="auto"/>
          <w:szCs w:val="21"/>
        </w:rPr>
        <w:t>（6）</w:t>
      </w:r>
      <w:r>
        <w:rPr>
          <w:rFonts w:hint="eastAsia"/>
          <w:color w:val="auto"/>
        </w:rPr>
        <w:t>不同投标人的投标保证金从同一单位或者个人的账户转出；</w:t>
      </w:r>
    </w:p>
    <w:p>
      <w:pPr>
        <w:spacing w:line="360" w:lineRule="auto"/>
        <w:ind w:firstLine="420" w:firstLineChars="200"/>
        <w:rPr>
          <w:rFonts w:hint="eastAsia"/>
          <w:color w:val="auto"/>
        </w:rPr>
      </w:pPr>
      <w:r>
        <w:rPr>
          <w:rFonts w:hint="eastAsia"/>
          <w:color w:val="auto"/>
        </w:rPr>
        <w:t>（7）不同投标人的投标文件制作机器码一致；</w:t>
      </w:r>
    </w:p>
    <w:p>
      <w:pPr>
        <w:spacing w:line="360" w:lineRule="auto"/>
        <w:ind w:firstLine="420" w:firstLineChars="200"/>
        <w:rPr>
          <w:rFonts w:hint="eastAsia"/>
          <w:color w:val="auto"/>
        </w:rPr>
      </w:pPr>
      <w:r>
        <w:rPr>
          <w:rFonts w:hint="eastAsia"/>
          <w:color w:val="auto"/>
        </w:rPr>
        <w:t>（8）不同投标人的投标文件存在两处以上错误一致；</w:t>
      </w:r>
    </w:p>
    <w:p>
      <w:pPr>
        <w:spacing w:line="360" w:lineRule="auto"/>
        <w:ind w:firstLine="420" w:firstLineChars="200"/>
        <w:rPr>
          <w:color w:val="auto"/>
        </w:rPr>
      </w:pPr>
      <w:r>
        <w:rPr>
          <w:rFonts w:hint="eastAsia"/>
          <w:color w:val="auto"/>
        </w:rPr>
        <w:t>（9）有证据证明的其他串通投标行为。</w:t>
      </w:r>
    </w:p>
    <w:p>
      <w:pPr>
        <w:spacing w:line="360" w:lineRule="auto"/>
        <w:rPr>
          <w:rFonts w:hint="eastAsia"/>
          <w:color w:val="auto"/>
        </w:rPr>
      </w:pPr>
      <w:r>
        <w:rPr>
          <w:rFonts w:hint="eastAsia"/>
          <w:color w:val="auto"/>
        </w:rPr>
        <w:t xml:space="preserve">   </w:t>
      </w:r>
      <w:r>
        <w:rPr>
          <w:rFonts w:hint="eastAsia" w:ascii="宋体" w:hAnsi="宋体"/>
          <w:color w:val="auto"/>
          <w:szCs w:val="21"/>
        </w:rPr>
        <w:t xml:space="preserve"> 9.2.5</w:t>
      </w:r>
      <w:r>
        <w:rPr>
          <w:rFonts w:hint="eastAsia"/>
          <w:color w:val="auto"/>
        </w:rPr>
        <w:t>有下列情形之一的，属于弄虚作假行为：</w:t>
      </w:r>
    </w:p>
    <w:p>
      <w:pPr>
        <w:spacing w:line="360" w:lineRule="auto"/>
        <w:ind w:firstLine="420" w:firstLineChars="200"/>
        <w:rPr>
          <w:rFonts w:hint="eastAsia"/>
          <w:color w:val="auto"/>
        </w:rPr>
      </w:pPr>
      <w:r>
        <w:rPr>
          <w:rFonts w:hint="eastAsia" w:ascii="宋体" w:hAnsi="宋体"/>
          <w:color w:val="auto"/>
          <w:szCs w:val="21"/>
        </w:rPr>
        <w:t>（1）</w:t>
      </w:r>
      <w:r>
        <w:rPr>
          <w:rFonts w:hint="eastAsia"/>
          <w:color w:val="auto"/>
        </w:rPr>
        <w:t>使用伪造、变造的资质或许可证件；</w:t>
      </w:r>
    </w:p>
    <w:p>
      <w:pPr>
        <w:spacing w:line="360" w:lineRule="auto"/>
        <w:rPr>
          <w:rFonts w:hint="eastAsia"/>
          <w:color w:val="auto"/>
        </w:rPr>
      </w:pPr>
      <w:r>
        <w:rPr>
          <w:rFonts w:hint="eastAsia"/>
          <w:color w:val="auto"/>
        </w:rPr>
        <w:t xml:space="preserve">      </w:t>
      </w:r>
      <w:r>
        <w:rPr>
          <w:rFonts w:hint="eastAsia" w:ascii="宋体" w:hAnsi="宋体"/>
          <w:color w:val="auto"/>
          <w:szCs w:val="21"/>
        </w:rPr>
        <w:t>（2）</w:t>
      </w:r>
      <w:r>
        <w:rPr>
          <w:rFonts w:hint="eastAsia"/>
          <w:color w:val="auto"/>
        </w:rPr>
        <w:t>提供虚假的财务状况或荣誉或信用状况；</w:t>
      </w:r>
    </w:p>
    <w:p>
      <w:pPr>
        <w:spacing w:line="360" w:lineRule="auto"/>
        <w:rPr>
          <w:rFonts w:hint="eastAsia"/>
          <w:color w:val="auto"/>
        </w:rPr>
      </w:pPr>
      <w:r>
        <w:rPr>
          <w:rFonts w:hint="eastAsia"/>
          <w:color w:val="auto"/>
        </w:rPr>
        <w:t xml:space="preserve">      </w:t>
      </w:r>
      <w:r>
        <w:rPr>
          <w:rFonts w:hint="eastAsia" w:ascii="宋体" w:hAnsi="宋体"/>
          <w:color w:val="auto"/>
          <w:szCs w:val="21"/>
        </w:rPr>
        <w:t>（3）</w:t>
      </w:r>
      <w:r>
        <w:rPr>
          <w:rFonts w:hint="eastAsia"/>
          <w:color w:val="auto"/>
        </w:rPr>
        <w:t>提供虚假的业绩信息或合同等证明材料；</w:t>
      </w:r>
    </w:p>
    <w:p>
      <w:pPr>
        <w:spacing w:line="360" w:lineRule="auto"/>
        <w:rPr>
          <w:rFonts w:hint="eastAsia"/>
          <w:color w:val="auto"/>
        </w:rPr>
      </w:pPr>
      <w:r>
        <w:rPr>
          <w:rFonts w:hint="eastAsia"/>
          <w:color w:val="auto"/>
        </w:rPr>
        <w:t xml:space="preserve">      </w:t>
      </w:r>
      <w:r>
        <w:rPr>
          <w:rFonts w:hint="eastAsia" w:ascii="宋体" w:hAnsi="宋体"/>
          <w:color w:val="auto"/>
          <w:szCs w:val="21"/>
        </w:rPr>
        <w:t>（4）</w:t>
      </w:r>
      <w:r>
        <w:rPr>
          <w:rFonts w:hint="eastAsia"/>
          <w:color w:val="auto"/>
        </w:rPr>
        <w:t>提供虚假的项目管理机构人员简历、劳动关系证明、社保证明等；</w:t>
      </w:r>
    </w:p>
    <w:p>
      <w:pPr>
        <w:spacing w:line="360" w:lineRule="auto"/>
        <w:rPr>
          <w:rFonts w:hint="eastAsia"/>
          <w:color w:val="auto"/>
        </w:rPr>
      </w:pPr>
      <w:r>
        <w:rPr>
          <w:rFonts w:hint="eastAsia"/>
          <w:color w:val="auto"/>
        </w:rPr>
        <w:t xml:space="preserve">      </w:t>
      </w:r>
      <w:r>
        <w:rPr>
          <w:rFonts w:hint="eastAsia" w:ascii="宋体" w:hAnsi="宋体"/>
          <w:color w:val="auto"/>
          <w:szCs w:val="21"/>
        </w:rPr>
        <w:t>（5）</w:t>
      </w:r>
      <w:r>
        <w:rPr>
          <w:rFonts w:hint="eastAsia"/>
          <w:color w:val="auto"/>
        </w:rPr>
        <w:t>有证据证明的其他弄虚作假行为。</w:t>
      </w:r>
    </w:p>
    <w:p>
      <w:pPr>
        <w:pStyle w:val="87"/>
        <w:rPr>
          <w:rFonts w:hint="eastAsia" w:ascii="Times New Roman"/>
          <w:color w:val="auto"/>
        </w:rPr>
      </w:pPr>
      <w:bookmarkStart w:id="540" w:name="_Toc494315167"/>
      <w:bookmarkStart w:id="541" w:name="_Toc15878"/>
      <w:bookmarkStart w:id="542" w:name="_Toc491089695"/>
      <w:r>
        <w:rPr>
          <w:rFonts w:hint="eastAsia" w:ascii="Times New Roman"/>
          <w:color w:val="auto"/>
        </w:rPr>
        <w:t>9.3 对评标委员会成员的纪律要求</w:t>
      </w:r>
      <w:bookmarkEnd w:id="536"/>
      <w:bookmarkEnd w:id="537"/>
      <w:bookmarkEnd w:id="538"/>
      <w:bookmarkEnd w:id="539"/>
      <w:bookmarkEnd w:id="540"/>
      <w:bookmarkEnd w:id="541"/>
      <w:bookmarkEnd w:id="542"/>
    </w:p>
    <w:p>
      <w:pPr>
        <w:spacing w:line="400" w:lineRule="exact"/>
        <w:ind w:firstLine="420" w:firstLineChars="200"/>
        <w:rPr>
          <w:rFonts w:hint="eastAsia" w:ascii="宋体" w:hAnsi="宋体"/>
          <w:color w:val="auto"/>
        </w:rPr>
      </w:pPr>
      <w:bookmarkStart w:id="543" w:name="_Toc152045578"/>
      <w:bookmarkStart w:id="544" w:name="_Toc179632596"/>
      <w:bookmarkStart w:id="545" w:name="_Toc152042354"/>
      <w:bookmarkStart w:id="546" w:name="_Toc144974546"/>
      <w:r>
        <w:rPr>
          <w:rFonts w:hint="eastAsia" w:ascii="宋体" w:hAnsi="宋体"/>
          <w:color w:val="auto"/>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第三章“评标办法”没有规定的评审因素和标准进行评标。</w:t>
      </w:r>
    </w:p>
    <w:p>
      <w:pPr>
        <w:pStyle w:val="87"/>
        <w:rPr>
          <w:rFonts w:hint="eastAsia" w:ascii="Times New Roman"/>
          <w:color w:val="auto"/>
        </w:rPr>
      </w:pPr>
      <w:bookmarkStart w:id="547" w:name="_Toc491089696"/>
      <w:bookmarkStart w:id="548" w:name="_Toc16794"/>
      <w:bookmarkStart w:id="549" w:name="_Toc494315168"/>
      <w:r>
        <w:rPr>
          <w:rFonts w:hint="eastAsia" w:ascii="Times New Roman"/>
          <w:color w:val="auto"/>
        </w:rPr>
        <w:t>9.4 对与评标活动有关的工作人员的纪律要求</w:t>
      </w:r>
      <w:bookmarkEnd w:id="543"/>
      <w:bookmarkEnd w:id="544"/>
      <w:bookmarkEnd w:id="545"/>
      <w:bookmarkEnd w:id="547"/>
      <w:bookmarkEnd w:id="548"/>
      <w:bookmarkEnd w:id="549"/>
    </w:p>
    <w:p>
      <w:pPr>
        <w:spacing w:line="360" w:lineRule="auto"/>
        <w:ind w:firstLine="420" w:firstLineChars="200"/>
        <w:rPr>
          <w:rFonts w:hint="eastAsia" w:ascii="宋体" w:hAnsi="宋体"/>
          <w:color w:val="auto"/>
          <w:szCs w:val="21"/>
        </w:rPr>
      </w:pPr>
      <w:bookmarkStart w:id="550" w:name="_Toc152042355"/>
      <w:r>
        <w:rPr>
          <w:rFonts w:hint="eastAsia" w:ascii="宋体" w:hAnsi="宋体"/>
          <w:color w:val="auto"/>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550"/>
    </w:p>
    <w:p>
      <w:pPr>
        <w:pStyle w:val="87"/>
        <w:rPr>
          <w:rFonts w:hint="eastAsia" w:ascii="Times New Roman"/>
          <w:color w:val="auto"/>
        </w:rPr>
      </w:pPr>
      <w:bookmarkStart w:id="551" w:name="_Toc29253"/>
      <w:bookmarkStart w:id="552" w:name="_Toc179632597"/>
      <w:bookmarkStart w:id="553" w:name="_Toc491089697"/>
      <w:bookmarkStart w:id="554" w:name="_Toc152042356"/>
      <w:bookmarkStart w:id="555" w:name="_Toc152045579"/>
      <w:bookmarkStart w:id="556" w:name="_Toc494315169"/>
      <w:r>
        <w:rPr>
          <w:rFonts w:hint="eastAsia" w:ascii="Times New Roman"/>
          <w:color w:val="auto"/>
        </w:rPr>
        <w:t>9.5 投诉</w:t>
      </w:r>
      <w:bookmarkEnd w:id="546"/>
      <w:bookmarkEnd w:id="551"/>
      <w:bookmarkEnd w:id="552"/>
      <w:bookmarkEnd w:id="553"/>
      <w:bookmarkEnd w:id="554"/>
      <w:bookmarkEnd w:id="555"/>
      <w:bookmarkEnd w:id="556"/>
    </w:p>
    <w:p>
      <w:pPr>
        <w:spacing w:line="400" w:lineRule="exact"/>
        <w:ind w:firstLine="411" w:firstLineChars="196"/>
        <w:rPr>
          <w:rFonts w:hint="eastAsia"/>
          <w:color w:val="auto"/>
          <w:szCs w:val="21"/>
        </w:rPr>
      </w:pPr>
      <w:r>
        <w:rPr>
          <w:rFonts w:hint="eastAsia"/>
          <w:color w:val="auto"/>
          <w:szCs w:val="21"/>
        </w:rPr>
        <w:t>本次招标投标活动及其相关当事人应当接受</w:t>
      </w:r>
      <w:r>
        <w:rPr>
          <w:rFonts w:hint="eastAsia" w:ascii="宋体" w:hAnsi="宋体"/>
          <w:color w:val="auto"/>
          <w:szCs w:val="21"/>
        </w:rPr>
        <w:t>综合监管部门或</w:t>
      </w:r>
      <w:r>
        <w:rPr>
          <w:rFonts w:hint="eastAsia" w:ascii="宋体" w:cs="宋体"/>
          <w:color w:val="auto"/>
          <w:spacing w:val="4"/>
          <w:kern w:val="0"/>
          <w:sz w:val="22"/>
          <w:szCs w:val="22"/>
        </w:rPr>
        <w:t>有关</w:t>
      </w:r>
      <w:r>
        <w:rPr>
          <w:rFonts w:hint="eastAsia"/>
          <w:color w:val="auto"/>
          <w:szCs w:val="21"/>
        </w:rPr>
        <w:t>行政监督部门依法实施的监督。</w:t>
      </w:r>
    </w:p>
    <w:p>
      <w:pPr>
        <w:spacing w:line="400" w:lineRule="exact"/>
        <w:ind w:firstLine="420" w:firstLineChars="200"/>
        <w:rPr>
          <w:rFonts w:hint="eastAsia"/>
          <w:color w:val="auto"/>
        </w:rPr>
      </w:pPr>
      <w:r>
        <w:rPr>
          <w:rFonts w:hint="eastAsia"/>
          <w:color w:val="auto"/>
        </w:rPr>
        <w:t>投标人和其他利害关系人认为本次招标活动违反法律、法规和规章规定的，有权自知道或者应当知道之日起10日内向</w:t>
      </w:r>
      <w:r>
        <w:rPr>
          <w:rFonts w:hint="eastAsia" w:ascii="宋体" w:hAnsi="宋体"/>
          <w:color w:val="auto"/>
          <w:szCs w:val="21"/>
        </w:rPr>
        <w:t>综合监管部门或</w:t>
      </w:r>
      <w:r>
        <w:rPr>
          <w:rFonts w:hint="eastAsia"/>
          <w:color w:val="auto"/>
        </w:rPr>
        <w:t>有关行政监督部门投诉，其中对招标文件的内容、开标、评标结果进行投诉的，应当按本章第2.4款、第5.3款、第6.4款的规定先向招标人提出异议后，方可向</w:t>
      </w:r>
      <w:r>
        <w:rPr>
          <w:rFonts w:hint="eastAsia" w:ascii="宋体" w:hAnsi="宋体"/>
          <w:color w:val="auto"/>
          <w:szCs w:val="21"/>
        </w:rPr>
        <w:t>综合监管部门或</w:t>
      </w:r>
      <w:r>
        <w:rPr>
          <w:rFonts w:hint="eastAsia"/>
          <w:color w:val="auto"/>
        </w:rPr>
        <w:t>有关行政监督部门投诉，异议答复期不计算在规定的</w:t>
      </w:r>
      <w:r>
        <w:rPr>
          <w:color w:val="auto"/>
        </w:rPr>
        <w:t>投诉时效</w:t>
      </w:r>
      <w:r>
        <w:rPr>
          <w:rFonts w:hint="eastAsia"/>
          <w:color w:val="auto"/>
        </w:rPr>
        <w:t>期限内。</w:t>
      </w:r>
    </w:p>
    <w:p>
      <w:pPr>
        <w:spacing w:line="400" w:lineRule="exact"/>
        <w:ind w:firstLine="420" w:firstLineChars="200"/>
        <w:rPr>
          <w:rFonts w:hint="eastAsia" w:ascii="宋体" w:cs="宋体"/>
          <w:color w:val="auto"/>
          <w:spacing w:val="4"/>
          <w:kern w:val="0"/>
          <w:sz w:val="22"/>
          <w:szCs w:val="22"/>
        </w:rPr>
      </w:pPr>
      <w:bookmarkStart w:id="557" w:name="_Toc387753561"/>
      <w:r>
        <w:rPr>
          <w:rFonts w:hint="eastAsia"/>
          <w:color w:val="auto"/>
        </w:rPr>
        <w:t>投标人和其他利害关系人的投诉应按照</w:t>
      </w:r>
      <w:r>
        <w:rPr>
          <w:rFonts w:hint="eastAsia" w:ascii="宋体" w:cs="宋体"/>
          <w:color w:val="auto"/>
          <w:spacing w:val="4"/>
          <w:kern w:val="0"/>
          <w:sz w:val="22"/>
          <w:szCs w:val="22"/>
        </w:rPr>
        <w:t>《工程建设项目招标投标活动投诉处理办法》或</w:t>
      </w:r>
      <w:r>
        <w:rPr>
          <w:rFonts w:hint="eastAsia"/>
          <w:color w:val="auto"/>
        </w:rPr>
        <w:t>《湖北省公共资源招标投标投诉处理办法》的规定进行。</w:t>
      </w:r>
    </w:p>
    <w:p>
      <w:pPr>
        <w:spacing w:line="400" w:lineRule="exact"/>
        <w:ind w:firstLine="420" w:firstLineChars="200"/>
        <w:rPr>
          <w:rFonts w:hint="eastAsia"/>
          <w:color w:val="auto"/>
        </w:rPr>
      </w:pPr>
      <w:r>
        <w:rPr>
          <w:rFonts w:hint="eastAsia"/>
          <w:color w:val="auto"/>
        </w:rPr>
        <w:t>有关行政监督部门的联系方式见投标人须知前附表。</w:t>
      </w:r>
    </w:p>
    <w:p>
      <w:pPr>
        <w:pStyle w:val="80"/>
        <w:spacing w:before="120" w:after="156" w:afterLines="50"/>
        <w:rPr>
          <w:rFonts w:hint="eastAsia"/>
          <w:color w:val="auto"/>
        </w:rPr>
      </w:pPr>
      <w:bookmarkStart w:id="558" w:name="_Toc11263"/>
      <w:bookmarkStart w:id="559" w:name="_Toc491089698"/>
      <w:r>
        <w:rPr>
          <w:rFonts w:hint="eastAsia"/>
          <w:color w:val="auto"/>
        </w:rPr>
        <w:t>10. 需要补充的其他内容</w:t>
      </w:r>
      <w:bookmarkEnd w:id="557"/>
      <w:bookmarkEnd w:id="558"/>
      <w:bookmarkEnd w:id="559"/>
    </w:p>
    <w:p>
      <w:pPr>
        <w:pStyle w:val="87"/>
        <w:rPr>
          <w:rFonts w:hint="eastAsia" w:ascii="Times New Roman"/>
          <w:color w:val="auto"/>
        </w:rPr>
      </w:pPr>
      <w:bookmarkStart w:id="560" w:name="_Toc494315171"/>
      <w:bookmarkStart w:id="561" w:name="_Toc25038"/>
      <w:bookmarkStart w:id="562" w:name="_Toc491089699"/>
      <w:bookmarkStart w:id="563" w:name="_Toc387753562"/>
      <w:r>
        <w:rPr>
          <w:rFonts w:hint="eastAsia" w:ascii="Times New Roman"/>
          <w:color w:val="auto"/>
        </w:rPr>
        <w:t xml:space="preserve">10.1 </w:t>
      </w:r>
      <w:r>
        <w:rPr>
          <w:rFonts w:hint="eastAsia" w:ascii="Times New Roman"/>
          <w:color w:val="auto"/>
          <w:szCs w:val="24"/>
        </w:rPr>
        <w:t>同类工程</w:t>
      </w:r>
      <w:r>
        <w:rPr>
          <w:rFonts w:hint="eastAsia" w:hAnsi="宋体"/>
          <w:color w:val="auto"/>
          <w:szCs w:val="21"/>
        </w:rPr>
        <w:t>和</w:t>
      </w:r>
      <w:r>
        <w:rPr>
          <w:rFonts w:hint="eastAsia" w:ascii="Times New Roman"/>
          <w:color w:val="auto"/>
        </w:rPr>
        <w:t>类似工程</w:t>
      </w:r>
      <w:bookmarkEnd w:id="560"/>
      <w:bookmarkEnd w:id="561"/>
      <w:bookmarkEnd w:id="562"/>
      <w:bookmarkEnd w:id="563"/>
    </w:p>
    <w:p>
      <w:pPr>
        <w:spacing w:line="360" w:lineRule="auto"/>
        <w:ind w:firstLine="315" w:firstLineChars="150"/>
        <w:rPr>
          <w:rFonts w:hint="eastAsia" w:ascii="宋体" w:hAnsi="宋体"/>
          <w:color w:val="auto"/>
          <w:szCs w:val="21"/>
        </w:rPr>
      </w:pPr>
      <w:r>
        <w:rPr>
          <w:rFonts w:hint="eastAsia" w:ascii="宋体" w:hAnsi="宋体"/>
          <w:color w:val="auto"/>
          <w:szCs w:val="21"/>
        </w:rPr>
        <w:t>本招标文件</w:t>
      </w:r>
      <w:r>
        <w:rPr>
          <w:rFonts w:hint="eastAsia"/>
          <w:color w:val="auto"/>
        </w:rPr>
        <w:t>同类工程</w:t>
      </w:r>
      <w:r>
        <w:rPr>
          <w:rFonts w:hint="eastAsia" w:ascii="宋体" w:hAnsi="宋体"/>
          <w:color w:val="auto"/>
          <w:szCs w:val="21"/>
        </w:rPr>
        <w:t>和类似工程的定义：见投标人须知前附表。</w:t>
      </w:r>
    </w:p>
    <w:p>
      <w:pPr>
        <w:pStyle w:val="87"/>
        <w:rPr>
          <w:rFonts w:hint="eastAsia" w:ascii="Times New Roman"/>
          <w:color w:val="auto"/>
        </w:rPr>
      </w:pPr>
      <w:bookmarkStart w:id="564" w:name="_Toc494315172"/>
      <w:bookmarkStart w:id="565" w:name="_Toc491089700"/>
      <w:bookmarkStart w:id="566" w:name="_Toc1244"/>
      <w:bookmarkStart w:id="567" w:name="_Toc395776409"/>
      <w:r>
        <w:rPr>
          <w:rFonts w:hint="eastAsia" w:ascii="Times New Roman"/>
          <w:color w:val="auto"/>
        </w:rPr>
        <w:t>10.2 投标限价</w:t>
      </w:r>
      <w:bookmarkEnd w:id="564"/>
      <w:bookmarkEnd w:id="565"/>
      <w:bookmarkEnd w:id="566"/>
      <w:bookmarkEnd w:id="567"/>
    </w:p>
    <w:p>
      <w:pPr>
        <w:spacing w:line="400" w:lineRule="exact"/>
        <w:ind w:firstLine="420" w:firstLineChars="200"/>
        <w:rPr>
          <w:rFonts w:hint="eastAsia"/>
          <w:color w:val="auto"/>
        </w:rPr>
      </w:pPr>
      <w:r>
        <w:rPr>
          <w:rFonts w:hint="eastAsia" w:ascii="宋体" w:hAnsi="宋体"/>
          <w:color w:val="auto"/>
          <w:szCs w:val="21"/>
        </w:rPr>
        <w:t>招标人设置的投标限价：见投标人须知前附表。</w:t>
      </w:r>
      <w:r>
        <w:rPr>
          <w:rFonts w:hint="eastAsia"/>
          <w:color w:val="auto"/>
        </w:rPr>
        <w:t>投标人投标函中的大写报价或算术错误修正后的投标报价（如有</w:t>
      </w:r>
      <w:r>
        <w:rPr>
          <w:rFonts w:hint="eastAsia" w:ascii="宋体" w:hAnsi="宋体"/>
          <w:color w:val="auto"/>
          <w:szCs w:val="21"/>
        </w:rPr>
        <w:t>）超过投标限价</w:t>
      </w:r>
      <w:r>
        <w:rPr>
          <w:rFonts w:hint="eastAsia"/>
          <w:color w:val="auto"/>
        </w:rPr>
        <w:t>的，</w:t>
      </w:r>
      <w:r>
        <w:rPr>
          <w:color w:val="auto"/>
        </w:rPr>
        <w:t>其投标</w:t>
      </w:r>
      <w:r>
        <w:rPr>
          <w:rFonts w:hint="eastAsia"/>
          <w:color w:val="auto"/>
        </w:rPr>
        <w:t>将被否决</w:t>
      </w:r>
      <w:r>
        <w:rPr>
          <w:color w:val="auto"/>
        </w:rPr>
        <w:t>。</w:t>
      </w:r>
    </w:p>
    <w:p>
      <w:pPr>
        <w:pStyle w:val="87"/>
        <w:rPr>
          <w:rFonts w:hint="eastAsia" w:ascii="Times New Roman"/>
          <w:color w:val="auto"/>
        </w:rPr>
      </w:pPr>
      <w:bookmarkStart w:id="568" w:name="_Toc494315173"/>
      <w:bookmarkStart w:id="569" w:name="_Toc17907"/>
      <w:bookmarkStart w:id="570" w:name="_Toc491089701"/>
      <w:r>
        <w:rPr>
          <w:rFonts w:hint="eastAsia" w:ascii="Times New Roman"/>
          <w:color w:val="auto"/>
        </w:rPr>
        <w:t>10.3 多标段投标</w:t>
      </w:r>
      <w:bookmarkEnd w:id="568"/>
      <w:bookmarkEnd w:id="569"/>
      <w:bookmarkEnd w:id="570"/>
    </w:p>
    <w:p>
      <w:pPr>
        <w:spacing w:line="360" w:lineRule="auto"/>
        <w:ind w:firstLine="315" w:firstLineChars="150"/>
        <w:rPr>
          <w:rFonts w:hint="eastAsia" w:ascii="宋体" w:hAnsi="宋体"/>
          <w:color w:val="auto"/>
          <w:szCs w:val="21"/>
        </w:rPr>
      </w:pPr>
      <w:r>
        <w:rPr>
          <w:rFonts w:hint="eastAsia" w:ascii="宋体" w:hAnsi="宋体"/>
          <w:color w:val="auto"/>
          <w:szCs w:val="21"/>
        </w:rPr>
        <w:t>多标段投标规定：见投标人须知前附表。</w:t>
      </w:r>
    </w:p>
    <w:p>
      <w:pPr>
        <w:pStyle w:val="87"/>
        <w:rPr>
          <w:rFonts w:hint="eastAsia" w:ascii="Times New Roman"/>
          <w:color w:val="auto"/>
        </w:rPr>
      </w:pPr>
      <w:bookmarkStart w:id="571" w:name="_Toc491089702"/>
      <w:bookmarkStart w:id="572" w:name="_Toc387753565"/>
      <w:bookmarkStart w:id="573" w:name="_Toc494315174"/>
      <w:bookmarkStart w:id="574" w:name="_Toc23770"/>
      <w:r>
        <w:rPr>
          <w:rFonts w:hint="eastAsia" w:ascii="Times New Roman"/>
          <w:color w:val="auto"/>
        </w:rPr>
        <w:t>10.4 中标人的投标文件</w:t>
      </w:r>
      <w:bookmarkEnd w:id="571"/>
      <w:bookmarkEnd w:id="572"/>
      <w:bookmarkEnd w:id="573"/>
      <w:bookmarkEnd w:id="574"/>
    </w:p>
    <w:p>
      <w:pPr>
        <w:spacing w:line="360" w:lineRule="auto"/>
        <w:ind w:firstLine="420" w:firstLineChars="200"/>
        <w:rPr>
          <w:rFonts w:hint="eastAsia" w:ascii="宋体" w:hAnsi="宋体"/>
          <w:color w:val="auto"/>
          <w:szCs w:val="21"/>
        </w:rPr>
      </w:pPr>
      <w:bookmarkStart w:id="575" w:name="_Toc221950256"/>
      <w:bookmarkStart w:id="576" w:name="_Toc168475696"/>
      <w:bookmarkStart w:id="577" w:name="_Toc168476099"/>
      <w:bookmarkStart w:id="578" w:name="_Toc144974548"/>
      <w:r>
        <w:rPr>
          <w:rFonts w:hint="eastAsia" w:ascii="宋体" w:hAnsi="宋体"/>
          <w:color w:val="auto"/>
          <w:szCs w:val="21"/>
        </w:rPr>
        <w:t>中标人在签订合同前须向招标人另行提交的投标文件份数：见投标人须知前附表。</w:t>
      </w:r>
    </w:p>
    <w:p>
      <w:pPr>
        <w:spacing w:line="360" w:lineRule="auto"/>
        <w:ind w:firstLine="420" w:firstLineChars="200"/>
        <w:rPr>
          <w:rFonts w:ascii="宋体" w:hAnsi="宋体"/>
          <w:color w:val="auto"/>
          <w:szCs w:val="21"/>
        </w:rPr>
      </w:pPr>
      <w:r>
        <w:rPr>
          <w:rFonts w:hint="eastAsia" w:ascii="宋体" w:hAnsi="宋体"/>
          <w:color w:val="auto"/>
          <w:szCs w:val="21"/>
        </w:rPr>
        <w:t>中标后提交的纸质投标文件内容应与投标时递交的电子投标文件内容保持一致。当纸质投标文件与电子投标文件不一致时，以递交的电子投标文件为准，造成损失或者产生不良影响的，招标人有权追究相应的法律责任并作为不良行为报送</w:t>
      </w:r>
      <w:r>
        <w:rPr>
          <w:rFonts w:hint="eastAsia"/>
          <w:color w:val="auto"/>
        </w:rPr>
        <w:t>有关行政监督部门</w:t>
      </w:r>
      <w:r>
        <w:rPr>
          <w:rFonts w:hint="eastAsia" w:ascii="宋体" w:hAnsi="宋体"/>
          <w:color w:val="auto"/>
          <w:szCs w:val="21"/>
        </w:rPr>
        <w:t>记录。</w:t>
      </w:r>
    </w:p>
    <w:p>
      <w:pPr>
        <w:pStyle w:val="87"/>
        <w:rPr>
          <w:rFonts w:ascii="Times New Roman"/>
          <w:color w:val="auto"/>
        </w:rPr>
      </w:pPr>
      <w:bookmarkStart w:id="579" w:name="_Toc16081"/>
      <w:r>
        <w:rPr>
          <w:rFonts w:hint="eastAsia" w:ascii="Times New Roman"/>
          <w:color w:val="auto"/>
        </w:rPr>
        <w:t>1</w:t>
      </w:r>
      <w:r>
        <w:rPr>
          <w:rFonts w:ascii="Times New Roman"/>
          <w:color w:val="auto"/>
        </w:rPr>
        <w:t>0.5 交易平台信息服务费</w:t>
      </w:r>
      <w:bookmarkEnd w:id="579"/>
    </w:p>
    <w:p>
      <w:pPr>
        <w:spacing w:line="360" w:lineRule="auto"/>
        <w:ind w:firstLine="420" w:firstLineChars="200"/>
        <w:rPr>
          <w:rFonts w:hint="eastAsia" w:ascii="宋体" w:hAnsi="宋体"/>
          <w:color w:val="auto"/>
          <w:szCs w:val="21"/>
        </w:rPr>
      </w:pPr>
      <w:r>
        <w:rPr>
          <w:rFonts w:ascii="宋体" w:hAnsi="宋体"/>
          <w:color w:val="auto"/>
          <w:szCs w:val="21"/>
        </w:rPr>
        <w:t>交易平台信息服务费缴费</w:t>
      </w:r>
      <w:r>
        <w:rPr>
          <w:rFonts w:hint="eastAsia" w:ascii="宋体" w:hAnsi="宋体"/>
          <w:color w:val="auto"/>
          <w:szCs w:val="21"/>
        </w:rPr>
        <w:t>规定：</w:t>
      </w:r>
      <w:r>
        <w:rPr>
          <w:rFonts w:ascii="宋体" w:hAnsi="宋体"/>
          <w:color w:val="auto"/>
          <w:szCs w:val="21"/>
        </w:rPr>
        <w:t>见投标人须知前附表</w:t>
      </w:r>
      <w:r>
        <w:rPr>
          <w:rFonts w:hint="eastAsia" w:ascii="宋体" w:hAnsi="宋体"/>
          <w:color w:val="auto"/>
          <w:szCs w:val="21"/>
        </w:rPr>
        <w:t>。</w:t>
      </w:r>
    </w:p>
    <w:p>
      <w:pPr>
        <w:pStyle w:val="87"/>
        <w:rPr>
          <w:rFonts w:ascii="Times New Roman"/>
          <w:color w:val="auto"/>
        </w:rPr>
      </w:pPr>
      <w:bookmarkStart w:id="580" w:name="_Toc17750"/>
      <w:r>
        <w:rPr>
          <w:rFonts w:hint="eastAsia" w:ascii="Times New Roman"/>
          <w:color w:val="auto"/>
        </w:rPr>
        <w:t>1</w:t>
      </w:r>
      <w:r>
        <w:rPr>
          <w:rFonts w:ascii="Times New Roman"/>
          <w:color w:val="auto"/>
        </w:rPr>
        <w:t>0.6 招标代理服务费</w:t>
      </w:r>
      <w:bookmarkEnd w:id="580"/>
    </w:p>
    <w:p>
      <w:pPr>
        <w:spacing w:line="360" w:lineRule="auto"/>
        <w:ind w:firstLine="420" w:firstLineChars="200"/>
        <w:rPr>
          <w:rFonts w:hint="eastAsia" w:ascii="宋体" w:hAnsi="宋体"/>
          <w:color w:val="auto"/>
          <w:szCs w:val="21"/>
        </w:rPr>
      </w:pPr>
      <w:r>
        <w:rPr>
          <w:rFonts w:hint="eastAsia" w:ascii="宋体" w:hAnsi="宋体"/>
          <w:color w:val="auto"/>
          <w:szCs w:val="21"/>
        </w:rPr>
        <w:t>招标代理服务费收取约定：</w:t>
      </w:r>
      <w:r>
        <w:rPr>
          <w:rFonts w:ascii="宋体" w:hAnsi="宋体"/>
          <w:color w:val="auto"/>
          <w:szCs w:val="21"/>
        </w:rPr>
        <w:t>见投标人须知前附表</w:t>
      </w:r>
      <w:r>
        <w:rPr>
          <w:rFonts w:hint="eastAsia" w:ascii="宋体" w:hAnsi="宋体"/>
          <w:color w:val="auto"/>
          <w:szCs w:val="21"/>
        </w:rPr>
        <w:t>。</w:t>
      </w:r>
    </w:p>
    <w:p>
      <w:pPr>
        <w:pStyle w:val="87"/>
        <w:rPr>
          <w:rFonts w:hint="eastAsia"/>
          <w:color w:val="auto"/>
        </w:rPr>
      </w:pPr>
      <w:bookmarkStart w:id="581" w:name="_Toc387753566"/>
      <w:bookmarkStart w:id="582" w:name="_Toc494315175"/>
      <w:bookmarkStart w:id="583" w:name="_Toc2879"/>
      <w:bookmarkStart w:id="584" w:name="_Toc491089703"/>
      <w:r>
        <w:rPr>
          <w:rFonts w:hint="eastAsia" w:ascii="Times New Roman"/>
          <w:color w:val="auto"/>
        </w:rPr>
        <w:t>10.</w:t>
      </w:r>
      <w:bookmarkEnd w:id="581"/>
      <w:r>
        <w:rPr>
          <w:rFonts w:ascii="Times New Roman"/>
          <w:color w:val="auto"/>
        </w:rPr>
        <w:t>7</w:t>
      </w:r>
      <w:r>
        <w:rPr>
          <w:rFonts w:hint="eastAsia" w:ascii="Times New Roman"/>
          <w:color w:val="auto"/>
        </w:rPr>
        <w:t xml:space="preserve"> </w:t>
      </w:r>
      <w:r>
        <w:rPr>
          <w:rFonts w:hint="eastAsia"/>
          <w:color w:val="auto"/>
        </w:rPr>
        <w:t>招标人补充的其他内容</w:t>
      </w:r>
      <w:bookmarkEnd w:id="582"/>
      <w:bookmarkEnd w:id="583"/>
      <w:bookmarkEnd w:id="584"/>
    </w:p>
    <w:p>
      <w:pPr>
        <w:spacing w:line="360" w:lineRule="auto"/>
        <w:ind w:firstLine="420" w:firstLineChars="200"/>
        <w:rPr>
          <w:rFonts w:hint="eastAsia" w:ascii="宋体" w:hAnsi="宋体"/>
          <w:color w:val="auto"/>
          <w:szCs w:val="21"/>
        </w:rPr>
      </w:pPr>
      <w:r>
        <w:rPr>
          <w:rFonts w:hint="eastAsia"/>
          <w:color w:val="auto"/>
        </w:rPr>
        <w:t>招标人补充的其他内容：见投标人须知前附表。</w:t>
      </w: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rPr>
          <w:rFonts w:hint="eastAsia" w:ascii="Arial" w:hAnsi="Arial" w:eastAsia="黑体"/>
          <w:color w:val="auto"/>
          <w:sz w:val="24"/>
        </w:rPr>
      </w:pPr>
    </w:p>
    <w:p>
      <w:pPr>
        <w:pStyle w:val="3"/>
        <w:spacing w:before="0" w:line="240" w:lineRule="auto"/>
        <w:rPr>
          <w:rFonts w:hint="eastAsia"/>
          <w:color w:val="auto"/>
          <w:sz w:val="24"/>
        </w:rPr>
      </w:pPr>
      <w:bookmarkStart w:id="585" w:name="_Toc491089704"/>
      <w:bookmarkStart w:id="586" w:name="_Toc20748"/>
      <w:r>
        <w:rPr>
          <w:rFonts w:hint="eastAsia"/>
          <w:b w:val="0"/>
          <w:color w:val="auto"/>
          <w:sz w:val="28"/>
          <w:szCs w:val="28"/>
        </w:rPr>
        <w:t>附表：投标人资质条件、能力和信誉</w:t>
      </w:r>
      <w:bookmarkEnd w:id="585"/>
      <w:bookmarkEnd w:id="586"/>
    </w:p>
    <w:p>
      <w:pPr>
        <w:spacing w:before="312" w:beforeLines="100" w:line="400" w:lineRule="exact"/>
        <w:rPr>
          <w:rFonts w:hint="eastAsia"/>
          <w:color w:val="auto"/>
        </w:rPr>
      </w:pPr>
      <w:r>
        <w:rPr>
          <w:color w:val="auto"/>
          <w:szCs w:val="21"/>
          <w:u w:val="single"/>
        </w:rPr>
        <w:t xml:space="preserve">         </w:t>
      </w:r>
      <w:r>
        <w:rPr>
          <w:color w:val="auto"/>
          <w:szCs w:val="21"/>
        </w:rPr>
        <w:t>（项目名称）</w:t>
      </w:r>
      <w:r>
        <w:rPr>
          <w:color w:val="auto"/>
          <w:szCs w:val="21"/>
          <w:u w:val="single"/>
        </w:rPr>
        <w:t xml:space="preserve">         </w:t>
      </w:r>
      <w:r>
        <w:rPr>
          <w:rFonts w:hint="eastAsia"/>
          <w:color w:val="auto"/>
          <w:szCs w:val="21"/>
        </w:rPr>
        <w:t>（</w:t>
      </w:r>
      <w:r>
        <w:rPr>
          <w:color w:val="auto"/>
          <w:szCs w:val="21"/>
        </w:rPr>
        <w:t>标段</w:t>
      </w:r>
      <w:r>
        <w:rPr>
          <w:rFonts w:hint="eastAsia"/>
          <w:color w:val="auto"/>
          <w:szCs w:val="21"/>
        </w:rPr>
        <w:t>名称）</w:t>
      </w:r>
    </w:p>
    <w:tbl>
      <w:tblPr>
        <w:tblStyle w:val="38"/>
        <w:tblW w:w="9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985"/>
        <w:gridCol w:w="4678"/>
        <w:gridCol w:w="1134"/>
        <w:gridCol w:w="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675" w:type="dxa"/>
            <w:noWrap w:val="0"/>
            <w:tcMar>
              <w:top w:w="28" w:type="dxa"/>
              <w:bottom w:w="28" w:type="dxa"/>
            </w:tcMar>
            <w:vAlign w:val="top"/>
          </w:tcPr>
          <w:p>
            <w:pPr>
              <w:jc w:val="center"/>
              <w:rPr>
                <w:rFonts w:hint="eastAsia"/>
                <w:color w:val="auto"/>
                <w:szCs w:val="21"/>
              </w:rPr>
            </w:pPr>
            <w:r>
              <w:rPr>
                <w:rFonts w:hint="eastAsia"/>
                <w:color w:val="auto"/>
                <w:szCs w:val="21"/>
              </w:rPr>
              <w:t>项目</w:t>
            </w:r>
          </w:p>
        </w:tc>
        <w:tc>
          <w:tcPr>
            <w:tcW w:w="7797" w:type="dxa"/>
            <w:gridSpan w:val="3"/>
            <w:noWrap w:val="0"/>
            <w:tcMar>
              <w:top w:w="28" w:type="dxa"/>
              <w:bottom w:w="28" w:type="dxa"/>
            </w:tcMar>
            <w:vAlign w:val="top"/>
          </w:tcPr>
          <w:p>
            <w:pPr>
              <w:jc w:val="center"/>
              <w:rPr>
                <w:rFonts w:hint="eastAsia"/>
                <w:color w:val="auto"/>
                <w:szCs w:val="21"/>
              </w:rPr>
            </w:pPr>
            <w:r>
              <w:rPr>
                <w:rFonts w:hint="eastAsia"/>
                <w:color w:val="auto"/>
                <w:szCs w:val="21"/>
              </w:rPr>
              <w:t>要求</w:t>
            </w:r>
          </w:p>
        </w:tc>
        <w:tc>
          <w:tcPr>
            <w:tcW w:w="666" w:type="dxa"/>
            <w:noWrap w:val="0"/>
            <w:tcMar>
              <w:top w:w="28" w:type="dxa"/>
              <w:bottom w:w="28" w:type="dxa"/>
            </w:tcMar>
            <w:vAlign w:val="top"/>
          </w:tcPr>
          <w:p>
            <w:pPr>
              <w:jc w:val="center"/>
              <w:rPr>
                <w:rFonts w:hint="eastAsia"/>
                <w:color w:val="auto"/>
                <w:szCs w:val="21"/>
              </w:rPr>
            </w:pPr>
            <w:r>
              <w:rPr>
                <w:rFonts w:hint="eastAsia"/>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noWrap w:val="0"/>
            <w:tcMar>
              <w:top w:w="28" w:type="dxa"/>
              <w:bottom w:w="28" w:type="dxa"/>
            </w:tcMar>
            <w:vAlign w:val="center"/>
          </w:tcPr>
          <w:p>
            <w:pPr>
              <w:jc w:val="center"/>
              <w:rPr>
                <w:rFonts w:hint="eastAsia"/>
                <w:color w:val="auto"/>
                <w:szCs w:val="21"/>
              </w:rPr>
            </w:pPr>
            <w:r>
              <w:rPr>
                <w:color w:val="auto"/>
                <w:szCs w:val="21"/>
              </w:rPr>
              <w:t>资质条件</w:t>
            </w:r>
          </w:p>
        </w:tc>
        <w:tc>
          <w:tcPr>
            <w:tcW w:w="7797" w:type="dxa"/>
            <w:gridSpan w:val="3"/>
            <w:noWrap w:val="0"/>
            <w:tcMar>
              <w:top w:w="28" w:type="dxa"/>
              <w:bottom w:w="28" w:type="dxa"/>
            </w:tcMar>
            <w:vAlign w:val="top"/>
          </w:tcPr>
          <w:p>
            <w:pPr>
              <w:numPr>
                <w:ilvl w:val="0"/>
                <w:numId w:val="2"/>
              </w:numPr>
              <w:rPr>
                <w:rFonts w:hint="eastAsia"/>
                <w:color w:val="auto"/>
                <w:szCs w:val="21"/>
              </w:rPr>
            </w:pPr>
            <w:r>
              <w:rPr>
                <w:rFonts w:hint="eastAsia"/>
                <w:color w:val="auto"/>
                <w:szCs w:val="21"/>
              </w:rPr>
              <w:t>具有</w:t>
            </w:r>
            <w:r>
              <w:rPr>
                <w:color w:val="auto"/>
                <w:szCs w:val="21"/>
              </w:rPr>
              <w:t>工商行政管理部门</w:t>
            </w:r>
            <w:r>
              <w:rPr>
                <w:rFonts w:hint="eastAsia"/>
                <w:color w:val="auto"/>
                <w:szCs w:val="21"/>
              </w:rPr>
              <w:t>（市场</w:t>
            </w:r>
            <w:r>
              <w:rPr>
                <w:color w:val="auto"/>
                <w:szCs w:val="21"/>
              </w:rPr>
              <w:t>监</w:t>
            </w:r>
            <w:r>
              <w:rPr>
                <w:rFonts w:hint="eastAsia"/>
                <w:color w:val="auto"/>
                <w:szCs w:val="21"/>
              </w:rPr>
              <w:t>管</w:t>
            </w:r>
            <w:r>
              <w:rPr>
                <w:color w:val="auto"/>
                <w:szCs w:val="21"/>
              </w:rPr>
              <w:t>部门</w:t>
            </w:r>
            <w:r>
              <w:rPr>
                <w:rFonts w:hint="eastAsia"/>
                <w:color w:val="auto"/>
                <w:szCs w:val="21"/>
              </w:rPr>
              <w:t>）</w:t>
            </w:r>
            <w:r>
              <w:rPr>
                <w:color w:val="auto"/>
                <w:szCs w:val="21"/>
              </w:rPr>
              <w:t>核发的有效企业法人营业执照</w:t>
            </w:r>
            <w:r>
              <w:rPr>
                <w:rFonts w:hint="eastAsia"/>
                <w:color w:val="auto"/>
                <w:szCs w:val="21"/>
              </w:rPr>
              <w:t>。</w:t>
            </w:r>
          </w:p>
          <w:p>
            <w:pPr>
              <w:numPr>
                <w:ilvl w:val="0"/>
                <w:numId w:val="2"/>
              </w:numPr>
              <w:rPr>
                <w:rFonts w:hint="eastAsia"/>
                <w:color w:val="auto"/>
                <w:szCs w:val="21"/>
              </w:rPr>
            </w:pPr>
            <w:r>
              <w:rPr>
                <w:color w:val="auto"/>
                <w:szCs w:val="21"/>
              </w:rPr>
              <w:t>具</w:t>
            </w:r>
            <w:r>
              <w:rPr>
                <w:rFonts w:hint="eastAsia"/>
                <w:color w:val="auto"/>
                <w:szCs w:val="21"/>
              </w:rPr>
              <w:t>有住房城乡建设</w:t>
            </w:r>
            <w:r>
              <w:rPr>
                <w:color w:val="auto"/>
                <w:szCs w:val="21"/>
              </w:rPr>
              <w:t>主管部门颁发的</w:t>
            </w:r>
            <w:r>
              <w:rPr>
                <w:rFonts w:hint="eastAsia"/>
                <w:color w:val="auto"/>
                <w:szCs w:val="21"/>
              </w:rPr>
              <w:t>有效</w:t>
            </w:r>
            <w:r>
              <w:rPr>
                <w:rFonts w:hint="eastAsia"/>
                <w:color w:val="auto"/>
                <w:szCs w:val="21"/>
                <w:u w:val="single"/>
              </w:rPr>
              <w:t xml:space="preserve">（资质名称、类别、等级） </w:t>
            </w:r>
            <w:r>
              <w:rPr>
                <w:color w:val="auto"/>
                <w:szCs w:val="21"/>
              </w:rPr>
              <w:t>资质证书</w:t>
            </w:r>
            <w:r>
              <w:rPr>
                <w:rFonts w:hint="eastAsia"/>
                <w:color w:val="auto"/>
                <w:szCs w:val="21"/>
              </w:rPr>
              <w:t>。</w:t>
            </w:r>
          </w:p>
          <w:p>
            <w:pPr>
              <w:numPr>
                <w:ilvl w:val="0"/>
                <w:numId w:val="2"/>
              </w:numPr>
              <w:rPr>
                <w:rFonts w:hint="eastAsia"/>
                <w:color w:val="auto"/>
                <w:szCs w:val="21"/>
              </w:rPr>
            </w:pPr>
            <w:r>
              <w:rPr>
                <w:rFonts w:hint="eastAsia"/>
                <w:color w:val="auto"/>
                <w:szCs w:val="21"/>
              </w:rPr>
              <w:t>具有有效的安全生产许可证。</w:t>
            </w:r>
          </w:p>
          <w:p>
            <w:pPr>
              <w:numPr>
                <w:ilvl w:val="0"/>
                <w:numId w:val="2"/>
              </w:numPr>
              <w:rPr>
                <w:rFonts w:hint="eastAsia"/>
                <w:color w:val="auto"/>
                <w:szCs w:val="21"/>
              </w:rPr>
            </w:pPr>
            <w:r>
              <w:rPr>
                <w:rFonts w:hint="eastAsia"/>
                <w:color w:val="auto"/>
                <w:szCs w:val="21"/>
              </w:rPr>
              <w:t>企业主要负责人具有水行政主管部门颁发的</w:t>
            </w:r>
            <w:r>
              <w:rPr>
                <w:rFonts w:hint="eastAsia"/>
                <w:color w:val="auto"/>
              </w:rPr>
              <w:t>有效</w:t>
            </w:r>
            <w:r>
              <w:rPr>
                <w:rFonts w:hint="eastAsia"/>
                <w:color w:val="auto"/>
                <w:szCs w:val="21"/>
              </w:rPr>
              <w:t xml:space="preserve">安全生产考核合格证（A证）。 </w:t>
            </w: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noWrap w:val="0"/>
            <w:tcMar>
              <w:top w:w="28" w:type="dxa"/>
              <w:bottom w:w="28" w:type="dxa"/>
            </w:tcMar>
            <w:vAlign w:val="center"/>
          </w:tcPr>
          <w:p>
            <w:pPr>
              <w:jc w:val="center"/>
              <w:rPr>
                <w:color w:val="auto"/>
                <w:szCs w:val="21"/>
              </w:rPr>
            </w:pPr>
            <w:r>
              <w:rPr>
                <w:color w:val="auto"/>
                <w:szCs w:val="21"/>
              </w:rPr>
              <w:t>信誉要求</w:t>
            </w:r>
          </w:p>
        </w:tc>
        <w:tc>
          <w:tcPr>
            <w:tcW w:w="7797" w:type="dxa"/>
            <w:gridSpan w:val="3"/>
            <w:noWrap w:val="0"/>
            <w:tcMar>
              <w:top w:w="28" w:type="dxa"/>
              <w:bottom w:w="28" w:type="dxa"/>
            </w:tcMar>
            <w:vAlign w:val="top"/>
          </w:tcPr>
          <w:p>
            <w:pPr>
              <w:rPr>
                <w:rFonts w:hint="eastAsia"/>
                <w:color w:val="auto"/>
                <w:szCs w:val="21"/>
              </w:rPr>
            </w:pPr>
            <w:r>
              <w:rPr>
                <w:rFonts w:hint="eastAsia"/>
                <w:color w:val="auto"/>
                <w:szCs w:val="21"/>
              </w:rPr>
              <w:t xml:space="preserve">1. 没有被责令停产停业、暂扣或者吊销许可证、暂扣或者吊销执照； </w:t>
            </w:r>
          </w:p>
          <w:p>
            <w:pPr>
              <w:ind w:left="210" w:hanging="210" w:hangingChars="100"/>
              <w:rPr>
                <w:rFonts w:hint="eastAsia"/>
                <w:color w:val="auto"/>
                <w:szCs w:val="21"/>
              </w:rPr>
            </w:pPr>
            <w:r>
              <w:rPr>
                <w:rFonts w:hint="eastAsia"/>
                <w:color w:val="auto"/>
                <w:szCs w:val="21"/>
              </w:rPr>
              <w:t xml:space="preserve">2. 没有被依法暂停或取消投标资格的（指被本招标项目所在地县级及以上水、住建、公共资源交易监督管理行政主管部门暂停或取消投标资格或禁止进入该区域建设市场且处罚在有效期内或公示期内）； </w:t>
            </w:r>
          </w:p>
          <w:p>
            <w:pPr>
              <w:rPr>
                <w:rFonts w:hint="eastAsia"/>
                <w:color w:val="auto"/>
                <w:szCs w:val="21"/>
              </w:rPr>
            </w:pPr>
            <w:r>
              <w:rPr>
                <w:rFonts w:hint="eastAsia"/>
                <w:color w:val="auto"/>
                <w:szCs w:val="21"/>
              </w:rPr>
              <w:t>3. 没有进入清算程序</w:t>
            </w:r>
            <w:r>
              <w:rPr>
                <w:color w:val="auto"/>
                <w:szCs w:val="21"/>
              </w:rPr>
              <w:t>，</w:t>
            </w:r>
            <w:r>
              <w:rPr>
                <w:rFonts w:hint="eastAsia"/>
                <w:color w:val="auto"/>
                <w:szCs w:val="21"/>
              </w:rPr>
              <w:t>或</w:t>
            </w:r>
            <w:r>
              <w:rPr>
                <w:color w:val="auto"/>
                <w:szCs w:val="21"/>
              </w:rPr>
              <w:t>被宣告破产，或其他丧失履约能力的情形；</w:t>
            </w:r>
          </w:p>
          <w:p>
            <w:pPr>
              <w:rPr>
                <w:rFonts w:hint="eastAsia"/>
                <w:color w:val="auto"/>
                <w:szCs w:val="21"/>
              </w:rPr>
            </w:pPr>
            <w:r>
              <w:rPr>
                <w:rFonts w:hint="eastAsia"/>
                <w:color w:val="auto"/>
                <w:szCs w:val="21"/>
              </w:rPr>
              <w:t>4. 在近三年内没有发生重大工程质量问题</w:t>
            </w:r>
            <w:r>
              <w:rPr>
                <w:color w:val="auto"/>
                <w:szCs w:val="21"/>
              </w:rPr>
              <w:t>；</w:t>
            </w:r>
          </w:p>
          <w:p>
            <w:pPr>
              <w:ind w:left="210" w:hanging="210" w:hangingChars="100"/>
              <w:rPr>
                <w:color w:val="auto"/>
                <w:szCs w:val="21"/>
              </w:rPr>
            </w:pPr>
            <w:r>
              <w:rPr>
                <w:rFonts w:hint="eastAsia"/>
                <w:color w:val="auto"/>
                <w:szCs w:val="21"/>
              </w:rPr>
              <w:t>5. 没有</w:t>
            </w:r>
            <w:r>
              <w:rPr>
                <w:color w:val="auto"/>
                <w:szCs w:val="21"/>
              </w:rPr>
              <w:t>被工商行政管理机关</w:t>
            </w:r>
            <w:r>
              <w:rPr>
                <w:rFonts w:hint="eastAsia"/>
                <w:color w:val="auto"/>
                <w:szCs w:val="21"/>
              </w:rPr>
              <w:t>（市场</w:t>
            </w:r>
            <w:r>
              <w:rPr>
                <w:color w:val="auto"/>
                <w:szCs w:val="21"/>
              </w:rPr>
              <w:t>监</w:t>
            </w:r>
            <w:r>
              <w:rPr>
                <w:rFonts w:hint="eastAsia"/>
                <w:color w:val="auto"/>
                <w:szCs w:val="21"/>
              </w:rPr>
              <w:t>管</w:t>
            </w:r>
            <w:r>
              <w:rPr>
                <w:color w:val="auto"/>
                <w:szCs w:val="21"/>
              </w:rPr>
              <w:t>部门</w:t>
            </w:r>
            <w:r>
              <w:rPr>
                <w:rFonts w:hint="eastAsia"/>
                <w:color w:val="auto"/>
                <w:szCs w:val="21"/>
              </w:rPr>
              <w:t>）</w:t>
            </w:r>
            <w:r>
              <w:rPr>
                <w:color w:val="auto"/>
                <w:szCs w:val="21"/>
              </w:rPr>
              <w:t>在</w:t>
            </w:r>
            <w:r>
              <w:rPr>
                <w:rFonts w:hint="eastAsia"/>
                <w:color w:val="auto"/>
                <w:szCs w:val="21"/>
              </w:rPr>
              <w:t>“国家</w:t>
            </w:r>
            <w:r>
              <w:rPr>
                <w:color w:val="auto"/>
                <w:szCs w:val="21"/>
              </w:rPr>
              <w:t>企业信用信息公示系统</w:t>
            </w:r>
            <w:r>
              <w:rPr>
                <w:rFonts w:hint="eastAsia"/>
                <w:color w:val="auto"/>
                <w:szCs w:val="21"/>
              </w:rPr>
              <w:t>”（</w:t>
            </w:r>
            <w:r>
              <w:rPr>
                <w:color w:val="auto"/>
                <w:szCs w:val="21"/>
              </w:rPr>
              <w:t>www.gsxt.gov.cn</w:t>
            </w:r>
            <w:r>
              <w:rPr>
                <w:rFonts w:hint="eastAsia"/>
                <w:color w:val="auto"/>
                <w:szCs w:val="21"/>
              </w:rPr>
              <w:t>）</w:t>
            </w:r>
            <w:r>
              <w:rPr>
                <w:color w:val="auto"/>
                <w:szCs w:val="21"/>
              </w:rPr>
              <w:t>列入严重违法失信企业名单；</w:t>
            </w:r>
          </w:p>
          <w:p>
            <w:pPr>
              <w:ind w:left="210" w:hanging="210" w:hangingChars="100"/>
              <w:rPr>
                <w:color w:val="auto"/>
                <w:szCs w:val="21"/>
              </w:rPr>
            </w:pPr>
            <w:r>
              <w:rPr>
                <w:rFonts w:hint="eastAsia"/>
                <w:color w:val="auto"/>
                <w:szCs w:val="21"/>
              </w:rPr>
              <w:t>6. 没有</w:t>
            </w:r>
            <w:r>
              <w:rPr>
                <w:color w:val="auto"/>
                <w:szCs w:val="21"/>
              </w:rPr>
              <w:t>被最高人民法院在“信用中国”（www.creditchina.gov.cn）列入失信被执行人名单；</w:t>
            </w:r>
          </w:p>
          <w:p>
            <w:pPr>
              <w:ind w:left="210" w:hanging="210" w:hangingChars="100"/>
              <w:rPr>
                <w:rFonts w:hint="eastAsia"/>
                <w:color w:val="auto"/>
                <w:szCs w:val="21"/>
              </w:rPr>
            </w:pPr>
            <w:r>
              <w:rPr>
                <w:rFonts w:hint="eastAsia"/>
                <w:color w:val="auto"/>
                <w:szCs w:val="21"/>
              </w:rPr>
              <w:t xml:space="preserve">7. </w:t>
            </w:r>
            <w:r>
              <w:rPr>
                <w:color w:val="auto"/>
                <w:szCs w:val="21"/>
              </w:rPr>
              <w:t>近三年内投标人</w:t>
            </w:r>
            <w:r>
              <w:rPr>
                <w:rFonts w:hint="eastAsia"/>
                <w:color w:val="auto"/>
                <w:szCs w:val="21"/>
              </w:rPr>
              <w:t>及</w:t>
            </w:r>
            <w:r>
              <w:rPr>
                <w:color w:val="auto"/>
                <w:szCs w:val="21"/>
              </w:rPr>
              <w:t>其法定代表人</w:t>
            </w:r>
            <w:r>
              <w:rPr>
                <w:rFonts w:hint="eastAsia"/>
                <w:color w:val="auto"/>
                <w:szCs w:val="21"/>
              </w:rPr>
              <w:t>和</w:t>
            </w:r>
            <w:r>
              <w:rPr>
                <w:color w:val="auto"/>
                <w:szCs w:val="21"/>
              </w:rPr>
              <w:t>拟任</w:t>
            </w:r>
            <w:r>
              <w:rPr>
                <w:rFonts w:hint="eastAsia"/>
                <w:color w:val="auto"/>
                <w:szCs w:val="21"/>
              </w:rPr>
              <w:t>项目经理、技术负责人没</w:t>
            </w:r>
            <w:r>
              <w:rPr>
                <w:color w:val="auto"/>
                <w:szCs w:val="21"/>
              </w:rPr>
              <w:t>有行贿犯罪行为；</w:t>
            </w:r>
          </w:p>
          <w:p>
            <w:pPr>
              <w:rPr>
                <w:rFonts w:hint="eastAsia"/>
                <w:color w:val="auto"/>
                <w:szCs w:val="21"/>
              </w:rPr>
            </w:pPr>
            <w:r>
              <w:rPr>
                <w:rFonts w:hint="eastAsia"/>
                <w:color w:val="auto"/>
                <w:szCs w:val="21"/>
              </w:rPr>
              <w:t xml:space="preserve">8. </w:t>
            </w:r>
            <w:r>
              <w:rPr>
                <w:rFonts w:hint="eastAsia"/>
                <w:color w:val="auto"/>
              </w:rPr>
              <w:t>不存在</w:t>
            </w:r>
            <w:r>
              <w:rPr>
                <w:color w:val="auto"/>
                <w:szCs w:val="21"/>
              </w:rPr>
              <w:t>法律法规或投标人须知前附表</w:t>
            </w:r>
            <w:r>
              <w:rPr>
                <w:rFonts w:hint="eastAsia"/>
                <w:color w:val="auto"/>
              </w:rPr>
              <w:t>第1.4.3（16）目</w:t>
            </w:r>
            <w:r>
              <w:rPr>
                <w:color w:val="auto"/>
                <w:szCs w:val="21"/>
              </w:rPr>
              <w:t>规定的</w:t>
            </w:r>
            <w:r>
              <w:rPr>
                <w:rFonts w:hint="eastAsia"/>
                <w:color w:val="auto"/>
              </w:rPr>
              <w:t>不得存在</w:t>
            </w:r>
            <w:r>
              <w:rPr>
                <w:color w:val="auto"/>
                <w:szCs w:val="21"/>
              </w:rPr>
              <w:t>其他情形</w:t>
            </w:r>
            <w:r>
              <w:rPr>
                <w:rFonts w:hint="eastAsia"/>
                <w:color w:val="auto"/>
                <w:szCs w:val="21"/>
              </w:rPr>
              <w:t>；</w:t>
            </w:r>
          </w:p>
          <w:p>
            <w:pPr>
              <w:ind w:left="210" w:hanging="210" w:hangingChars="100"/>
              <w:rPr>
                <w:rFonts w:hint="eastAsia"/>
                <w:color w:val="auto"/>
                <w:szCs w:val="21"/>
              </w:rPr>
            </w:pPr>
            <w:r>
              <w:rPr>
                <w:color w:val="auto"/>
                <w:szCs w:val="21"/>
              </w:rPr>
              <w:t>9</w:t>
            </w:r>
            <w:r>
              <w:rPr>
                <w:rFonts w:hint="eastAsia"/>
                <w:color w:val="auto"/>
                <w:szCs w:val="21"/>
              </w:rPr>
              <w:t>.</w:t>
            </w:r>
            <w:r>
              <w:rPr>
                <w:rFonts w:hint="eastAsia"/>
                <w:color w:val="auto"/>
              </w:rPr>
              <w:t xml:space="preserve"> </w:t>
            </w:r>
            <w:r>
              <w:rPr>
                <w:rFonts w:hint="eastAsia"/>
                <w:color w:val="auto"/>
                <w:szCs w:val="21"/>
              </w:rPr>
              <w:t>因拖欠农民工工资而被县级及以上人社部门作出行政处罚且处于有效期内或公示期内；</w:t>
            </w: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noWrap w:val="0"/>
            <w:tcMar>
              <w:top w:w="28" w:type="dxa"/>
              <w:bottom w:w="28" w:type="dxa"/>
            </w:tcMar>
            <w:vAlign w:val="center"/>
          </w:tcPr>
          <w:p>
            <w:pPr>
              <w:jc w:val="center"/>
              <w:rPr>
                <w:color w:val="auto"/>
                <w:szCs w:val="21"/>
              </w:rPr>
            </w:pPr>
            <w:r>
              <w:rPr>
                <w:color w:val="auto"/>
                <w:szCs w:val="21"/>
              </w:rPr>
              <w:t>业绩要求</w:t>
            </w:r>
          </w:p>
        </w:tc>
        <w:tc>
          <w:tcPr>
            <w:tcW w:w="7797" w:type="dxa"/>
            <w:gridSpan w:val="3"/>
            <w:noWrap w:val="0"/>
            <w:tcMar>
              <w:top w:w="28" w:type="dxa"/>
              <w:bottom w:w="28" w:type="dxa"/>
            </w:tcMar>
            <w:vAlign w:val="center"/>
          </w:tcPr>
          <w:p>
            <w:pPr>
              <w:rPr>
                <w:rFonts w:hint="eastAsia"/>
                <w:color w:val="auto"/>
              </w:rPr>
            </w:pPr>
            <w:r>
              <w:rPr>
                <w:color w:val="auto"/>
                <w:szCs w:val="21"/>
              </w:rPr>
              <w:t>近</w:t>
            </w:r>
            <w:r>
              <w:rPr>
                <w:rFonts w:hint="eastAsia"/>
                <w:color w:val="auto"/>
                <w:szCs w:val="21"/>
                <w:u w:val="single"/>
              </w:rPr>
              <w:t xml:space="preserve">    </w:t>
            </w:r>
            <w:r>
              <w:rPr>
                <w:color w:val="auto"/>
                <w:szCs w:val="21"/>
              </w:rPr>
              <w:t>年</w:t>
            </w:r>
            <w:r>
              <w:rPr>
                <w:rFonts w:hint="eastAsia"/>
                <w:color w:val="auto"/>
                <w:szCs w:val="21"/>
              </w:rPr>
              <w:t>承接</w:t>
            </w:r>
            <w:r>
              <w:rPr>
                <w:color w:val="auto"/>
                <w:szCs w:val="21"/>
              </w:rPr>
              <w:t>过</w:t>
            </w:r>
            <w:r>
              <w:rPr>
                <w:color w:val="auto"/>
                <w:szCs w:val="21"/>
                <w:u w:val="single"/>
              </w:rPr>
              <w:t xml:space="preserve">   </w:t>
            </w:r>
            <w:r>
              <w:rPr>
                <w:rFonts w:hint="eastAsia" w:ascii="宋体" w:hAnsi="宋体"/>
                <w:color w:val="auto"/>
                <w:szCs w:val="21"/>
                <w:u w:val="single"/>
              </w:rPr>
              <w:t>（同类工程或类似工程描述）</w:t>
            </w:r>
            <w:r>
              <w:rPr>
                <w:rFonts w:hint="eastAsia"/>
                <w:color w:val="auto"/>
                <w:szCs w:val="21"/>
                <w:u w:val="single"/>
              </w:rPr>
              <w:t xml:space="preserve">  </w:t>
            </w:r>
            <w:r>
              <w:rPr>
                <w:color w:val="auto"/>
                <w:szCs w:val="21"/>
              </w:rPr>
              <w:t>的</w:t>
            </w:r>
            <w:r>
              <w:rPr>
                <w:rFonts w:hint="eastAsia"/>
                <w:color w:val="auto"/>
                <w:szCs w:val="21"/>
              </w:rPr>
              <w:t>业绩</w:t>
            </w:r>
            <w:r>
              <w:rPr>
                <w:color w:val="auto"/>
                <w:szCs w:val="21"/>
              </w:rPr>
              <w:t>。</w:t>
            </w: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vMerge w:val="restart"/>
            <w:noWrap w:val="0"/>
            <w:tcMar>
              <w:top w:w="28" w:type="dxa"/>
              <w:bottom w:w="28" w:type="dxa"/>
            </w:tcMar>
            <w:vAlign w:val="center"/>
          </w:tcPr>
          <w:p>
            <w:pPr>
              <w:jc w:val="center"/>
              <w:rPr>
                <w:rFonts w:hint="eastAsia"/>
                <w:color w:val="auto"/>
                <w:szCs w:val="21"/>
              </w:rPr>
            </w:pPr>
            <w:r>
              <w:rPr>
                <w:rFonts w:hint="eastAsia"/>
                <w:color w:val="auto"/>
                <w:szCs w:val="21"/>
              </w:rPr>
              <w:t>项目管理机构主要人员</w:t>
            </w:r>
          </w:p>
          <w:p>
            <w:pPr>
              <w:jc w:val="center"/>
              <w:rPr>
                <w:rFonts w:hint="eastAsia"/>
                <w:color w:val="auto"/>
                <w:szCs w:val="21"/>
              </w:rPr>
            </w:pPr>
            <w:r>
              <w:rPr>
                <w:rFonts w:hint="eastAsia"/>
                <w:color w:val="auto"/>
                <w:szCs w:val="21"/>
              </w:rPr>
              <w:t>要求</w:t>
            </w:r>
          </w:p>
          <w:p>
            <w:pPr>
              <w:rPr>
                <w:rFonts w:hint="eastAsia"/>
                <w:color w:val="auto"/>
                <w:szCs w:val="21"/>
              </w:rPr>
            </w:pPr>
          </w:p>
        </w:tc>
        <w:tc>
          <w:tcPr>
            <w:tcW w:w="1985" w:type="dxa"/>
            <w:noWrap w:val="0"/>
            <w:tcMar>
              <w:top w:w="28" w:type="dxa"/>
              <w:bottom w:w="28" w:type="dxa"/>
            </w:tcMar>
            <w:vAlign w:val="top"/>
          </w:tcPr>
          <w:p>
            <w:pPr>
              <w:jc w:val="center"/>
              <w:rPr>
                <w:rFonts w:hint="eastAsia"/>
                <w:color w:val="auto"/>
                <w:szCs w:val="21"/>
              </w:rPr>
            </w:pPr>
            <w:r>
              <w:rPr>
                <w:rFonts w:hint="eastAsia"/>
                <w:color w:val="auto"/>
                <w:szCs w:val="21"/>
              </w:rPr>
              <w:t>岗位</w:t>
            </w:r>
          </w:p>
        </w:tc>
        <w:tc>
          <w:tcPr>
            <w:tcW w:w="4678" w:type="dxa"/>
            <w:noWrap w:val="0"/>
            <w:tcMar>
              <w:top w:w="28" w:type="dxa"/>
              <w:bottom w:w="28" w:type="dxa"/>
            </w:tcMar>
            <w:vAlign w:val="top"/>
          </w:tcPr>
          <w:p>
            <w:pPr>
              <w:jc w:val="center"/>
              <w:rPr>
                <w:rFonts w:hint="eastAsia"/>
                <w:color w:val="auto"/>
                <w:szCs w:val="21"/>
              </w:rPr>
            </w:pPr>
            <w:r>
              <w:rPr>
                <w:rFonts w:hint="eastAsia"/>
                <w:color w:val="auto"/>
                <w:szCs w:val="21"/>
              </w:rPr>
              <w:t>资格要求</w:t>
            </w:r>
          </w:p>
        </w:tc>
        <w:tc>
          <w:tcPr>
            <w:tcW w:w="1134" w:type="dxa"/>
            <w:noWrap w:val="0"/>
            <w:tcMar>
              <w:top w:w="28" w:type="dxa"/>
              <w:bottom w:w="28" w:type="dxa"/>
            </w:tcMar>
            <w:vAlign w:val="top"/>
          </w:tcPr>
          <w:p>
            <w:pPr>
              <w:jc w:val="center"/>
              <w:rPr>
                <w:rFonts w:hint="eastAsia"/>
                <w:color w:val="auto"/>
                <w:szCs w:val="21"/>
              </w:rPr>
            </w:pPr>
            <w:r>
              <w:rPr>
                <w:rFonts w:hint="eastAsia"/>
                <w:color w:val="auto"/>
                <w:szCs w:val="21"/>
              </w:rPr>
              <w:t>数量（人）</w:t>
            </w:r>
          </w:p>
        </w:tc>
        <w:tc>
          <w:tcPr>
            <w:tcW w:w="666" w:type="dxa"/>
            <w:noWrap w:val="0"/>
            <w:tcMar>
              <w:top w:w="28" w:type="dxa"/>
              <w:bottom w:w="28" w:type="dxa"/>
            </w:tcMar>
            <w:vAlign w:val="top"/>
          </w:tcPr>
          <w:p>
            <w:pPr>
              <w:rPr>
                <w:rFonts w:hint="eastAsia"/>
                <w:color w:val="auto"/>
                <w:szCs w:val="21"/>
              </w:rPr>
            </w:pPr>
            <w:r>
              <w:rPr>
                <w:rFonts w:hint="eastAsia"/>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675" w:type="dxa"/>
            <w:vMerge w:val="continue"/>
            <w:noWrap w:val="0"/>
            <w:tcMar>
              <w:top w:w="28" w:type="dxa"/>
              <w:bottom w:w="28" w:type="dxa"/>
            </w:tcMar>
            <w:vAlign w:val="center"/>
          </w:tcPr>
          <w:p>
            <w:pPr>
              <w:rPr>
                <w:rFonts w:hint="eastAsia"/>
                <w:color w:val="auto"/>
                <w:szCs w:val="21"/>
              </w:rPr>
            </w:pPr>
          </w:p>
        </w:tc>
        <w:tc>
          <w:tcPr>
            <w:tcW w:w="1985" w:type="dxa"/>
            <w:noWrap w:val="0"/>
            <w:tcMar>
              <w:top w:w="28" w:type="dxa"/>
              <w:bottom w:w="28" w:type="dxa"/>
            </w:tcMar>
            <w:vAlign w:val="center"/>
          </w:tcPr>
          <w:p>
            <w:pPr>
              <w:jc w:val="center"/>
              <w:rPr>
                <w:rFonts w:hint="eastAsia"/>
                <w:color w:val="auto"/>
                <w:szCs w:val="21"/>
              </w:rPr>
            </w:pPr>
            <w:r>
              <w:rPr>
                <w:rFonts w:hint="eastAsia"/>
                <w:color w:val="auto"/>
                <w:szCs w:val="21"/>
              </w:rPr>
              <w:t>项目经理</w:t>
            </w:r>
          </w:p>
        </w:tc>
        <w:tc>
          <w:tcPr>
            <w:tcW w:w="4678" w:type="dxa"/>
            <w:noWrap w:val="0"/>
            <w:tcMar>
              <w:top w:w="28" w:type="dxa"/>
              <w:bottom w:w="28" w:type="dxa"/>
            </w:tcMar>
            <w:vAlign w:val="center"/>
          </w:tcPr>
          <w:p>
            <w:pPr>
              <w:autoSpaceDE w:val="0"/>
              <w:autoSpaceDN w:val="0"/>
              <w:adjustRightInd w:val="0"/>
              <w:rPr>
                <w:rFonts w:hint="eastAsia"/>
                <w:color w:val="auto"/>
              </w:rPr>
            </w:pPr>
            <w:r>
              <w:rPr>
                <w:rFonts w:hint="eastAsia"/>
                <w:color w:val="auto"/>
              </w:rPr>
              <w:t>具有</w:t>
            </w:r>
            <w:r>
              <w:rPr>
                <w:rFonts w:hint="eastAsia"/>
                <w:color w:val="auto"/>
                <w:u w:val="single"/>
              </w:rPr>
              <w:t>（专业、等级）</w:t>
            </w:r>
            <w:r>
              <w:rPr>
                <w:rFonts w:hint="eastAsia"/>
                <w:color w:val="auto"/>
              </w:rPr>
              <w:t>注册建造师执业资格和</w:t>
            </w:r>
            <w:r>
              <w:rPr>
                <w:rFonts w:hint="eastAsia"/>
                <w:color w:val="auto"/>
                <w:szCs w:val="21"/>
              </w:rPr>
              <w:t>水行政主管部门颁发的</w:t>
            </w:r>
            <w:r>
              <w:rPr>
                <w:rFonts w:hint="eastAsia"/>
                <w:color w:val="auto"/>
              </w:rPr>
              <w:t>有效安全生产考核合格证书（B证），且未担任其他在施建设工程项目的项目经理</w:t>
            </w:r>
            <w:r>
              <w:rPr>
                <w:rFonts w:hint="eastAsia" w:ascii="宋体" w:hAnsi="宋体"/>
                <w:color w:val="auto"/>
                <w:szCs w:val="21"/>
              </w:rPr>
              <w:t>。</w:t>
            </w:r>
          </w:p>
        </w:tc>
        <w:tc>
          <w:tcPr>
            <w:tcW w:w="1134" w:type="dxa"/>
            <w:noWrap w:val="0"/>
            <w:tcMar>
              <w:top w:w="28" w:type="dxa"/>
              <w:bottom w:w="28" w:type="dxa"/>
            </w:tcMar>
            <w:vAlign w:val="center"/>
          </w:tcPr>
          <w:p>
            <w:pPr>
              <w:jc w:val="center"/>
              <w:rPr>
                <w:rFonts w:hint="eastAsia"/>
                <w:color w:val="auto"/>
                <w:szCs w:val="21"/>
              </w:rPr>
            </w:pPr>
            <w:r>
              <w:rPr>
                <w:rFonts w:hint="eastAsia"/>
                <w:color w:val="auto"/>
                <w:szCs w:val="21"/>
              </w:rPr>
              <w:t>1</w:t>
            </w:r>
          </w:p>
        </w:tc>
        <w:tc>
          <w:tcPr>
            <w:tcW w:w="666" w:type="dxa"/>
            <w:noWrap w:val="0"/>
            <w:tcMar>
              <w:top w:w="28" w:type="dxa"/>
              <w:bottom w:w="28" w:type="dxa"/>
            </w:tcMar>
            <w:vAlign w:val="center"/>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2" w:hRule="atLeast"/>
        </w:trPr>
        <w:tc>
          <w:tcPr>
            <w:tcW w:w="675" w:type="dxa"/>
            <w:vMerge w:val="continue"/>
            <w:noWrap w:val="0"/>
            <w:tcMar>
              <w:top w:w="28" w:type="dxa"/>
              <w:bottom w:w="28" w:type="dxa"/>
            </w:tcMar>
            <w:vAlign w:val="center"/>
          </w:tcPr>
          <w:p>
            <w:pPr>
              <w:rPr>
                <w:rFonts w:hint="eastAsia"/>
                <w:color w:val="auto"/>
                <w:szCs w:val="21"/>
              </w:rPr>
            </w:pPr>
          </w:p>
        </w:tc>
        <w:tc>
          <w:tcPr>
            <w:tcW w:w="1985" w:type="dxa"/>
            <w:noWrap w:val="0"/>
            <w:tcMar>
              <w:top w:w="28" w:type="dxa"/>
              <w:bottom w:w="28" w:type="dxa"/>
            </w:tcMar>
            <w:vAlign w:val="center"/>
          </w:tcPr>
          <w:p>
            <w:pPr>
              <w:jc w:val="center"/>
              <w:rPr>
                <w:rFonts w:hint="eastAsia"/>
                <w:color w:val="auto"/>
                <w:szCs w:val="21"/>
              </w:rPr>
            </w:pPr>
            <w:r>
              <w:rPr>
                <w:rFonts w:hint="eastAsia"/>
                <w:color w:val="auto"/>
                <w:szCs w:val="21"/>
              </w:rPr>
              <w:t>项目技术</w:t>
            </w:r>
          </w:p>
          <w:p>
            <w:pPr>
              <w:jc w:val="center"/>
              <w:rPr>
                <w:rFonts w:hint="eastAsia"/>
                <w:color w:val="auto"/>
                <w:szCs w:val="21"/>
              </w:rPr>
            </w:pPr>
            <w:r>
              <w:rPr>
                <w:rFonts w:hint="eastAsia"/>
                <w:color w:val="auto"/>
                <w:szCs w:val="21"/>
              </w:rPr>
              <w:t>负责人</w:t>
            </w:r>
          </w:p>
        </w:tc>
        <w:tc>
          <w:tcPr>
            <w:tcW w:w="4678" w:type="dxa"/>
            <w:noWrap w:val="0"/>
            <w:tcMar>
              <w:top w:w="28" w:type="dxa"/>
              <w:bottom w:w="28" w:type="dxa"/>
            </w:tcMar>
            <w:vAlign w:val="center"/>
          </w:tcPr>
          <w:p>
            <w:pPr>
              <w:autoSpaceDE w:val="0"/>
              <w:autoSpaceDN w:val="0"/>
              <w:jc w:val="left"/>
              <w:rPr>
                <w:rFonts w:hint="eastAsia"/>
                <w:color w:val="auto"/>
                <w:szCs w:val="21"/>
              </w:rPr>
            </w:pPr>
            <w:r>
              <w:rPr>
                <w:rFonts w:hint="eastAsia"/>
                <w:color w:val="auto"/>
              </w:rPr>
              <w:t>具有</w:t>
            </w:r>
            <w:r>
              <w:rPr>
                <w:rFonts w:hint="eastAsia"/>
                <w:color w:val="auto"/>
                <w:u w:val="single"/>
              </w:rPr>
              <w:t>（专业、等级）</w:t>
            </w:r>
            <w:r>
              <w:rPr>
                <w:rFonts w:hint="eastAsia"/>
                <w:color w:val="auto"/>
                <w:szCs w:val="21"/>
              </w:rPr>
              <w:t>技术</w:t>
            </w:r>
            <w:r>
              <w:rPr>
                <w:color w:val="auto"/>
                <w:szCs w:val="21"/>
              </w:rPr>
              <w:t>职称或</w:t>
            </w:r>
            <w:r>
              <w:rPr>
                <w:rFonts w:hint="eastAsia"/>
                <w:color w:val="auto"/>
                <w:u w:val="single"/>
              </w:rPr>
              <w:t xml:space="preserve">（专业、等级）   </w:t>
            </w:r>
            <w:r>
              <w:rPr>
                <w:color w:val="auto"/>
                <w:szCs w:val="21"/>
              </w:rPr>
              <w:t>注册建造师执业资格</w:t>
            </w:r>
            <w:r>
              <w:rPr>
                <w:rFonts w:hint="eastAsia"/>
                <w:color w:val="auto"/>
                <w:szCs w:val="21"/>
              </w:rPr>
              <w:t>，</w:t>
            </w:r>
            <w:r>
              <w:rPr>
                <w:rFonts w:hint="eastAsia"/>
                <w:color w:val="auto"/>
                <w:u w:val="single"/>
              </w:rPr>
              <w:t xml:space="preserve">     </w:t>
            </w:r>
            <w:r>
              <w:rPr>
                <w:rFonts w:hint="eastAsia"/>
                <w:color w:val="auto"/>
              </w:rPr>
              <w:t>年及以上从事工程施工技术管理工作经验。</w:t>
            </w:r>
          </w:p>
        </w:tc>
        <w:tc>
          <w:tcPr>
            <w:tcW w:w="1134" w:type="dxa"/>
            <w:noWrap w:val="0"/>
            <w:tcMar>
              <w:top w:w="28" w:type="dxa"/>
              <w:bottom w:w="28" w:type="dxa"/>
            </w:tcMar>
            <w:vAlign w:val="center"/>
          </w:tcPr>
          <w:p>
            <w:pPr>
              <w:jc w:val="center"/>
              <w:rPr>
                <w:rFonts w:hint="eastAsia"/>
                <w:color w:val="auto"/>
                <w:szCs w:val="21"/>
              </w:rPr>
            </w:pP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vMerge w:val="continue"/>
            <w:noWrap w:val="0"/>
            <w:tcMar>
              <w:top w:w="28" w:type="dxa"/>
              <w:bottom w:w="28" w:type="dxa"/>
            </w:tcMar>
            <w:vAlign w:val="center"/>
          </w:tcPr>
          <w:p>
            <w:pPr>
              <w:rPr>
                <w:rFonts w:hint="eastAsia"/>
                <w:color w:val="auto"/>
                <w:szCs w:val="21"/>
              </w:rPr>
            </w:pPr>
          </w:p>
        </w:tc>
        <w:tc>
          <w:tcPr>
            <w:tcW w:w="1985" w:type="dxa"/>
            <w:noWrap w:val="0"/>
            <w:tcMar>
              <w:top w:w="28" w:type="dxa"/>
              <w:bottom w:w="28" w:type="dxa"/>
            </w:tcMar>
            <w:vAlign w:val="center"/>
          </w:tcPr>
          <w:p>
            <w:pPr>
              <w:jc w:val="center"/>
              <w:rPr>
                <w:rFonts w:hint="eastAsia"/>
                <w:color w:val="auto"/>
                <w:szCs w:val="21"/>
              </w:rPr>
            </w:pPr>
            <w:r>
              <w:rPr>
                <w:rFonts w:hint="eastAsia"/>
                <w:color w:val="auto"/>
                <w:szCs w:val="21"/>
              </w:rPr>
              <w:t>项目</w:t>
            </w:r>
          </w:p>
          <w:p>
            <w:pPr>
              <w:jc w:val="center"/>
              <w:rPr>
                <w:rFonts w:hint="eastAsia"/>
                <w:color w:val="auto"/>
                <w:szCs w:val="21"/>
              </w:rPr>
            </w:pPr>
            <w:r>
              <w:rPr>
                <w:rFonts w:hint="eastAsia"/>
                <w:color w:val="auto"/>
                <w:szCs w:val="21"/>
              </w:rPr>
              <w:t>副经理</w:t>
            </w:r>
          </w:p>
        </w:tc>
        <w:tc>
          <w:tcPr>
            <w:tcW w:w="4678" w:type="dxa"/>
            <w:noWrap w:val="0"/>
            <w:tcMar>
              <w:top w:w="28" w:type="dxa"/>
              <w:bottom w:w="28" w:type="dxa"/>
            </w:tcMar>
            <w:vAlign w:val="center"/>
          </w:tcPr>
          <w:p>
            <w:pPr>
              <w:autoSpaceDE w:val="0"/>
              <w:autoSpaceDN w:val="0"/>
              <w:adjustRightInd w:val="0"/>
              <w:rPr>
                <w:rFonts w:hint="eastAsia"/>
                <w:color w:val="auto"/>
              </w:rPr>
            </w:pPr>
            <w:r>
              <w:rPr>
                <w:rFonts w:hint="eastAsia"/>
                <w:color w:val="auto"/>
              </w:rPr>
              <w:t>具有</w:t>
            </w:r>
            <w:r>
              <w:rPr>
                <w:rFonts w:hint="eastAsia"/>
                <w:color w:val="auto"/>
                <w:u w:val="single"/>
              </w:rPr>
              <w:t>（专业、等级）</w:t>
            </w:r>
            <w:r>
              <w:rPr>
                <w:rFonts w:hint="eastAsia"/>
                <w:color w:val="auto"/>
              </w:rPr>
              <w:t>注册建造师执业资格或具有</w:t>
            </w:r>
            <w:r>
              <w:rPr>
                <w:rFonts w:hint="eastAsia"/>
                <w:color w:val="auto"/>
                <w:u w:val="single"/>
              </w:rPr>
              <w:t xml:space="preserve"> （专业、等级）</w:t>
            </w:r>
            <w:r>
              <w:rPr>
                <w:rFonts w:hint="eastAsia"/>
                <w:color w:val="auto"/>
                <w:szCs w:val="21"/>
              </w:rPr>
              <w:t>技术</w:t>
            </w:r>
            <w:r>
              <w:rPr>
                <w:rFonts w:hint="eastAsia"/>
                <w:color w:val="auto"/>
              </w:rPr>
              <w:t>职称，</w:t>
            </w:r>
            <w:r>
              <w:rPr>
                <w:rFonts w:hint="eastAsia"/>
                <w:color w:val="auto"/>
                <w:u w:val="single"/>
              </w:rPr>
              <w:t xml:space="preserve">    </w:t>
            </w:r>
            <w:r>
              <w:rPr>
                <w:rFonts w:hint="eastAsia"/>
                <w:color w:val="auto"/>
              </w:rPr>
              <w:t>年及以上从事工程施工项目管理经验。</w:t>
            </w:r>
          </w:p>
        </w:tc>
        <w:tc>
          <w:tcPr>
            <w:tcW w:w="1134" w:type="dxa"/>
            <w:noWrap w:val="0"/>
            <w:tcMar>
              <w:top w:w="28" w:type="dxa"/>
              <w:bottom w:w="28" w:type="dxa"/>
            </w:tcMar>
            <w:vAlign w:val="center"/>
          </w:tcPr>
          <w:p>
            <w:pPr>
              <w:jc w:val="center"/>
              <w:rPr>
                <w:rFonts w:hint="eastAsia"/>
                <w:color w:val="auto"/>
                <w:szCs w:val="21"/>
              </w:rPr>
            </w:pP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75" w:type="dxa"/>
            <w:vMerge w:val="continue"/>
            <w:noWrap w:val="0"/>
            <w:tcMar>
              <w:top w:w="28" w:type="dxa"/>
              <w:bottom w:w="28" w:type="dxa"/>
            </w:tcMar>
            <w:vAlign w:val="center"/>
          </w:tcPr>
          <w:p>
            <w:pPr>
              <w:rPr>
                <w:rFonts w:hint="eastAsia"/>
                <w:color w:val="auto"/>
                <w:szCs w:val="21"/>
              </w:rPr>
            </w:pPr>
          </w:p>
        </w:tc>
        <w:tc>
          <w:tcPr>
            <w:tcW w:w="1985" w:type="dxa"/>
            <w:noWrap w:val="0"/>
            <w:tcMar>
              <w:top w:w="28" w:type="dxa"/>
              <w:bottom w:w="28" w:type="dxa"/>
            </w:tcMar>
            <w:vAlign w:val="center"/>
          </w:tcPr>
          <w:p>
            <w:pPr>
              <w:jc w:val="center"/>
              <w:rPr>
                <w:rFonts w:hint="eastAsia"/>
                <w:color w:val="auto"/>
                <w:szCs w:val="21"/>
              </w:rPr>
            </w:pPr>
            <w:r>
              <w:rPr>
                <w:rFonts w:hint="eastAsia"/>
                <w:color w:val="auto"/>
                <w:szCs w:val="21"/>
              </w:rPr>
              <w:t>专职安全生产</w:t>
            </w:r>
          </w:p>
          <w:p>
            <w:pPr>
              <w:jc w:val="center"/>
              <w:rPr>
                <w:rFonts w:hint="eastAsia"/>
                <w:color w:val="auto"/>
                <w:szCs w:val="21"/>
              </w:rPr>
            </w:pPr>
            <w:r>
              <w:rPr>
                <w:rFonts w:hint="eastAsia"/>
                <w:color w:val="auto"/>
                <w:szCs w:val="21"/>
              </w:rPr>
              <w:t>管理人员</w:t>
            </w:r>
          </w:p>
        </w:tc>
        <w:tc>
          <w:tcPr>
            <w:tcW w:w="4678" w:type="dxa"/>
            <w:noWrap w:val="0"/>
            <w:tcMar>
              <w:top w:w="28" w:type="dxa"/>
              <w:bottom w:w="28" w:type="dxa"/>
            </w:tcMar>
            <w:vAlign w:val="center"/>
          </w:tcPr>
          <w:p>
            <w:pPr>
              <w:autoSpaceDE w:val="0"/>
              <w:autoSpaceDN w:val="0"/>
              <w:adjustRightInd w:val="0"/>
              <w:rPr>
                <w:rFonts w:hint="eastAsia"/>
                <w:color w:val="auto"/>
              </w:rPr>
            </w:pPr>
            <w:r>
              <w:rPr>
                <w:rFonts w:hint="eastAsia"/>
                <w:color w:val="auto"/>
                <w:szCs w:val="21"/>
              </w:rPr>
              <w:t>具有水行政主管部门颁发的</w:t>
            </w:r>
            <w:r>
              <w:rPr>
                <w:rFonts w:hint="eastAsia"/>
                <w:color w:val="auto"/>
              </w:rPr>
              <w:t>有效安全生产考核合格证书（C证）。</w:t>
            </w:r>
          </w:p>
        </w:tc>
        <w:tc>
          <w:tcPr>
            <w:tcW w:w="1134" w:type="dxa"/>
            <w:noWrap w:val="0"/>
            <w:tcMar>
              <w:top w:w="28" w:type="dxa"/>
              <w:bottom w:w="28" w:type="dxa"/>
            </w:tcMar>
            <w:vAlign w:val="center"/>
          </w:tcPr>
          <w:p>
            <w:pPr>
              <w:jc w:val="center"/>
              <w:rPr>
                <w:rFonts w:hint="eastAsia"/>
                <w:color w:val="auto"/>
                <w:szCs w:val="21"/>
              </w:rPr>
            </w:pP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trPr>
        <w:tc>
          <w:tcPr>
            <w:tcW w:w="675" w:type="dxa"/>
            <w:vMerge w:val="continue"/>
            <w:noWrap w:val="0"/>
            <w:tcMar>
              <w:top w:w="28" w:type="dxa"/>
              <w:bottom w:w="28" w:type="dxa"/>
            </w:tcMar>
            <w:vAlign w:val="top"/>
          </w:tcPr>
          <w:p>
            <w:pPr>
              <w:rPr>
                <w:rFonts w:hint="eastAsia"/>
                <w:color w:val="auto"/>
                <w:szCs w:val="21"/>
              </w:rPr>
            </w:pPr>
          </w:p>
        </w:tc>
        <w:tc>
          <w:tcPr>
            <w:tcW w:w="1985" w:type="dxa"/>
            <w:noWrap w:val="0"/>
            <w:tcMar>
              <w:top w:w="28" w:type="dxa"/>
              <w:bottom w:w="28" w:type="dxa"/>
            </w:tcMar>
            <w:vAlign w:val="center"/>
          </w:tcPr>
          <w:p>
            <w:pPr>
              <w:jc w:val="center"/>
              <w:rPr>
                <w:rFonts w:hint="eastAsia"/>
                <w:color w:val="auto"/>
                <w:szCs w:val="21"/>
              </w:rPr>
            </w:pPr>
            <w:r>
              <w:rPr>
                <w:rFonts w:hint="eastAsia"/>
                <w:color w:val="auto"/>
                <w:szCs w:val="21"/>
              </w:rPr>
              <w:t>其他要求</w:t>
            </w:r>
          </w:p>
        </w:tc>
        <w:tc>
          <w:tcPr>
            <w:tcW w:w="5812" w:type="dxa"/>
            <w:gridSpan w:val="2"/>
            <w:noWrap w:val="0"/>
            <w:tcMar>
              <w:top w:w="28" w:type="dxa"/>
              <w:bottom w:w="28" w:type="dxa"/>
            </w:tcMar>
            <w:vAlign w:val="top"/>
          </w:tcPr>
          <w:p>
            <w:pPr>
              <w:rPr>
                <w:rFonts w:hint="eastAsia" w:ascii="宋体" w:hAnsi="宋体"/>
                <w:color w:val="auto"/>
                <w:szCs w:val="21"/>
              </w:rPr>
            </w:pPr>
            <w:r>
              <w:rPr>
                <w:rFonts w:hint="eastAsia"/>
                <w:color w:val="auto"/>
                <w:szCs w:val="21"/>
              </w:rPr>
              <w:t>1. 项目管理机构</w:t>
            </w:r>
            <w:r>
              <w:rPr>
                <w:rFonts w:hint="eastAsia" w:ascii="宋体" w:hAnsi="宋体"/>
                <w:color w:val="auto"/>
                <w:szCs w:val="21"/>
              </w:rPr>
              <w:t>主要人员不得相互兼职。</w:t>
            </w:r>
          </w:p>
          <w:p>
            <w:pPr>
              <w:ind w:left="315" w:hanging="315" w:hangingChars="150"/>
              <w:rPr>
                <w:rFonts w:hint="eastAsia" w:ascii="宋体" w:hAnsi="宋体"/>
                <w:color w:val="auto"/>
                <w:szCs w:val="21"/>
              </w:rPr>
            </w:pPr>
            <w:r>
              <w:rPr>
                <w:rFonts w:hint="eastAsia"/>
                <w:color w:val="auto"/>
              </w:rPr>
              <w:t>2. 均应当在投标单位注册</w:t>
            </w:r>
            <w:r>
              <w:rPr>
                <w:rFonts w:hint="eastAsia" w:ascii="宋体" w:hAnsi="宋体"/>
                <w:color w:val="auto"/>
                <w:szCs w:val="21"/>
              </w:rPr>
              <w:t>执业或岗位</w:t>
            </w:r>
            <w:r>
              <w:rPr>
                <w:rFonts w:hint="eastAsia"/>
                <w:color w:val="auto"/>
              </w:rPr>
              <w:t>登记，且</w:t>
            </w:r>
            <w:r>
              <w:rPr>
                <w:rFonts w:ascii="宋体" w:hAnsi="宋体"/>
                <w:color w:val="auto"/>
                <w:szCs w:val="21"/>
              </w:rPr>
              <w:t>社会保险缴费单位应</w:t>
            </w:r>
            <w:r>
              <w:rPr>
                <w:rFonts w:hint="eastAsia" w:ascii="宋体" w:hAnsi="宋体"/>
                <w:color w:val="auto"/>
                <w:szCs w:val="21"/>
              </w:rPr>
              <w:t>是投标</w:t>
            </w:r>
            <w:r>
              <w:rPr>
                <w:rFonts w:ascii="宋体" w:hAnsi="宋体"/>
                <w:color w:val="auto"/>
                <w:szCs w:val="21"/>
              </w:rPr>
              <w:t>单位</w:t>
            </w:r>
            <w:r>
              <w:rPr>
                <w:rFonts w:hint="eastAsia" w:ascii="宋体" w:hAnsi="宋体"/>
                <w:color w:val="auto"/>
                <w:szCs w:val="21"/>
              </w:rPr>
              <w:t>。</w:t>
            </w:r>
          </w:p>
        </w:tc>
        <w:tc>
          <w:tcPr>
            <w:tcW w:w="666" w:type="dxa"/>
            <w:noWrap w:val="0"/>
            <w:tcMar>
              <w:top w:w="28" w:type="dxa"/>
              <w:bottom w:w="28" w:type="dxa"/>
            </w:tcMar>
            <w:vAlign w:val="top"/>
          </w:tcPr>
          <w:p>
            <w:pPr>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trPr>
        <w:tc>
          <w:tcPr>
            <w:tcW w:w="675" w:type="dxa"/>
            <w:noWrap w:val="0"/>
            <w:tcMar>
              <w:top w:w="28" w:type="dxa"/>
              <w:bottom w:w="28" w:type="dxa"/>
            </w:tcMar>
            <w:vAlign w:val="center"/>
          </w:tcPr>
          <w:p>
            <w:pPr>
              <w:jc w:val="center"/>
              <w:rPr>
                <w:rFonts w:hint="eastAsia"/>
                <w:color w:val="auto"/>
                <w:szCs w:val="21"/>
              </w:rPr>
            </w:pPr>
            <w:r>
              <w:rPr>
                <w:rFonts w:hint="eastAsia"/>
                <w:color w:val="auto"/>
                <w:szCs w:val="21"/>
              </w:rPr>
              <w:t>其他要求</w:t>
            </w:r>
          </w:p>
        </w:tc>
        <w:tc>
          <w:tcPr>
            <w:tcW w:w="7797" w:type="dxa"/>
            <w:gridSpan w:val="3"/>
            <w:noWrap w:val="0"/>
            <w:tcMar>
              <w:top w:w="28" w:type="dxa"/>
              <w:bottom w:w="28" w:type="dxa"/>
            </w:tcMar>
            <w:vAlign w:val="center"/>
          </w:tcPr>
          <w:p>
            <w:pPr>
              <w:rPr>
                <w:rFonts w:hint="eastAsia"/>
                <w:color w:val="auto"/>
                <w:szCs w:val="21"/>
              </w:rPr>
            </w:pPr>
            <w:r>
              <w:rPr>
                <w:rFonts w:hint="eastAsia"/>
                <w:color w:val="auto"/>
                <w:szCs w:val="21"/>
              </w:rPr>
              <w:t>1. 拟投入主要施工设备要求</w:t>
            </w:r>
          </w:p>
          <w:p>
            <w:pPr>
              <w:rPr>
                <w:rFonts w:hint="eastAsia"/>
                <w:color w:val="auto"/>
                <w:szCs w:val="21"/>
              </w:rPr>
            </w:pPr>
            <w:r>
              <w:rPr>
                <w:rFonts w:hint="eastAsia"/>
                <w:color w:val="auto"/>
                <w:szCs w:val="21"/>
              </w:rPr>
              <w:t>……</w:t>
            </w:r>
          </w:p>
          <w:p>
            <w:pPr>
              <w:rPr>
                <w:rFonts w:hint="eastAsia"/>
                <w:color w:val="auto"/>
                <w:szCs w:val="21"/>
              </w:rPr>
            </w:pPr>
            <w:r>
              <w:rPr>
                <w:rFonts w:hint="eastAsia"/>
                <w:color w:val="auto"/>
                <w:szCs w:val="21"/>
              </w:rPr>
              <w:t>2.……</w:t>
            </w:r>
          </w:p>
        </w:tc>
        <w:tc>
          <w:tcPr>
            <w:tcW w:w="666" w:type="dxa"/>
            <w:noWrap w:val="0"/>
            <w:tcMar>
              <w:top w:w="28" w:type="dxa"/>
              <w:bottom w:w="28" w:type="dxa"/>
            </w:tcMar>
            <w:vAlign w:val="top"/>
          </w:tcPr>
          <w:p>
            <w:pPr>
              <w:rPr>
                <w:rFonts w:hint="eastAsia"/>
                <w:color w:val="auto"/>
                <w:szCs w:val="21"/>
              </w:rPr>
            </w:pPr>
          </w:p>
        </w:tc>
      </w:tr>
    </w:tbl>
    <w:p>
      <w:pPr>
        <w:spacing w:before="312" w:beforeLines="100" w:line="400" w:lineRule="exact"/>
        <w:ind w:left="945" w:hanging="945" w:hangingChars="450"/>
        <w:rPr>
          <w:rFonts w:ascii="宋体" w:hAnsi="宋体"/>
          <w:color w:val="auto"/>
          <w:szCs w:val="21"/>
        </w:rPr>
      </w:pPr>
      <w:r>
        <w:rPr>
          <w:rFonts w:hint="eastAsia" w:ascii="宋体" w:hAnsi="宋体"/>
          <w:color w:val="auto"/>
          <w:szCs w:val="21"/>
        </w:rPr>
        <w:t>备注：1. 水利水电工程相关专业职称包括水利水电工程建筑、水利工程施工、农田水利工程、水电站动力设备、电力系统及自动化、水力学及河流动力学、水文与水资源、工程地质及水文地质、水利机械等水利水电类相关专业职称。</w:t>
      </w:r>
    </w:p>
    <w:p>
      <w:pPr>
        <w:spacing w:line="400" w:lineRule="exact"/>
        <w:ind w:left="945" w:leftChars="300" w:hanging="315" w:hangingChars="150"/>
        <w:rPr>
          <w:rFonts w:hint="eastAsia" w:ascii="宋体" w:hAnsi="宋体"/>
          <w:color w:val="auto"/>
          <w:szCs w:val="21"/>
        </w:rPr>
      </w:pPr>
      <w:r>
        <w:rPr>
          <w:rFonts w:hint="eastAsia" w:ascii="宋体" w:hAnsi="宋体"/>
          <w:color w:val="auto"/>
          <w:szCs w:val="21"/>
        </w:rPr>
        <w:t>2. 投标人资质及项目机构管理主要人员的资格要求设置某一“级别”时，满足资格条件的资质或资格包含：该级别及以上资质或资格要求。</w:t>
      </w: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ascii="Arial" w:hAnsi="Arial" w:eastAsia="黑体"/>
          <w:color w:val="auto"/>
          <w:szCs w:val="21"/>
        </w:rPr>
      </w:pPr>
    </w:p>
    <w:p>
      <w:pPr>
        <w:rPr>
          <w:rFonts w:ascii="Arial" w:hAnsi="Arial" w:eastAsia="黑体"/>
          <w:color w:val="auto"/>
          <w:szCs w:val="21"/>
        </w:rPr>
      </w:pPr>
    </w:p>
    <w:p>
      <w:pPr>
        <w:rPr>
          <w:rFonts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pStyle w:val="3"/>
        <w:rPr>
          <w:rFonts w:hint="eastAsia"/>
          <w:b w:val="0"/>
          <w:color w:val="auto"/>
          <w:sz w:val="28"/>
          <w:szCs w:val="28"/>
        </w:rPr>
        <w:sectPr>
          <w:pgSz w:w="11906" w:h="16838"/>
          <w:pgMar w:top="1418" w:right="1469" w:bottom="1418" w:left="1418" w:header="851" w:footer="992" w:gutter="0"/>
          <w:cols w:space="720" w:num="1"/>
          <w:docGrid w:type="linesAndChars" w:linePitch="312" w:charSpace="0"/>
        </w:sectPr>
      </w:pPr>
      <w:bookmarkStart w:id="587" w:name="_Toc387753567"/>
      <w:bookmarkStart w:id="588" w:name="_Toc491089705"/>
    </w:p>
    <w:p>
      <w:pPr>
        <w:pStyle w:val="3"/>
        <w:rPr>
          <w:rFonts w:hint="eastAsia"/>
          <w:b w:val="0"/>
          <w:color w:val="auto"/>
          <w:sz w:val="24"/>
          <w:szCs w:val="24"/>
        </w:rPr>
      </w:pPr>
      <w:bookmarkStart w:id="589" w:name="_Toc3391"/>
      <w:r>
        <w:rPr>
          <w:rFonts w:hint="eastAsia"/>
          <w:b w:val="0"/>
          <w:color w:val="auto"/>
          <w:sz w:val="28"/>
          <w:szCs w:val="28"/>
        </w:rPr>
        <w:t>附件一</w:t>
      </w:r>
      <w:bookmarkEnd w:id="575"/>
      <w:bookmarkEnd w:id="587"/>
      <w:bookmarkStart w:id="590" w:name="_Toc221950257"/>
      <w:r>
        <w:rPr>
          <w:rFonts w:hint="eastAsia"/>
          <w:b w:val="0"/>
          <w:color w:val="auto"/>
          <w:sz w:val="28"/>
          <w:szCs w:val="28"/>
        </w:rPr>
        <w:t>：招标文件澄清</w:t>
      </w:r>
      <w:bookmarkEnd w:id="590"/>
      <w:r>
        <w:rPr>
          <w:rFonts w:hint="eastAsia"/>
          <w:b w:val="0"/>
          <w:color w:val="auto"/>
          <w:sz w:val="28"/>
          <w:szCs w:val="28"/>
        </w:rPr>
        <w:t>申请函</w:t>
      </w:r>
      <w:bookmarkEnd w:id="588"/>
      <w:bookmarkEnd w:id="589"/>
    </w:p>
    <w:p>
      <w:pPr>
        <w:rPr>
          <w:rFonts w:hint="eastAsia"/>
          <w:color w:val="auto"/>
        </w:rPr>
      </w:pPr>
    </w:p>
    <w:p>
      <w:pPr>
        <w:jc w:val="center"/>
        <w:rPr>
          <w:rFonts w:hint="eastAsia"/>
          <w:color w:val="auto"/>
        </w:rPr>
      </w:pPr>
      <w:r>
        <w:rPr>
          <w:rFonts w:hint="eastAsia" w:ascii="黑体" w:eastAsia="黑体"/>
          <w:color w:val="auto"/>
          <w:sz w:val="28"/>
          <w:szCs w:val="28"/>
        </w:rPr>
        <w:t>招标文件澄清申请函</w:t>
      </w:r>
    </w:p>
    <w:p>
      <w:pPr>
        <w:spacing w:line="360" w:lineRule="auto"/>
        <w:ind w:firstLine="420" w:firstLineChars="200"/>
        <w:jc w:val="center"/>
        <w:rPr>
          <w:rFonts w:hint="eastAsia"/>
          <w:color w:val="auto"/>
        </w:rPr>
      </w:pPr>
      <w:bookmarkStart w:id="591" w:name="_Toc221950258"/>
      <w:r>
        <w:rPr>
          <w:rFonts w:hint="eastAsia"/>
          <w:color w:val="auto"/>
        </w:rPr>
        <w:t>编号：</w:t>
      </w:r>
    </w:p>
    <w:p>
      <w:pPr>
        <w:spacing w:line="360" w:lineRule="auto"/>
        <w:ind w:firstLine="420" w:firstLineChars="200"/>
        <w:rPr>
          <w:rFonts w:hint="eastAsia"/>
          <w:color w:val="auto"/>
          <w:u w:val="single"/>
        </w:rPr>
      </w:pPr>
      <w:r>
        <w:rPr>
          <w:rFonts w:hint="eastAsia"/>
          <w:color w:val="auto"/>
          <w:u w:val="single"/>
        </w:rPr>
        <w:t xml:space="preserve">              </w:t>
      </w:r>
      <w:r>
        <w:rPr>
          <w:rFonts w:hint="eastAsia"/>
          <w:color w:val="auto"/>
        </w:rPr>
        <w:t>（</w:t>
      </w:r>
      <w:r>
        <w:rPr>
          <w:rFonts w:hint="eastAsia" w:ascii="仿宋_GB2312" w:eastAsia="仿宋_GB2312"/>
          <w:color w:val="auto"/>
        </w:rPr>
        <w:t>招标人名称</w:t>
      </w:r>
      <w:r>
        <w:rPr>
          <w:rFonts w:hint="eastAsia"/>
          <w:color w:val="auto"/>
        </w:rPr>
        <w:t>）</w:t>
      </w:r>
      <w:bookmarkEnd w:id="591"/>
      <w:r>
        <w:rPr>
          <w:rFonts w:hint="eastAsia"/>
          <w:color w:val="auto"/>
        </w:rPr>
        <w:t>：</w:t>
      </w:r>
    </w:p>
    <w:p>
      <w:pPr>
        <w:spacing w:line="360" w:lineRule="auto"/>
        <w:ind w:firstLine="420" w:firstLineChars="200"/>
        <w:rPr>
          <w:rFonts w:hint="eastAsia"/>
          <w:color w:val="auto"/>
        </w:rPr>
      </w:pPr>
      <w:bookmarkStart w:id="592" w:name="_Toc221950259"/>
      <w:r>
        <w:rPr>
          <w:rFonts w:hint="eastAsia"/>
          <w:color w:val="auto"/>
        </w:rPr>
        <w:t xml:space="preserve">经过仔细阅读 </w:t>
      </w:r>
      <w:r>
        <w:rPr>
          <w:rFonts w:hint="eastAsia" w:ascii="宋体" w:hAnsi="宋体"/>
          <w:color w:val="auto"/>
        </w:rPr>
        <w:t xml:space="preserve"> </w:t>
      </w:r>
      <w:r>
        <w:rPr>
          <w:rFonts w:hint="eastAsia" w:ascii="宋体" w:hAnsi="宋体"/>
          <w:color w:val="auto"/>
          <w:u w:val="single"/>
        </w:rPr>
        <w:t xml:space="preserve">        </w:t>
      </w:r>
      <w:r>
        <w:rPr>
          <w:rFonts w:hint="eastAsia" w:ascii="宋体" w:hAnsi="宋体"/>
          <w:color w:val="auto"/>
        </w:rPr>
        <w:t>（项目名称</w:t>
      </w:r>
      <w:r>
        <w:rPr>
          <w:rFonts w:hint="eastAsia" w:ascii="宋体" w:hAnsi="宋体"/>
          <w:color w:val="auto"/>
          <w:u w:val="single"/>
        </w:rPr>
        <w:t xml:space="preserve">）        </w:t>
      </w:r>
      <w:r>
        <w:rPr>
          <w:rFonts w:hint="eastAsia" w:ascii="宋体" w:hAnsi="宋体"/>
          <w:color w:val="auto"/>
        </w:rPr>
        <w:t>（标段名称）</w:t>
      </w:r>
      <w:r>
        <w:rPr>
          <w:rFonts w:hint="eastAsia"/>
          <w:color w:val="auto"/>
        </w:rPr>
        <w:t>招标文件后，我方申请对以下问题予以澄清：</w:t>
      </w:r>
      <w:bookmarkEnd w:id="592"/>
    </w:p>
    <w:p>
      <w:pPr>
        <w:spacing w:line="360" w:lineRule="auto"/>
        <w:ind w:firstLine="525" w:firstLineChars="250"/>
        <w:rPr>
          <w:rFonts w:hint="eastAsia"/>
          <w:color w:val="auto"/>
        </w:rPr>
      </w:pPr>
      <w:bookmarkStart w:id="593" w:name="_Toc221950260"/>
      <w:r>
        <w:rPr>
          <w:rFonts w:hint="eastAsia"/>
          <w:color w:val="auto"/>
        </w:rPr>
        <w:t>1、………</w:t>
      </w:r>
      <w:bookmarkEnd w:id="593"/>
    </w:p>
    <w:p>
      <w:pPr>
        <w:spacing w:line="360" w:lineRule="auto"/>
        <w:ind w:firstLine="525" w:firstLineChars="250"/>
        <w:rPr>
          <w:rFonts w:hint="eastAsia"/>
          <w:color w:val="auto"/>
        </w:rPr>
      </w:pPr>
      <w:bookmarkStart w:id="594" w:name="_Toc221950261"/>
      <w:r>
        <w:rPr>
          <w:rFonts w:hint="eastAsia"/>
          <w:color w:val="auto"/>
        </w:rPr>
        <w:t>2、………</w:t>
      </w:r>
      <w:bookmarkEnd w:id="594"/>
    </w:p>
    <w:p>
      <w:pPr>
        <w:spacing w:line="360" w:lineRule="auto"/>
        <w:ind w:firstLine="525" w:firstLineChars="250"/>
        <w:rPr>
          <w:rFonts w:hint="eastAsia"/>
          <w:color w:val="auto"/>
        </w:rPr>
      </w:pPr>
      <w:r>
        <w:rPr>
          <w:rFonts w:hint="eastAsia"/>
          <w:color w:val="auto"/>
        </w:rPr>
        <w:t>………</w:t>
      </w:r>
    </w:p>
    <w:p>
      <w:pPr>
        <w:spacing w:line="360" w:lineRule="auto"/>
        <w:ind w:firstLine="2415" w:firstLineChars="1150"/>
        <w:rPr>
          <w:rFonts w:hint="eastAsia"/>
          <w:color w:val="auto"/>
        </w:rPr>
      </w:pPr>
    </w:p>
    <w:p>
      <w:pPr>
        <w:spacing w:line="360" w:lineRule="auto"/>
        <w:rPr>
          <w:rFonts w:hint="eastAsia"/>
          <w:color w:val="auto"/>
        </w:rPr>
      </w:pPr>
      <w:r>
        <w:rPr>
          <w:rFonts w:hint="eastAsia"/>
          <w:color w:val="auto"/>
        </w:rPr>
        <w:t xml:space="preserve">  </w:t>
      </w:r>
    </w:p>
    <w:p>
      <w:pPr>
        <w:spacing w:line="360" w:lineRule="auto"/>
        <w:rPr>
          <w:rFonts w:hint="eastAsia"/>
          <w:color w:val="auto"/>
        </w:rPr>
      </w:pPr>
    </w:p>
    <w:p>
      <w:pPr>
        <w:spacing w:line="360" w:lineRule="auto"/>
        <w:ind w:firstLine="2415" w:firstLineChars="1150"/>
        <w:rPr>
          <w:rFonts w:hint="eastAsia"/>
          <w:color w:val="auto"/>
        </w:rPr>
      </w:pPr>
    </w:p>
    <w:p>
      <w:pPr>
        <w:spacing w:line="360" w:lineRule="auto"/>
        <w:ind w:firstLine="2415" w:firstLineChars="1150"/>
        <w:jc w:val="right"/>
        <w:rPr>
          <w:rFonts w:hint="eastAsia"/>
          <w:color w:val="auto"/>
        </w:rPr>
      </w:pPr>
      <w:bookmarkStart w:id="595" w:name="_Toc221950262"/>
      <w:r>
        <w:rPr>
          <w:rFonts w:hint="eastAsia"/>
          <w:color w:val="auto"/>
        </w:rPr>
        <w:t>投标人：</w:t>
      </w:r>
      <w:r>
        <w:rPr>
          <w:rFonts w:hint="eastAsia"/>
          <w:color w:val="auto"/>
          <w:u w:val="single"/>
        </w:rPr>
        <w:t xml:space="preserve">                      </w:t>
      </w:r>
      <w:r>
        <w:rPr>
          <w:rFonts w:hint="eastAsia"/>
          <w:color w:val="auto"/>
        </w:rPr>
        <w:t>（盖单位章）</w:t>
      </w:r>
      <w:bookmarkEnd w:id="595"/>
    </w:p>
    <w:p>
      <w:pPr>
        <w:spacing w:line="360" w:lineRule="auto"/>
        <w:ind w:firstLine="2415" w:firstLineChars="1150"/>
        <w:rPr>
          <w:rFonts w:hint="eastAsia"/>
          <w:color w:val="auto"/>
        </w:rPr>
      </w:pPr>
    </w:p>
    <w:p>
      <w:pPr>
        <w:spacing w:line="360" w:lineRule="auto"/>
        <w:ind w:firstLine="5953" w:firstLineChars="2835"/>
        <w:jc w:val="center"/>
        <w:rPr>
          <w:rFonts w:hint="eastAsia"/>
          <w:color w:val="auto"/>
        </w:rPr>
      </w:pPr>
      <w:bookmarkStart w:id="596" w:name="_Toc221950263"/>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bookmarkEnd w:id="596"/>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rPr>
          <w:rFonts w:hint="eastAsia" w:ascii="宋体" w:hAnsi="宋体" w:cs="宋体"/>
          <w:color w:val="auto"/>
        </w:rPr>
      </w:pPr>
      <w:bookmarkStart w:id="597" w:name="_Toc221950264"/>
      <w:r>
        <w:rPr>
          <w:rFonts w:hint="eastAsia" w:ascii="宋体" w:hAnsi="宋体" w:cs="宋体"/>
          <w:color w:val="auto"/>
        </w:rPr>
        <w:t>备注:</w:t>
      </w:r>
      <w:bookmarkEnd w:id="597"/>
      <w:r>
        <w:rPr>
          <w:rFonts w:hint="eastAsia" w:ascii="宋体" w:hAnsi="宋体" w:cs="宋体"/>
          <w:color w:val="auto"/>
        </w:rPr>
        <w:t>投标人要求招标人澄清招标文件有关问题时，适用于本格式。</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pStyle w:val="3"/>
        <w:rPr>
          <w:rFonts w:hint="eastAsia"/>
          <w:b w:val="0"/>
          <w:color w:val="auto"/>
          <w:sz w:val="28"/>
          <w:szCs w:val="28"/>
        </w:rPr>
      </w:pPr>
      <w:bookmarkStart w:id="598" w:name="_Toc221950265"/>
      <w:bookmarkStart w:id="599" w:name="_Toc387753568"/>
      <w:bookmarkStart w:id="600" w:name="_Toc29511"/>
      <w:bookmarkStart w:id="601" w:name="_Toc491089706"/>
      <w:r>
        <w:rPr>
          <w:rFonts w:hint="eastAsia"/>
          <w:b w:val="0"/>
          <w:color w:val="auto"/>
          <w:sz w:val="28"/>
          <w:szCs w:val="28"/>
        </w:rPr>
        <w:t>附件二：</w:t>
      </w:r>
      <w:bookmarkEnd w:id="598"/>
      <w:bookmarkEnd w:id="599"/>
      <w:bookmarkStart w:id="602" w:name="_Toc221950266"/>
      <w:r>
        <w:rPr>
          <w:rFonts w:hint="eastAsia"/>
          <w:b w:val="0"/>
          <w:color w:val="auto"/>
          <w:sz w:val="28"/>
          <w:szCs w:val="28"/>
        </w:rPr>
        <w:t>招标文件澄清通知</w:t>
      </w:r>
      <w:bookmarkEnd w:id="600"/>
      <w:bookmarkEnd w:id="601"/>
      <w:bookmarkEnd w:id="602"/>
    </w:p>
    <w:p>
      <w:pPr>
        <w:rPr>
          <w:rFonts w:hint="eastAsia"/>
          <w:color w:val="auto"/>
        </w:rPr>
      </w:pPr>
    </w:p>
    <w:p>
      <w:pPr>
        <w:jc w:val="center"/>
        <w:rPr>
          <w:rFonts w:hint="eastAsia"/>
          <w:color w:val="auto"/>
        </w:rPr>
      </w:pPr>
      <w:r>
        <w:rPr>
          <w:rFonts w:hint="eastAsia" w:ascii="黑体" w:eastAsia="黑体"/>
          <w:color w:val="auto"/>
          <w:sz w:val="28"/>
          <w:szCs w:val="28"/>
        </w:rPr>
        <w:t>招标文件澄清通知</w:t>
      </w:r>
    </w:p>
    <w:p>
      <w:pPr>
        <w:spacing w:line="360" w:lineRule="auto"/>
        <w:ind w:firstLine="3360" w:firstLineChars="1600"/>
        <w:rPr>
          <w:rFonts w:hint="eastAsia"/>
          <w:color w:val="auto"/>
        </w:rPr>
      </w:pPr>
      <w:bookmarkStart w:id="603" w:name="_Toc221950267"/>
      <w:r>
        <w:rPr>
          <w:rFonts w:hint="eastAsia"/>
          <w:color w:val="auto"/>
        </w:rPr>
        <w:t>编号：</w:t>
      </w:r>
      <w:bookmarkEnd w:id="603"/>
    </w:p>
    <w:p>
      <w:pPr>
        <w:spacing w:line="360" w:lineRule="auto"/>
        <w:rPr>
          <w:rFonts w:hint="eastAsia"/>
          <w:color w:val="auto"/>
          <w:u w:val="single"/>
        </w:rPr>
      </w:pPr>
      <w:bookmarkStart w:id="604" w:name="_Toc221950268"/>
      <w:r>
        <w:rPr>
          <w:rFonts w:hint="eastAsia"/>
          <w:color w:val="auto"/>
        </w:rPr>
        <w:t xml:space="preserve"> </w:t>
      </w:r>
      <w:r>
        <w:rPr>
          <w:rFonts w:hint="eastAsia"/>
          <w:color w:val="auto"/>
          <w:u w:val="single"/>
        </w:rPr>
        <w:t xml:space="preserve">          （</w:t>
      </w:r>
      <w:r>
        <w:rPr>
          <w:rFonts w:hint="eastAsia" w:ascii="仿宋_GB2312" w:eastAsia="仿宋_GB2312"/>
          <w:color w:val="auto"/>
        </w:rPr>
        <w:t>投标人名称</w:t>
      </w:r>
      <w:r>
        <w:rPr>
          <w:rFonts w:hint="eastAsia"/>
          <w:color w:val="auto"/>
        </w:rPr>
        <w:t>）</w:t>
      </w:r>
      <w:bookmarkEnd w:id="604"/>
      <w:r>
        <w:rPr>
          <w:rFonts w:hint="eastAsia"/>
          <w:color w:val="auto"/>
        </w:rPr>
        <w:t>：</w:t>
      </w:r>
    </w:p>
    <w:p>
      <w:pPr>
        <w:spacing w:line="360" w:lineRule="auto"/>
        <w:ind w:firstLine="525" w:firstLineChars="250"/>
        <w:rPr>
          <w:rFonts w:hint="eastAsia"/>
          <w:color w:val="auto"/>
        </w:rPr>
      </w:pPr>
      <w:bookmarkStart w:id="605" w:name="_Toc221950269"/>
      <w:r>
        <w:rPr>
          <w:rFonts w:hint="eastAsia"/>
          <w:color w:val="auto"/>
        </w:rPr>
        <w:t>经研究，对</w:t>
      </w:r>
      <w:r>
        <w:rPr>
          <w:rFonts w:hint="eastAsia" w:ascii="宋体" w:hAnsi="宋体"/>
          <w:color w:val="auto"/>
        </w:rPr>
        <w:t xml:space="preserve"> </w:t>
      </w:r>
      <w:r>
        <w:rPr>
          <w:rFonts w:hint="eastAsia" w:ascii="宋体" w:hAnsi="宋体"/>
          <w:color w:val="auto"/>
          <w:u w:val="single"/>
        </w:rPr>
        <w:t xml:space="preserve">           </w:t>
      </w:r>
      <w:r>
        <w:rPr>
          <w:rFonts w:hint="eastAsia" w:ascii="宋体" w:hAnsi="宋体"/>
          <w:color w:val="auto"/>
        </w:rPr>
        <w:t>（项目名称</w:t>
      </w:r>
      <w:r>
        <w:rPr>
          <w:rFonts w:hint="eastAsia" w:ascii="宋体" w:hAnsi="宋体"/>
          <w:color w:val="auto"/>
          <w:u w:val="single"/>
        </w:rPr>
        <w:t xml:space="preserve">）         </w:t>
      </w:r>
      <w:r>
        <w:rPr>
          <w:rFonts w:hint="eastAsia" w:ascii="宋体" w:hAnsi="宋体"/>
          <w:color w:val="auto"/>
        </w:rPr>
        <w:t>（标段名称）</w:t>
      </w:r>
      <w:r>
        <w:rPr>
          <w:rFonts w:hint="eastAsia"/>
          <w:color w:val="auto"/>
        </w:rPr>
        <w:t>招标文件，作如下澄清：</w:t>
      </w:r>
      <w:bookmarkEnd w:id="605"/>
    </w:p>
    <w:p>
      <w:pPr>
        <w:spacing w:line="360" w:lineRule="auto"/>
        <w:ind w:firstLine="525" w:firstLineChars="250"/>
        <w:rPr>
          <w:rFonts w:hint="eastAsia"/>
          <w:color w:val="auto"/>
        </w:rPr>
      </w:pPr>
      <w:bookmarkStart w:id="606" w:name="_Toc221950270"/>
      <w:r>
        <w:rPr>
          <w:rFonts w:hint="eastAsia"/>
          <w:color w:val="auto"/>
        </w:rPr>
        <w:t>1、………</w:t>
      </w:r>
      <w:bookmarkEnd w:id="606"/>
    </w:p>
    <w:p>
      <w:pPr>
        <w:spacing w:line="360" w:lineRule="auto"/>
        <w:ind w:firstLine="525" w:firstLineChars="250"/>
        <w:rPr>
          <w:rFonts w:hint="eastAsia"/>
          <w:color w:val="auto"/>
        </w:rPr>
      </w:pPr>
      <w:bookmarkStart w:id="607" w:name="_Toc221950271"/>
      <w:r>
        <w:rPr>
          <w:rFonts w:hint="eastAsia"/>
          <w:color w:val="auto"/>
        </w:rPr>
        <w:t>2、………</w:t>
      </w:r>
      <w:bookmarkEnd w:id="607"/>
    </w:p>
    <w:p>
      <w:pPr>
        <w:spacing w:line="360" w:lineRule="auto"/>
        <w:ind w:firstLine="525" w:firstLineChars="250"/>
        <w:rPr>
          <w:rFonts w:hint="eastAsia"/>
          <w:color w:val="auto"/>
        </w:rPr>
      </w:pPr>
      <w:r>
        <w:rPr>
          <w:rFonts w:hint="eastAsia"/>
          <w:color w:val="auto"/>
        </w:rPr>
        <w:t>………</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rPr>
          <w:rFonts w:hint="eastAsia"/>
          <w:color w:val="auto"/>
        </w:rPr>
      </w:pPr>
      <w:r>
        <w:rPr>
          <w:rFonts w:hint="eastAsia"/>
          <w:color w:val="auto"/>
        </w:rPr>
        <w:t xml:space="preserve">    </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jc w:val="right"/>
        <w:rPr>
          <w:rFonts w:hint="eastAsia"/>
          <w:color w:val="auto"/>
          <w:u w:val="single"/>
        </w:rPr>
      </w:pPr>
      <w:bookmarkStart w:id="608" w:name="_Toc221950273"/>
      <w:r>
        <w:rPr>
          <w:rFonts w:hint="eastAsia"/>
          <w:color w:val="auto"/>
        </w:rPr>
        <w:t>招标人/招标代理机构：</w:t>
      </w:r>
      <w:r>
        <w:rPr>
          <w:rFonts w:hint="eastAsia"/>
          <w:color w:val="auto"/>
          <w:u w:val="single"/>
        </w:rPr>
        <w:t xml:space="preserve">                      </w:t>
      </w:r>
      <w:r>
        <w:rPr>
          <w:rFonts w:hint="eastAsia"/>
          <w:color w:val="auto"/>
        </w:rPr>
        <w:t>（盖单位章）</w:t>
      </w:r>
      <w:bookmarkEnd w:id="608"/>
    </w:p>
    <w:p>
      <w:pPr>
        <w:spacing w:line="360" w:lineRule="auto"/>
        <w:ind w:firstLine="2415" w:firstLineChars="1150"/>
        <w:jc w:val="right"/>
        <w:rPr>
          <w:rFonts w:hint="eastAsia"/>
          <w:color w:val="auto"/>
        </w:rPr>
      </w:pPr>
    </w:p>
    <w:p>
      <w:pPr>
        <w:spacing w:line="360" w:lineRule="auto"/>
        <w:ind w:firstLine="4095" w:firstLineChars="1950"/>
        <w:jc w:val="right"/>
        <w:rPr>
          <w:rFonts w:hint="eastAsia"/>
          <w:color w:val="auto"/>
        </w:rPr>
      </w:pPr>
      <w:bookmarkStart w:id="609" w:name="_Toc221950274"/>
      <w:r>
        <w:rPr>
          <w:rFonts w:hint="eastAsia"/>
          <w:color w:val="auto"/>
          <w:u w:val="single"/>
        </w:rPr>
        <w:t xml:space="preserve">         </w:t>
      </w:r>
      <w:r>
        <w:rPr>
          <w:rFonts w:hint="eastAsia"/>
          <w:color w:val="auto"/>
        </w:rPr>
        <w:t xml:space="preserve">年 </w:t>
      </w:r>
      <w:r>
        <w:rPr>
          <w:rFonts w:hint="eastAsia"/>
          <w:color w:val="auto"/>
          <w:u w:val="single"/>
        </w:rPr>
        <w:t xml:space="preserve">     </w:t>
      </w:r>
      <w:r>
        <w:rPr>
          <w:rFonts w:hint="eastAsia"/>
          <w:color w:val="auto"/>
        </w:rPr>
        <w:t xml:space="preserve"> 月</w:t>
      </w:r>
      <w:r>
        <w:rPr>
          <w:rFonts w:hint="eastAsia"/>
          <w:color w:val="auto"/>
          <w:u w:val="single"/>
        </w:rPr>
        <w:t xml:space="preserve">     </w:t>
      </w:r>
      <w:r>
        <w:rPr>
          <w:rFonts w:hint="eastAsia"/>
          <w:color w:val="auto"/>
        </w:rPr>
        <w:t>日</w:t>
      </w:r>
      <w:bookmarkEnd w:id="609"/>
    </w:p>
    <w:p>
      <w:pPr>
        <w:spacing w:line="360" w:lineRule="auto"/>
        <w:ind w:firstLine="2415" w:firstLineChars="1150"/>
        <w:rPr>
          <w:rFonts w:hint="eastAsia"/>
          <w:color w:val="auto"/>
        </w:rPr>
      </w:pPr>
    </w:p>
    <w:p>
      <w:pPr>
        <w:spacing w:line="360" w:lineRule="auto"/>
        <w:rPr>
          <w:rFonts w:hint="eastAsia" w:ascii="华文仿宋" w:hAnsi="华文仿宋" w:eastAsia="华文仿宋"/>
          <w:color w:val="auto"/>
        </w:rPr>
      </w:pPr>
      <w:bookmarkStart w:id="610" w:name="_Toc221950275"/>
    </w:p>
    <w:p>
      <w:pPr>
        <w:spacing w:line="360" w:lineRule="auto"/>
        <w:ind w:left="525" w:hanging="525" w:hangingChars="250"/>
        <w:rPr>
          <w:rFonts w:hint="eastAsia" w:ascii="宋体" w:hAnsi="宋体" w:cs="宋体"/>
          <w:color w:val="auto"/>
        </w:rPr>
      </w:pPr>
      <w:r>
        <w:rPr>
          <w:rFonts w:hint="eastAsia" w:ascii="宋体" w:hAnsi="宋体" w:cs="宋体"/>
          <w:color w:val="auto"/>
        </w:rPr>
        <w:t>备注:</w:t>
      </w:r>
      <w:bookmarkEnd w:id="610"/>
      <w:r>
        <w:rPr>
          <w:rFonts w:hint="eastAsia" w:ascii="宋体" w:hAnsi="宋体" w:cs="宋体"/>
          <w:color w:val="auto"/>
        </w:rPr>
        <w:t>招标人对招标文件有关问题澄清时，适用于本格式，可根据需要将附件二与附件三内容合并发出。</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pStyle w:val="3"/>
        <w:rPr>
          <w:rFonts w:hint="eastAsia"/>
          <w:b w:val="0"/>
          <w:color w:val="auto"/>
          <w:sz w:val="28"/>
          <w:szCs w:val="28"/>
        </w:rPr>
      </w:pPr>
      <w:bookmarkStart w:id="611" w:name="_Toc387753569"/>
      <w:bookmarkStart w:id="612" w:name="_Toc221950276"/>
      <w:bookmarkStart w:id="613" w:name="_Toc26360"/>
      <w:bookmarkStart w:id="614" w:name="_Toc491089707"/>
      <w:r>
        <w:rPr>
          <w:rFonts w:hint="eastAsia"/>
          <w:b w:val="0"/>
          <w:color w:val="auto"/>
          <w:sz w:val="28"/>
          <w:szCs w:val="28"/>
        </w:rPr>
        <w:t>附件三：</w:t>
      </w:r>
      <w:bookmarkEnd w:id="611"/>
      <w:bookmarkEnd w:id="612"/>
      <w:r>
        <w:rPr>
          <w:rFonts w:hint="eastAsia"/>
          <w:b w:val="0"/>
          <w:color w:val="auto"/>
          <w:sz w:val="28"/>
          <w:szCs w:val="28"/>
        </w:rPr>
        <w:t>招标文件修改通知</w:t>
      </w:r>
      <w:bookmarkEnd w:id="613"/>
      <w:bookmarkEnd w:id="614"/>
    </w:p>
    <w:p>
      <w:pPr>
        <w:rPr>
          <w:rFonts w:hint="eastAsia"/>
          <w:color w:val="auto"/>
        </w:rPr>
      </w:pPr>
    </w:p>
    <w:p>
      <w:pPr>
        <w:jc w:val="center"/>
        <w:rPr>
          <w:rFonts w:hint="eastAsia"/>
          <w:color w:val="auto"/>
        </w:rPr>
      </w:pPr>
      <w:r>
        <w:rPr>
          <w:rFonts w:hint="eastAsia" w:ascii="黑体" w:eastAsia="黑体"/>
          <w:color w:val="auto"/>
          <w:sz w:val="28"/>
          <w:szCs w:val="28"/>
        </w:rPr>
        <w:t>招标文件修改通知</w:t>
      </w:r>
    </w:p>
    <w:p>
      <w:pPr>
        <w:spacing w:line="360" w:lineRule="auto"/>
        <w:ind w:firstLine="3360" w:firstLineChars="1600"/>
        <w:rPr>
          <w:rFonts w:hint="eastAsia"/>
          <w:color w:val="auto"/>
        </w:rPr>
      </w:pPr>
      <w:r>
        <w:rPr>
          <w:rFonts w:hint="eastAsia"/>
          <w:color w:val="auto"/>
        </w:rPr>
        <w:t>编号：</w:t>
      </w:r>
    </w:p>
    <w:p>
      <w:pPr>
        <w:spacing w:line="360" w:lineRule="auto"/>
        <w:rPr>
          <w:rFonts w:hint="eastAsia"/>
          <w:color w:val="auto"/>
          <w:u w:val="single"/>
        </w:rPr>
      </w:pPr>
      <w:r>
        <w:rPr>
          <w:rFonts w:hint="eastAsia"/>
          <w:color w:val="auto"/>
        </w:rPr>
        <w:t xml:space="preserve"> </w:t>
      </w:r>
      <w:r>
        <w:rPr>
          <w:rFonts w:hint="eastAsia"/>
          <w:color w:val="auto"/>
          <w:u w:val="single"/>
        </w:rPr>
        <w:t xml:space="preserve">          （</w:t>
      </w:r>
      <w:r>
        <w:rPr>
          <w:rFonts w:hint="eastAsia" w:ascii="仿宋_GB2312" w:eastAsia="仿宋_GB2312"/>
          <w:color w:val="auto"/>
        </w:rPr>
        <w:t>投标人名称</w:t>
      </w:r>
      <w:r>
        <w:rPr>
          <w:rFonts w:hint="eastAsia"/>
          <w:color w:val="auto"/>
        </w:rPr>
        <w:t>）：</w:t>
      </w:r>
    </w:p>
    <w:p>
      <w:pPr>
        <w:spacing w:line="360" w:lineRule="auto"/>
        <w:ind w:firstLine="525" w:firstLineChars="250"/>
        <w:rPr>
          <w:rFonts w:hint="eastAsia"/>
          <w:color w:val="auto"/>
        </w:rPr>
      </w:pPr>
      <w:r>
        <w:rPr>
          <w:rFonts w:hint="eastAsia"/>
          <w:color w:val="auto"/>
        </w:rPr>
        <w:t xml:space="preserve">经研究，对 </w:t>
      </w:r>
      <w:r>
        <w:rPr>
          <w:rFonts w:hint="eastAsia" w:ascii="宋体" w:hAnsi="宋体"/>
          <w:color w:val="auto"/>
          <w:u w:val="single"/>
        </w:rPr>
        <w:t xml:space="preserve">          </w:t>
      </w:r>
      <w:r>
        <w:rPr>
          <w:rFonts w:hint="eastAsia" w:ascii="宋体" w:hAnsi="宋体"/>
          <w:color w:val="auto"/>
        </w:rPr>
        <w:t>（项目名称</w:t>
      </w:r>
      <w:r>
        <w:rPr>
          <w:rFonts w:hint="eastAsia" w:ascii="宋体" w:hAnsi="宋体"/>
          <w:color w:val="auto"/>
          <w:u w:val="single"/>
        </w:rPr>
        <w:t xml:space="preserve">）         </w:t>
      </w:r>
      <w:r>
        <w:rPr>
          <w:rFonts w:hint="eastAsia" w:ascii="宋体" w:hAnsi="宋体"/>
          <w:color w:val="auto"/>
        </w:rPr>
        <w:t>（标段名称）</w:t>
      </w:r>
      <w:r>
        <w:rPr>
          <w:rFonts w:hint="eastAsia"/>
          <w:color w:val="auto"/>
        </w:rPr>
        <w:t>招标文件，作如下修改：</w:t>
      </w:r>
    </w:p>
    <w:p>
      <w:pPr>
        <w:spacing w:line="360" w:lineRule="auto"/>
        <w:ind w:firstLine="525" w:firstLineChars="250"/>
        <w:rPr>
          <w:rFonts w:hint="eastAsia"/>
          <w:color w:val="auto"/>
        </w:rPr>
      </w:pPr>
      <w:r>
        <w:rPr>
          <w:rFonts w:hint="eastAsia"/>
          <w:color w:val="auto"/>
        </w:rPr>
        <w:t>1、………</w:t>
      </w:r>
    </w:p>
    <w:p>
      <w:pPr>
        <w:spacing w:line="360" w:lineRule="auto"/>
        <w:ind w:firstLine="525" w:firstLineChars="250"/>
        <w:rPr>
          <w:rFonts w:hint="eastAsia"/>
          <w:color w:val="auto"/>
        </w:rPr>
      </w:pPr>
      <w:r>
        <w:rPr>
          <w:rFonts w:hint="eastAsia"/>
          <w:color w:val="auto"/>
        </w:rPr>
        <w:t>2、………</w:t>
      </w:r>
    </w:p>
    <w:p>
      <w:pPr>
        <w:spacing w:line="360" w:lineRule="auto"/>
        <w:ind w:firstLine="525" w:firstLineChars="250"/>
        <w:rPr>
          <w:rFonts w:hint="eastAsia"/>
          <w:color w:val="auto"/>
        </w:rPr>
      </w:pPr>
      <w:r>
        <w:rPr>
          <w:rFonts w:hint="eastAsia"/>
          <w:color w:val="auto"/>
        </w:rPr>
        <w:t>………</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rPr>
          <w:rFonts w:hint="eastAsia"/>
          <w:color w:val="auto"/>
        </w:rPr>
      </w:pPr>
      <w:r>
        <w:rPr>
          <w:rFonts w:hint="eastAsia"/>
          <w:color w:val="auto"/>
        </w:rPr>
        <w:t xml:space="preserve">   </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ind w:firstLine="2415" w:firstLineChars="1150"/>
        <w:jc w:val="right"/>
        <w:rPr>
          <w:rFonts w:hint="eastAsia"/>
          <w:color w:val="auto"/>
          <w:u w:val="single"/>
        </w:rPr>
      </w:pPr>
      <w:r>
        <w:rPr>
          <w:rFonts w:hint="eastAsia"/>
          <w:color w:val="auto"/>
        </w:rPr>
        <w:t>招标人/招标代理机构：</w:t>
      </w:r>
      <w:r>
        <w:rPr>
          <w:rFonts w:hint="eastAsia"/>
          <w:color w:val="auto"/>
          <w:u w:val="single"/>
        </w:rPr>
        <w:t xml:space="preserve">                      </w:t>
      </w:r>
      <w:r>
        <w:rPr>
          <w:rFonts w:hint="eastAsia"/>
          <w:color w:val="auto"/>
        </w:rPr>
        <w:t>（盖单位章）</w:t>
      </w:r>
    </w:p>
    <w:p>
      <w:pPr>
        <w:spacing w:line="360" w:lineRule="auto"/>
        <w:ind w:firstLine="2415" w:firstLineChars="1150"/>
        <w:jc w:val="right"/>
        <w:rPr>
          <w:rFonts w:hint="eastAsia"/>
          <w:color w:val="auto"/>
        </w:rPr>
      </w:pPr>
    </w:p>
    <w:p>
      <w:pPr>
        <w:spacing w:line="360" w:lineRule="auto"/>
        <w:ind w:firstLine="4095" w:firstLineChars="1950"/>
        <w:jc w:val="right"/>
        <w:rPr>
          <w:rFonts w:hint="eastAsia"/>
          <w:color w:val="auto"/>
        </w:rPr>
      </w:pPr>
      <w:r>
        <w:rPr>
          <w:rFonts w:hint="eastAsia"/>
          <w:color w:val="auto"/>
          <w:u w:val="single"/>
        </w:rPr>
        <w:t xml:space="preserve">         </w:t>
      </w:r>
      <w:r>
        <w:rPr>
          <w:rFonts w:hint="eastAsia"/>
          <w:color w:val="auto"/>
        </w:rPr>
        <w:t xml:space="preserve">年 </w:t>
      </w:r>
      <w:r>
        <w:rPr>
          <w:rFonts w:hint="eastAsia"/>
          <w:color w:val="auto"/>
          <w:u w:val="single"/>
        </w:rPr>
        <w:t xml:space="preserve">     </w:t>
      </w:r>
      <w:r>
        <w:rPr>
          <w:rFonts w:hint="eastAsia"/>
          <w:color w:val="auto"/>
        </w:rPr>
        <w:t xml:space="preserve"> 月</w:t>
      </w:r>
      <w:r>
        <w:rPr>
          <w:rFonts w:hint="eastAsia"/>
          <w:color w:val="auto"/>
          <w:u w:val="single"/>
        </w:rPr>
        <w:t xml:space="preserve">     </w:t>
      </w:r>
      <w:r>
        <w:rPr>
          <w:rFonts w:hint="eastAsia"/>
          <w:color w:val="auto"/>
        </w:rPr>
        <w:t>日</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spacing w:line="360" w:lineRule="auto"/>
        <w:rPr>
          <w:rFonts w:hint="eastAsia" w:ascii="华文仿宋" w:hAnsi="华文仿宋" w:eastAsia="华文仿宋"/>
          <w:color w:val="auto"/>
        </w:rPr>
      </w:pPr>
    </w:p>
    <w:p>
      <w:pPr>
        <w:spacing w:line="360" w:lineRule="auto"/>
        <w:rPr>
          <w:rFonts w:hint="eastAsia" w:ascii="华文仿宋" w:hAnsi="华文仿宋" w:eastAsia="华文仿宋"/>
          <w:color w:val="auto"/>
        </w:rPr>
      </w:pPr>
    </w:p>
    <w:p>
      <w:pPr>
        <w:spacing w:line="360" w:lineRule="auto"/>
        <w:rPr>
          <w:rFonts w:hint="eastAsia" w:ascii="宋体" w:hAnsi="宋体" w:cs="宋体"/>
          <w:color w:val="auto"/>
        </w:rPr>
      </w:pPr>
      <w:r>
        <w:rPr>
          <w:rFonts w:hint="eastAsia" w:ascii="宋体" w:hAnsi="宋体" w:cs="宋体"/>
          <w:color w:val="auto"/>
        </w:rPr>
        <w:t>备注:招标人对招标文件修改时，适用于本格式。</w:t>
      </w:r>
    </w:p>
    <w:p>
      <w:pPr>
        <w:spacing w:line="360" w:lineRule="auto"/>
        <w:ind w:firstLine="2415" w:firstLineChars="1150"/>
        <w:rPr>
          <w:rFonts w:hint="eastAsia"/>
          <w:color w:val="auto"/>
        </w:rPr>
      </w:pPr>
    </w:p>
    <w:p>
      <w:pPr>
        <w:spacing w:line="360" w:lineRule="auto"/>
        <w:ind w:firstLine="2415" w:firstLineChars="1150"/>
        <w:rPr>
          <w:rFonts w:hint="eastAsia"/>
          <w:color w:val="auto"/>
        </w:rPr>
      </w:pPr>
    </w:p>
    <w:p>
      <w:pPr>
        <w:keepNext/>
        <w:keepLines/>
        <w:pageBreakBefore w:val="0"/>
        <w:widowControl w:val="0"/>
        <w:kinsoku/>
        <w:wordWrap/>
        <w:overflowPunct/>
        <w:topLinePunct w:val="0"/>
        <w:autoSpaceDE/>
        <w:autoSpaceDN/>
        <w:bidi w:val="0"/>
        <w:adjustRightInd/>
        <w:snapToGrid/>
        <w:spacing w:line="416" w:lineRule="auto"/>
        <w:textAlignment w:val="auto"/>
        <w:outlineLvl w:val="9"/>
        <w:rPr>
          <w:color w:val="auto"/>
        </w:rPr>
        <w:sectPr>
          <w:pgSz w:w="11906" w:h="16838"/>
          <w:pgMar w:top="1418" w:right="1469" w:bottom="1418" w:left="1418" w:header="851" w:footer="992" w:gutter="0"/>
          <w:cols w:space="720" w:num="1"/>
          <w:docGrid w:type="linesAndChars" w:linePitch="312" w:charSpace="0"/>
        </w:sectPr>
      </w:pPr>
      <w:r>
        <w:rPr>
          <w:rFonts w:hint="eastAsia"/>
          <w:b/>
          <w:color w:val="auto"/>
          <w:sz w:val="28"/>
          <w:szCs w:val="28"/>
        </w:rPr>
        <w:t xml:space="preserve"> </w:t>
      </w:r>
      <w:bookmarkStart w:id="615" w:name="_Toc387753570"/>
      <w:bookmarkStart w:id="616" w:name="_Toc221950298"/>
    </w:p>
    <w:p>
      <w:pPr>
        <w:pStyle w:val="3"/>
        <w:rPr>
          <w:b w:val="0"/>
          <w:color w:val="auto"/>
          <w:sz w:val="28"/>
          <w:szCs w:val="28"/>
        </w:rPr>
      </w:pPr>
      <w:bookmarkStart w:id="617" w:name="_Toc491089709"/>
      <w:bookmarkStart w:id="618" w:name="_Toc31092"/>
      <w:r>
        <w:rPr>
          <w:rFonts w:hint="eastAsia"/>
          <w:b w:val="0"/>
          <w:color w:val="auto"/>
          <w:sz w:val="28"/>
          <w:szCs w:val="28"/>
        </w:rPr>
        <w:t>附件四：</w:t>
      </w:r>
      <w:bookmarkEnd w:id="576"/>
      <w:bookmarkEnd w:id="577"/>
      <w:bookmarkEnd w:id="578"/>
      <w:bookmarkEnd w:id="615"/>
      <w:bookmarkEnd w:id="616"/>
      <w:r>
        <w:rPr>
          <w:rFonts w:hint="eastAsia"/>
          <w:b w:val="0"/>
          <w:color w:val="auto"/>
          <w:sz w:val="28"/>
          <w:szCs w:val="28"/>
        </w:rPr>
        <w:t>开标记录表</w:t>
      </w:r>
      <w:bookmarkEnd w:id="617"/>
      <w:bookmarkEnd w:id="618"/>
    </w:p>
    <w:p>
      <w:pPr>
        <w:spacing w:before="240" w:beforeLines="100" w:after="240" w:afterLines="100" w:line="480" w:lineRule="exact"/>
        <w:jc w:val="center"/>
        <w:rPr>
          <w:rFonts w:hint="eastAsia" w:ascii="黑体" w:eastAsia="黑体"/>
          <w:color w:val="auto"/>
          <w:sz w:val="28"/>
          <w:szCs w:val="28"/>
        </w:rPr>
      </w:pPr>
      <w:bookmarkStart w:id="619" w:name="_Toc221950299"/>
      <w:r>
        <w:rPr>
          <w:rFonts w:hint="eastAsia" w:ascii="黑体" w:eastAsia="黑体"/>
          <w:color w:val="auto"/>
          <w:sz w:val="28"/>
          <w:szCs w:val="28"/>
          <w:u w:val="single"/>
        </w:rPr>
        <w:t xml:space="preserve">             </w:t>
      </w:r>
      <w:r>
        <w:rPr>
          <w:rFonts w:hint="eastAsia" w:ascii="黑体" w:eastAsia="黑体"/>
          <w:color w:val="auto"/>
          <w:sz w:val="28"/>
          <w:szCs w:val="28"/>
        </w:rPr>
        <w:t>（项目名称）</w:t>
      </w:r>
      <w:r>
        <w:rPr>
          <w:rFonts w:hint="eastAsia" w:ascii="黑体" w:eastAsia="黑体"/>
          <w:color w:val="auto"/>
          <w:sz w:val="28"/>
          <w:szCs w:val="28"/>
          <w:u w:val="single"/>
        </w:rPr>
        <w:t xml:space="preserve">      </w:t>
      </w:r>
      <w:r>
        <w:rPr>
          <w:rFonts w:hint="eastAsia" w:ascii="黑体" w:eastAsia="黑体"/>
          <w:color w:val="auto"/>
          <w:sz w:val="28"/>
          <w:szCs w:val="28"/>
        </w:rPr>
        <w:t>（标段名称）</w:t>
      </w:r>
      <w:bookmarkEnd w:id="619"/>
      <w:r>
        <w:rPr>
          <w:rFonts w:hint="eastAsia" w:ascii="黑体" w:eastAsia="黑体"/>
          <w:color w:val="auto"/>
          <w:sz w:val="28"/>
          <w:szCs w:val="28"/>
        </w:rPr>
        <w:t>开标记录表</w:t>
      </w:r>
    </w:p>
    <w:p>
      <w:pPr>
        <w:spacing w:line="400" w:lineRule="exact"/>
        <w:ind w:right="420"/>
        <w:rPr>
          <w:rFonts w:hint="eastAsia"/>
          <w:color w:val="auto"/>
          <w:szCs w:val="21"/>
        </w:rPr>
      </w:pPr>
      <w:bookmarkStart w:id="620" w:name="_Toc221950300"/>
      <w:r>
        <w:rPr>
          <w:rFonts w:hint="eastAsia"/>
          <w:color w:val="auto"/>
        </w:rPr>
        <w:t>开标时间：</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w:t>
      </w:r>
      <w:r>
        <w:rPr>
          <w:rFonts w:hint="eastAsia"/>
          <w:color w:val="auto"/>
          <w:u w:val="single"/>
        </w:rPr>
        <w:t xml:space="preserve">    </w:t>
      </w:r>
      <w:r>
        <w:rPr>
          <w:rFonts w:hint="eastAsia"/>
          <w:color w:val="auto"/>
        </w:rPr>
        <w:t>分</w:t>
      </w:r>
      <w:bookmarkEnd w:id="620"/>
      <w:r>
        <w:rPr>
          <w:rFonts w:hint="eastAsia"/>
          <w:color w:val="auto"/>
        </w:rPr>
        <w:t xml:space="preserve">                                            </w:t>
      </w:r>
      <w:r>
        <w:rPr>
          <w:rFonts w:hint="eastAsia"/>
          <w:color w:val="auto"/>
          <w:szCs w:val="21"/>
        </w:rPr>
        <w:t>开标结束时间：</w:t>
      </w:r>
      <w:r>
        <w:rPr>
          <w:rFonts w:hint="eastAsia"/>
          <w:color w:val="auto"/>
          <w:szCs w:val="21"/>
          <w:u w:val="single"/>
        </w:rPr>
        <w:t xml:space="preserve">    </w:t>
      </w:r>
      <w:r>
        <w:rPr>
          <w:rFonts w:hint="eastAsia"/>
          <w:color w:val="auto"/>
          <w:szCs w:val="21"/>
        </w:rPr>
        <w:t>年</w:t>
      </w:r>
      <w:r>
        <w:rPr>
          <w:rFonts w:hint="eastAsia"/>
          <w:color w:val="auto"/>
          <w:szCs w:val="21"/>
          <w:u w:val="single"/>
        </w:rPr>
        <w:t xml:space="preserve">     </w:t>
      </w:r>
      <w:r>
        <w:rPr>
          <w:rFonts w:hint="eastAsia"/>
          <w:color w:val="auto"/>
          <w:szCs w:val="21"/>
        </w:rPr>
        <w:t>月</w:t>
      </w:r>
      <w:r>
        <w:rPr>
          <w:rFonts w:hint="eastAsia"/>
          <w:color w:val="auto"/>
          <w:szCs w:val="21"/>
          <w:u w:val="single"/>
        </w:rPr>
        <w:t xml:space="preserve">      </w:t>
      </w:r>
      <w:r>
        <w:rPr>
          <w:rFonts w:hint="eastAsia"/>
          <w:color w:val="auto"/>
          <w:szCs w:val="21"/>
        </w:rPr>
        <w:t>日</w:t>
      </w:r>
      <w:r>
        <w:rPr>
          <w:rFonts w:hint="eastAsia"/>
          <w:color w:val="auto"/>
          <w:szCs w:val="21"/>
          <w:u w:val="single"/>
        </w:rPr>
        <w:t xml:space="preserve">    </w:t>
      </w:r>
      <w:r>
        <w:rPr>
          <w:rFonts w:hint="eastAsia"/>
          <w:color w:val="auto"/>
          <w:szCs w:val="21"/>
        </w:rPr>
        <w:t>时</w:t>
      </w:r>
      <w:r>
        <w:rPr>
          <w:rFonts w:hint="eastAsia"/>
          <w:color w:val="auto"/>
          <w:szCs w:val="21"/>
          <w:u w:val="single"/>
        </w:rPr>
        <w:t xml:space="preserve">    </w:t>
      </w:r>
      <w:r>
        <w:rPr>
          <w:rFonts w:hint="eastAsia"/>
          <w:color w:val="auto"/>
          <w:szCs w:val="21"/>
        </w:rPr>
        <w:t>分</w:t>
      </w:r>
    </w:p>
    <w:tbl>
      <w:tblPr>
        <w:tblStyle w:val="38"/>
        <w:tblW w:w="15269" w:type="dxa"/>
        <w:jc w:val="center"/>
        <w:tblLayout w:type="fixed"/>
        <w:tblCellMar>
          <w:top w:w="0" w:type="dxa"/>
          <w:left w:w="108" w:type="dxa"/>
          <w:bottom w:w="0" w:type="dxa"/>
          <w:right w:w="108" w:type="dxa"/>
        </w:tblCellMar>
      </w:tblPr>
      <w:tblGrid>
        <w:gridCol w:w="650"/>
        <w:gridCol w:w="2192"/>
        <w:gridCol w:w="999"/>
        <w:gridCol w:w="1504"/>
        <w:gridCol w:w="1368"/>
        <w:gridCol w:w="1326"/>
        <w:gridCol w:w="959"/>
        <w:gridCol w:w="1134"/>
        <w:gridCol w:w="1275"/>
        <w:gridCol w:w="1735"/>
        <w:gridCol w:w="2127"/>
      </w:tblGrid>
      <w:tr>
        <w:tblPrEx>
          <w:tblCellMar>
            <w:top w:w="0" w:type="dxa"/>
            <w:left w:w="108" w:type="dxa"/>
            <w:bottom w:w="0" w:type="dxa"/>
            <w:right w:w="108" w:type="dxa"/>
          </w:tblCellMar>
        </w:tblPrEx>
        <w:trPr>
          <w:trHeight w:val="523" w:hRule="atLeast"/>
          <w:jc w:val="center"/>
        </w:trPr>
        <w:tc>
          <w:tcPr>
            <w:tcW w:w="650" w:type="dxa"/>
            <w:vMerge w:val="restart"/>
            <w:tcBorders>
              <w:top w:val="single" w:color="auto" w:sz="4" w:space="0"/>
              <w:left w:val="single" w:color="auto" w:sz="4" w:space="0"/>
              <w:right w:val="single" w:color="auto" w:sz="4" w:space="0"/>
            </w:tcBorders>
            <w:noWrap w:val="0"/>
            <w:vAlign w:val="center"/>
          </w:tcPr>
          <w:p>
            <w:pPr>
              <w:spacing w:line="0" w:lineRule="atLeast"/>
              <w:jc w:val="center"/>
              <w:rPr>
                <w:color w:val="auto"/>
                <w:szCs w:val="21"/>
              </w:rPr>
            </w:pPr>
            <w:bookmarkStart w:id="621" w:name="_Toc221950301"/>
            <w:r>
              <w:rPr>
                <w:color w:val="auto"/>
                <w:szCs w:val="21"/>
              </w:rPr>
              <w:t>序号</w:t>
            </w:r>
            <w:bookmarkEnd w:id="621"/>
          </w:p>
        </w:tc>
        <w:tc>
          <w:tcPr>
            <w:tcW w:w="2192" w:type="dxa"/>
            <w:vMerge w:val="restart"/>
            <w:tcBorders>
              <w:top w:val="single" w:color="auto" w:sz="4" w:space="0"/>
              <w:left w:val="single" w:color="auto" w:sz="4" w:space="0"/>
              <w:right w:val="single" w:color="auto" w:sz="4" w:space="0"/>
            </w:tcBorders>
            <w:noWrap w:val="0"/>
            <w:vAlign w:val="center"/>
          </w:tcPr>
          <w:p>
            <w:pPr>
              <w:spacing w:line="0" w:lineRule="atLeast"/>
              <w:jc w:val="center"/>
              <w:rPr>
                <w:color w:val="auto"/>
                <w:szCs w:val="21"/>
              </w:rPr>
            </w:pPr>
            <w:bookmarkStart w:id="622" w:name="_Toc221950302"/>
            <w:r>
              <w:rPr>
                <w:color w:val="auto"/>
                <w:szCs w:val="21"/>
              </w:rPr>
              <w:t>投标人</w:t>
            </w:r>
            <w:bookmarkEnd w:id="622"/>
            <w:r>
              <w:rPr>
                <w:color w:val="auto"/>
                <w:szCs w:val="21"/>
              </w:rPr>
              <w:t>名称</w:t>
            </w:r>
          </w:p>
        </w:tc>
        <w:tc>
          <w:tcPr>
            <w:tcW w:w="999" w:type="dxa"/>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color w:val="auto"/>
                <w:szCs w:val="21"/>
              </w:rPr>
            </w:pPr>
            <w:bookmarkStart w:id="623" w:name="_Toc221950304"/>
            <w:r>
              <w:rPr>
                <w:color w:val="auto"/>
                <w:szCs w:val="21"/>
              </w:rPr>
              <w:t>投标</w:t>
            </w:r>
          </w:p>
          <w:p>
            <w:pPr>
              <w:spacing w:line="0" w:lineRule="atLeast"/>
              <w:jc w:val="center"/>
              <w:rPr>
                <w:color w:val="auto"/>
                <w:szCs w:val="21"/>
              </w:rPr>
            </w:pPr>
            <w:r>
              <w:rPr>
                <w:color w:val="auto"/>
                <w:szCs w:val="21"/>
              </w:rPr>
              <w:t>保证金</w:t>
            </w:r>
            <w:bookmarkEnd w:id="623"/>
          </w:p>
        </w:tc>
        <w:tc>
          <w:tcPr>
            <w:tcW w:w="1504" w:type="dxa"/>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color w:val="auto"/>
                <w:szCs w:val="21"/>
              </w:rPr>
            </w:pPr>
            <w:bookmarkStart w:id="624" w:name="_Toc221950305"/>
            <w:r>
              <w:rPr>
                <w:color w:val="auto"/>
                <w:szCs w:val="21"/>
              </w:rPr>
              <w:t>投标报价</w:t>
            </w:r>
          </w:p>
          <w:p>
            <w:pPr>
              <w:spacing w:line="0" w:lineRule="atLeast"/>
              <w:jc w:val="center"/>
              <w:rPr>
                <w:color w:val="auto"/>
                <w:szCs w:val="21"/>
              </w:rPr>
            </w:pPr>
            <w:r>
              <w:rPr>
                <w:color w:val="auto"/>
                <w:szCs w:val="21"/>
              </w:rPr>
              <w:t>（元）</w:t>
            </w:r>
            <w:bookmarkEnd w:id="624"/>
          </w:p>
        </w:tc>
        <w:tc>
          <w:tcPr>
            <w:tcW w:w="1368" w:type="dxa"/>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color w:val="auto"/>
                <w:szCs w:val="21"/>
              </w:rPr>
            </w:pPr>
            <w:bookmarkStart w:id="625" w:name="_Toc221950307"/>
            <w:r>
              <w:rPr>
                <w:color w:val="auto"/>
                <w:szCs w:val="21"/>
              </w:rPr>
              <w:t>工期</w:t>
            </w:r>
            <w:bookmarkEnd w:id="625"/>
          </w:p>
          <w:p>
            <w:pPr>
              <w:spacing w:line="0" w:lineRule="atLeast"/>
              <w:jc w:val="center"/>
              <w:rPr>
                <w:color w:val="auto"/>
                <w:szCs w:val="21"/>
              </w:rPr>
            </w:pPr>
            <w:r>
              <w:rPr>
                <w:rFonts w:hint="eastAsia"/>
                <w:color w:val="auto"/>
                <w:szCs w:val="21"/>
              </w:rPr>
              <w:t>（日历天）</w:t>
            </w:r>
          </w:p>
        </w:tc>
        <w:tc>
          <w:tcPr>
            <w:tcW w:w="1326" w:type="dxa"/>
            <w:vMerge w:val="restart"/>
            <w:tcBorders>
              <w:top w:val="single" w:color="auto" w:sz="4" w:space="0"/>
              <w:left w:val="single" w:color="auto" w:sz="4" w:space="0"/>
              <w:right w:val="single" w:color="auto" w:sz="4" w:space="0"/>
            </w:tcBorders>
            <w:noWrap w:val="0"/>
            <w:vAlign w:val="center"/>
          </w:tcPr>
          <w:p>
            <w:pPr>
              <w:spacing w:line="0" w:lineRule="atLeast"/>
              <w:jc w:val="center"/>
              <w:rPr>
                <w:color w:val="auto"/>
                <w:szCs w:val="21"/>
              </w:rPr>
            </w:pPr>
            <w:bookmarkStart w:id="626" w:name="_Toc221950306"/>
            <w:r>
              <w:rPr>
                <w:color w:val="auto"/>
                <w:szCs w:val="21"/>
              </w:rPr>
              <w:t>质量目标</w:t>
            </w:r>
            <w:bookmarkEnd w:id="626"/>
          </w:p>
        </w:tc>
        <w:tc>
          <w:tcPr>
            <w:tcW w:w="3368" w:type="dxa"/>
            <w:gridSpan w:val="3"/>
            <w:tcBorders>
              <w:top w:val="single" w:color="auto" w:sz="4" w:space="0"/>
              <w:left w:val="single" w:color="auto" w:sz="4" w:space="0"/>
              <w:bottom w:val="single" w:color="auto" w:sz="4" w:space="0"/>
              <w:right w:val="single" w:color="auto" w:sz="4" w:space="0"/>
            </w:tcBorders>
            <w:noWrap w:val="0"/>
            <w:vAlign w:val="center"/>
          </w:tcPr>
          <w:p>
            <w:pPr>
              <w:spacing w:line="0" w:lineRule="atLeast"/>
              <w:jc w:val="center"/>
              <w:rPr>
                <w:rFonts w:hint="eastAsia"/>
                <w:color w:val="auto"/>
                <w:szCs w:val="21"/>
              </w:rPr>
            </w:pPr>
            <w:r>
              <w:rPr>
                <w:rFonts w:hint="eastAsia"/>
                <w:color w:val="auto"/>
                <w:szCs w:val="21"/>
              </w:rPr>
              <w:t>项目经理</w:t>
            </w:r>
          </w:p>
        </w:tc>
        <w:tc>
          <w:tcPr>
            <w:tcW w:w="1735" w:type="dxa"/>
            <w:vMerge w:val="restart"/>
            <w:tcBorders>
              <w:top w:val="single" w:color="auto" w:sz="4" w:space="0"/>
              <w:left w:val="single" w:color="auto" w:sz="4" w:space="0"/>
              <w:right w:val="single" w:color="auto" w:sz="4" w:space="0"/>
            </w:tcBorders>
            <w:noWrap w:val="0"/>
            <w:vAlign w:val="center"/>
          </w:tcPr>
          <w:p>
            <w:pPr>
              <w:spacing w:line="0" w:lineRule="atLeast"/>
              <w:jc w:val="center"/>
              <w:rPr>
                <w:color w:val="auto"/>
                <w:szCs w:val="21"/>
              </w:rPr>
            </w:pPr>
            <w:bookmarkStart w:id="627" w:name="_Toc221950309"/>
            <w:r>
              <w:rPr>
                <w:rFonts w:hint="eastAsia"/>
                <w:color w:val="auto"/>
                <w:szCs w:val="21"/>
              </w:rPr>
              <w:t>投标人代表</w:t>
            </w:r>
            <w:bookmarkEnd w:id="627"/>
          </w:p>
        </w:tc>
        <w:tc>
          <w:tcPr>
            <w:tcW w:w="2127" w:type="dxa"/>
            <w:vMerge w:val="restart"/>
            <w:tcBorders>
              <w:top w:val="single" w:color="auto" w:sz="4" w:space="0"/>
              <w:left w:val="single" w:color="auto" w:sz="4" w:space="0"/>
              <w:right w:val="single" w:color="auto" w:sz="4" w:space="0"/>
            </w:tcBorders>
            <w:noWrap w:val="0"/>
            <w:vAlign w:val="center"/>
          </w:tcPr>
          <w:p>
            <w:pPr>
              <w:spacing w:line="0" w:lineRule="atLeast"/>
              <w:jc w:val="center"/>
              <w:rPr>
                <w:rFonts w:hint="eastAsia"/>
                <w:color w:val="auto"/>
                <w:szCs w:val="21"/>
              </w:rPr>
            </w:pPr>
            <w:r>
              <w:rPr>
                <w:rFonts w:hint="eastAsia"/>
                <w:color w:val="auto"/>
                <w:szCs w:val="21"/>
              </w:rPr>
              <w:t>联系电话</w:t>
            </w:r>
          </w:p>
        </w:tc>
      </w:tr>
      <w:tr>
        <w:tblPrEx>
          <w:tblCellMar>
            <w:top w:w="0" w:type="dxa"/>
            <w:left w:w="108" w:type="dxa"/>
            <w:bottom w:w="0" w:type="dxa"/>
            <w:right w:w="108" w:type="dxa"/>
          </w:tblCellMar>
        </w:tblPrEx>
        <w:trPr>
          <w:trHeight w:val="490" w:hRule="atLeast"/>
          <w:jc w:val="center"/>
        </w:trPr>
        <w:tc>
          <w:tcPr>
            <w:tcW w:w="650"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vMerge w:val="continue"/>
            <w:tcBorders>
              <w:left w:val="single" w:color="auto" w:sz="4" w:space="0"/>
              <w:bottom w:val="single" w:color="auto" w:sz="4" w:space="0"/>
              <w:right w:val="single" w:color="auto" w:sz="4" w:space="0"/>
            </w:tcBorders>
            <w:noWrap w:val="0"/>
            <w:vAlign w:val="top"/>
          </w:tcPr>
          <w:p>
            <w:pPr>
              <w:spacing w:line="0" w:lineRule="atLeast"/>
              <w:jc w:val="center"/>
              <w:rPr>
                <w:color w:val="auto"/>
                <w:szCs w:val="21"/>
              </w:rPr>
            </w:pPr>
          </w:p>
        </w:tc>
        <w:tc>
          <w:tcPr>
            <w:tcW w:w="999"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rPr>
            </w:pPr>
            <w:r>
              <w:rPr>
                <w:rFonts w:hint="eastAsia" w:ascii="宋体" w:hAnsi="宋体"/>
                <w:color w:val="auto"/>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rPr>
            </w:pPr>
            <w:r>
              <w:rPr>
                <w:rFonts w:hint="eastAsia" w:ascii="宋体" w:hAnsi="宋体"/>
                <w:color w:val="auto"/>
              </w:rPr>
              <w:t>证书名称</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rPr>
            </w:pPr>
            <w:r>
              <w:rPr>
                <w:rFonts w:hint="eastAsia" w:ascii="宋体" w:hAnsi="宋体"/>
                <w:color w:val="auto"/>
              </w:rPr>
              <w:t>证书编号</w:t>
            </w:r>
          </w:p>
        </w:tc>
        <w:tc>
          <w:tcPr>
            <w:tcW w:w="1735"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vMerge w:val="continue"/>
            <w:tcBorders>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74"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74"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74"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650"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92"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9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50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68"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326"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959"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1735"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53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r>
              <w:rPr>
                <w:color w:val="auto"/>
                <w:szCs w:val="21"/>
              </w:rPr>
              <w:t>最高限价</w:t>
            </w:r>
            <w:r>
              <w:rPr>
                <w:rFonts w:hint="eastAsia"/>
                <w:color w:val="auto"/>
                <w:szCs w:val="21"/>
              </w:rPr>
              <w:t>（万元）</w:t>
            </w:r>
          </w:p>
        </w:tc>
        <w:tc>
          <w:tcPr>
            <w:tcW w:w="9924" w:type="dxa"/>
            <w:gridSpan w:val="7"/>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53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抽取的</w:t>
            </w:r>
            <w:r>
              <w:rPr>
                <w:rFonts w:ascii="宋体" w:hAnsi="宋体"/>
                <w:color w:val="auto"/>
                <w:szCs w:val="21"/>
              </w:rPr>
              <w:t>j</w:t>
            </w:r>
            <w:r>
              <w:rPr>
                <w:rFonts w:hint="eastAsia" w:ascii="宋体" w:hAnsi="宋体"/>
                <w:color w:val="auto"/>
                <w:szCs w:val="21"/>
              </w:rPr>
              <w:t>值</w:t>
            </w:r>
          </w:p>
        </w:tc>
        <w:tc>
          <w:tcPr>
            <w:tcW w:w="9924" w:type="dxa"/>
            <w:gridSpan w:val="7"/>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r>
        <w:tblPrEx>
          <w:tblCellMar>
            <w:top w:w="0" w:type="dxa"/>
            <w:left w:w="108" w:type="dxa"/>
            <w:bottom w:w="0" w:type="dxa"/>
            <w:right w:w="108" w:type="dxa"/>
          </w:tblCellMar>
        </w:tblPrEx>
        <w:trPr>
          <w:trHeight w:val="490" w:hRule="atLeast"/>
          <w:jc w:val="center"/>
        </w:trPr>
        <w:tc>
          <w:tcPr>
            <w:tcW w:w="5345"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rPr>
            </w:pPr>
            <w:r>
              <w:rPr>
                <w:rFonts w:hint="eastAsia"/>
                <w:color w:val="auto"/>
                <w:szCs w:val="21"/>
              </w:rPr>
              <w:t>开标过程需记录的其他事项</w:t>
            </w:r>
          </w:p>
        </w:tc>
        <w:tc>
          <w:tcPr>
            <w:tcW w:w="9924" w:type="dxa"/>
            <w:gridSpan w:val="7"/>
            <w:tcBorders>
              <w:top w:val="single" w:color="auto" w:sz="4" w:space="0"/>
              <w:left w:val="single" w:color="auto" w:sz="4" w:space="0"/>
              <w:bottom w:val="single" w:color="auto" w:sz="4" w:space="0"/>
              <w:right w:val="single" w:color="auto" w:sz="4" w:space="0"/>
            </w:tcBorders>
            <w:noWrap w:val="0"/>
            <w:vAlign w:val="top"/>
          </w:tcPr>
          <w:p>
            <w:pPr>
              <w:spacing w:line="500" w:lineRule="exact"/>
              <w:jc w:val="left"/>
              <w:rPr>
                <w:color w:val="auto"/>
                <w:szCs w:val="21"/>
              </w:rPr>
            </w:pPr>
          </w:p>
        </w:tc>
      </w:tr>
    </w:tbl>
    <w:p>
      <w:pPr>
        <w:spacing w:line="620" w:lineRule="exact"/>
        <w:ind w:right="420" w:firstLine="5040" w:firstLineChars="2400"/>
        <w:rPr>
          <w:rFonts w:hint="eastAsia"/>
          <w:color w:val="auto"/>
          <w:szCs w:val="21"/>
        </w:rPr>
      </w:pPr>
      <w:r>
        <w:rPr>
          <w:rFonts w:hint="eastAsia"/>
          <w:color w:val="auto"/>
        </w:rPr>
        <w:t>主持人</w:t>
      </w:r>
      <w:r>
        <w:rPr>
          <w:rFonts w:hint="eastAsia" w:ascii="宋体" w:hAnsi="宋体"/>
          <w:color w:val="auto"/>
        </w:rPr>
        <w:t>：</w:t>
      </w:r>
      <w:r>
        <w:rPr>
          <w:rFonts w:hint="eastAsia" w:ascii="宋体" w:hAnsi="宋体"/>
          <w:color w:val="auto"/>
          <w:u w:val="single"/>
        </w:rPr>
        <w:t xml:space="preserve">                </w:t>
      </w:r>
      <w:r>
        <w:rPr>
          <w:rFonts w:hint="eastAsia" w:ascii="宋体" w:hAnsi="宋体"/>
          <w:color w:val="auto"/>
        </w:rPr>
        <w:t>招标人代表：</w:t>
      </w:r>
      <w:r>
        <w:rPr>
          <w:rFonts w:hint="eastAsia" w:ascii="宋体" w:hAnsi="宋体"/>
          <w:color w:val="auto"/>
          <w:u w:val="single"/>
        </w:rPr>
        <w:t xml:space="preserve">                </w:t>
      </w:r>
      <w:r>
        <w:rPr>
          <w:rFonts w:hint="eastAsia" w:ascii="宋体" w:hAnsi="宋体"/>
          <w:color w:val="auto"/>
        </w:rPr>
        <w:t>监标人：</w:t>
      </w:r>
      <w:r>
        <w:rPr>
          <w:rFonts w:hint="eastAsia" w:ascii="宋体" w:hAnsi="宋体"/>
          <w:color w:val="auto"/>
          <w:u w:val="single"/>
        </w:rPr>
        <w:t xml:space="preserve">               </w:t>
      </w:r>
      <w:r>
        <w:rPr>
          <w:color w:val="auto"/>
          <w:szCs w:val="21"/>
          <w:u w:val="single"/>
        </w:rPr>
        <w:t xml:space="preserve"> </w:t>
      </w:r>
      <w:r>
        <w:rPr>
          <w:rFonts w:hint="eastAsia"/>
          <w:color w:val="auto"/>
          <w:szCs w:val="21"/>
          <w:u w:val="single"/>
        </w:rPr>
        <w:t xml:space="preserve">     </w:t>
      </w:r>
    </w:p>
    <w:p>
      <w:pPr>
        <w:rPr>
          <w:rFonts w:hint="eastAsia"/>
          <w:color w:val="auto"/>
        </w:rPr>
      </w:pPr>
    </w:p>
    <w:p>
      <w:pPr>
        <w:rPr>
          <w:rFonts w:hint="eastAsia"/>
          <w:color w:val="auto"/>
        </w:rPr>
      </w:pPr>
    </w:p>
    <w:p>
      <w:pPr>
        <w:pStyle w:val="80"/>
        <w:spacing w:before="120" w:after="120" w:afterLines="50"/>
        <w:outlineLvl w:val="9"/>
        <w:rPr>
          <w:color w:val="auto"/>
        </w:rPr>
        <w:sectPr>
          <w:pgSz w:w="16838" w:h="11906" w:orient="landscape"/>
          <w:pgMar w:top="1418" w:right="1418" w:bottom="1469" w:left="1418" w:header="851" w:footer="992" w:gutter="0"/>
          <w:pgNumType w:start="33"/>
          <w:cols w:space="720" w:num="1"/>
          <w:titlePg/>
          <w:docGrid w:linePitch="312" w:charSpace="0"/>
        </w:sectPr>
      </w:pPr>
      <w:bookmarkStart w:id="628" w:name="_Toc387753571"/>
      <w:bookmarkStart w:id="629" w:name="_Toc144974551"/>
      <w:bookmarkStart w:id="630" w:name="_Toc221950335"/>
      <w:bookmarkStart w:id="631" w:name="_Toc168476102"/>
      <w:bookmarkStart w:id="632" w:name="_Toc168475699"/>
    </w:p>
    <w:p>
      <w:pPr>
        <w:pStyle w:val="3"/>
        <w:rPr>
          <w:rFonts w:hint="eastAsia"/>
          <w:b w:val="0"/>
          <w:color w:val="auto"/>
          <w:sz w:val="28"/>
          <w:szCs w:val="28"/>
        </w:rPr>
      </w:pPr>
      <w:bookmarkStart w:id="633" w:name="_Toc387753578"/>
      <w:bookmarkStart w:id="634" w:name="_Toc491089710"/>
      <w:bookmarkStart w:id="635" w:name="_Toc7300"/>
      <w:r>
        <w:rPr>
          <w:b w:val="0"/>
          <w:color w:val="auto"/>
          <w:sz w:val="28"/>
          <w:szCs w:val="28"/>
        </w:rPr>
        <w:t>附</w:t>
      </w:r>
      <w:r>
        <w:rPr>
          <w:rFonts w:hint="eastAsia"/>
          <w:b w:val="0"/>
          <w:color w:val="auto"/>
          <w:sz w:val="28"/>
          <w:szCs w:val="28"/>
        </w:rPr>
        <w:t>件五</w:t>
      </w:r>
      <w:r>
        <w:rPr>
          <w:b w:val="0"/>
          <w:color w:val="auto"/>
          <w:sz w:val="28"/>
          <w:szCs w:val="28"/>
        </w:rPr>
        <w:t>：</w:t>
      </w:r>
      <w:bookmarkEnd w:id="633"/>
      <w:r>
        <w:rPr>
          <w:rFonts w:hint="eastAsia"/>
          <w:b w:val="0"/>
          <w:color w:val="auto"/>
          <w:sz w:val="28"/>
          <w:szCs w:val="28"/>
        </w:rPr>
        <w:t>投标文件澄清通知</w:t>
      </w:r>
      <w:bookmarkEnd w:id="634"/>
      <w:bookmarkEnd w:id="635"/>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投标文件澄清通知</w:t>
      </w:r>
    </w:p>
    <w:p>
      <w:pPr>
        <w:spacing w:line="440" w:lineRule="exact"/>
        <w:jc w:val="center"/>
        <w:rPr>
          <w:color w:val="auto"/>
          <w:szCs w:val="21"/>
        </w:rPr>
      </w:pPr>
      <w:r>
        <w:rPr>
          <w:color w:val="auto"/>
          <w:szCs w:val="21"/>
        </w:rPr>
        <w:t>编号：</w:t>
      </w:r>
    </w:p>
    <w:p>
      <w:pPr>
        <w:spacing w:line="440" w:lineRule="exact"/>
        <w:rPr>
          <w:color w:val="auto"/>
          <w:szCs w:val="21"/>
        </w:rPr>
      </w:pPr>
    </w:p>
    <w:p>
      <w:pPr>
        <w:spacing w:line="440" w:lineRule="exact"/>
        <w:rPr>
          <w:color w:val="auto"/>
          <w:szCs w:val="21"/>
        </w:rPr>
      </w:pPr>
      <w:r>
        <w:rPr>
          <w:color w:val="auto"/>
          <w:szCs w:val="21"/>
        </w:rPr>
        <w:t xml:space="preserve">  </w:t>
      </w:r>
      <w:r>
        <w:rPr>
          <w:color w:val="auto"/>
          <w:szCs w:val="21"/>
          <w:u w:val="single"/>
        </w:rPr>
        <w:t xml:space="preserve">            </w:t>
      </w:r>
      <w:r>
        <w:rPr>
          <w:color w:val="auto"/>
          <w:szCs w:val="21"/>
        </w:rPr>
        <w:t>（</w:t>
      </w:r>
      <w:r>
        <w:rPr>
          <w:rFonts w:hint="eastAsia" w:ascii="仿宋_GB2312" w:eastAsia="仿宋_GB2312"/>
          <w:color w:val="auto"/>
          <w:szCs w:val="21"/>
        </w:rPr>
        <w:t>投标人名称</w:t>
      </w:r>
      <w:r>
        <w:rPr>
          <w:color w:val="auto"/>
          <w:szCs w:val="21"/>
        </w:rPr>
        <w:t>）：</w:t>
      </w:r>
    </w:p>
    <w:p>
      <w:pPr>
        <w:spacing w:line="440" w:lineRule="exact"/>
        <w:rPr>
          <w:color w:val="auto"/>
          <w:szCs w:val="21"/>
        </w:rPr>
      </w:pPr>
    </w:p>
    <w:p>
      <w:pPr>
        <w:spacing w:line="480" w:lineRule="exact"/>
        <w:ind w:firstLine="525" w:firstLineChars="250"/>
        <w:rPr>
          <w:rFonts w:hint="eastAsia"/>
          <w:color w:val="auto"/>
        </w:rPr>
      </w:pPr>
      <w:r>
        <w:rPr>
          <w:color w:val="auto"/>
          <w:szCs w:val="21"/>
        </w:rPr>
        <w:t xml:space="preserve">　　  </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标段名称）</w:t>
      </w:r>
      <w:r>
        <w:rPr>
          <w:color w:val="auto"/>
          <w:szCs w:val="21"/>
        </w:rPr>
        <w:t>评标委员会</w:t>
      </w:r>
      <w:r>
        <w:rPr>
          <w:rFonts w:hint="eastAsia"/>
          <w:color w:val="auto"/>
          <w:szCs w:val="21"/>
        </w:rPr>
        <w:t>，</w:t>
      </w:r>
      <w:r>
        <w:rPr>
          <w:color w:val="auto"/>
          <w:szCs w:val="21"/>
        </w:rPr>
        <w:t>对你方的投标文件进行了仔细的审查，现需你方对下列问题以书面形式予以澄清</w:t>
      </w:r>
      <w:r>
        <w:rPr>
          <w:rFonts w:hint="eastAsia"/>
          <w:color w:val="auto"/>
          <w:szCs w:val="21"/>
        </w:rPr>
        <w:t>、</w:t>
      </w:r>
      <w:r>
        <w:rPr>
          <w:color w:val="auto"/>
          <w:szCs w:val="21"/>
        </w:rPr>
        <w:t>说明或补正</w:t>
      </w:r>
      <w:r>
        <w:rPr>
          <w:rFonts w:hint="eastAsia"/>
          <w:color w:val="auto"/>
        </w:rPr>
        <w:t>，并将投标文件的澄清、说明或者补正于</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w:t>
      </w:r>
      <w:r>
        <w:rPr>
          <w:rFonts w:hint="eastAsia"/>
          <w:color w:val="auto"/>
          <w:u w:val="single"/>
        </w:rPr>
        <w:t xml:space="preserve">  </w:t>
      </w:r>
      <w:r>
        <w:rPr>
          <w:rFonts w:hint="eastAsia"/>
          <w:color w:val="auto"/>
        </w:rPr>
        <w:t>时前，通过“电子交易平台”“投标文件澄清”菜单提交给本评标委员会。</w:t>
      </w:r>
    </w:p>
    <w:p>
      <w:pPr>
        <w:spacing w:line="440" w:lineRule="exact"/>
        <w:rPr>
          <w:color w:val="auto"/>
          <w:szCs w:val="21"/>
        </w:rPr>
      </w:pP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1</w:t>
      </w:r>
      <w:r>
        <w:rPr>
          <w:rFonts w:hint="eastAsia"/>
          <w:color w:val="auto"/>
          <w:szCs w:val="21"/>
        </w:rPr>
        <w:t>、</w:t>
      </w:r>
      <w:r>
        <w:rPr>
          <w:color w:val="auto"/>
          <w:szCs w:val="21"/>
        </w:rPr>
        <w:t xml:space="preserve"> ......</w:t>
      </w:r>
    </w:p>
    <w:p>
      <w:pPr>
        <w:spacing w:line="440" w:lineRule="exact"/>
        <w:rPr>
          <w:color w:val="auto"/>
          <w:szCs w:val="21"/>
        </w:rPr>
      </w:pPr>
      <w:r>
        <w:rPr>
          <w:color w:val="auto"/>
          <w:szCs w:val="21"/>
        </w:rPr>
        <w:t xml:space="preserve">    2</w:t>
      </w:r>
      <w:r>
        <w:rPr>
          <w:rFonts w:hint="eastAsia"/>
          <w:color w:val="auto"/>
          <w:szCs w:val="21"/>
        </w:rPr>
        <w:t>、</w:t>
      </w:r>
      <w:r>
        <w:rPr>
          <w:color w:val="auto"/>
          <w:szCs w:val="21"/>
        </w:rPr>
        <w:t xml:space="preserve"> ......</w:t>
      </w:r>
    </w:p>
    <w:p>
      <w:pPr>
        <w:spacing w:line="440" w:lineRule="exact"/>
        <w:rPr>
          <w:color w:val="auto"/>
          <w:szCs w:val="21"/>
        </w:rPr>
      </w:pPr>
      <w:r>
        <w:rPr>
          <w:color w:val="auto"/>
          <w:szCs w:val="21"/>
        </w:rPr>
        <w:t xml:space="preserve">     ......   </w:t>
      </w:r>
    </w:p>
    <w:p>
      <w:pPr>
        <w:spacing w:line="440" w:lineRule="exact"/>
        <w:rPr>
          <w:color w:val="auto"/>
          <w:szCs w:val="21"/>
        </w:rPr>
      </w:pPr>
      <w:r>
        <w:rPr>
          <w:color w:val="auto"/>
          <w:szCs w:val="21"/>
        </w:rPr>
        <w:t>　　　</w:t>
      </w:r>
    </w:p>
    <w:p>
      <w:pPr>
        <w:spacing w:line="440" w:lineRule="exact"/>
        <w:rPr>
          <w:rFonts w:hint="eastAsia"/>
          <w:color w:val="auto"/>
          <w:szCs w:val="21"/>
        </w:rPr>
      </w:pPr>
      <w:r>
        <w:rPr>
          <w:color w:val="auto"/>
          <w:szCs w:val="21"/>
        </w:rPr>
        <w:t>　　</w:t>
      </w:r>
    </w:p>
    <w:p>
      <w:pPr>
        <w:spacing w:line="440" w:lineRule="exact"/>
        <w:ind w:firstLine="1890" w:firstLineChars="900"/>
        <w:jc w:val="right"/>
        <w:rPr>
          <w:rFonts w:hint="eastAsia"/>
          <w:color w:val="auto"/>
          <w:szCs w:val="21"/>
        </w:rPr>
      </w:pPr>
      <w:r>
        <w:rPr>
          <w:rFonts w:hint="eastAsia"/>
          <w:color w:val="auto"/>
        </w:rPr>
        <w:t>评标委员会组长：</w:t>
      </w:r>
      <w:r>
        <w:rPr>
          <w:rFonts w:hint="eastAsia"/>
          <w:color w:val="auto"/>
          <w:u w:val="single"/>
        </w:rPr>
        <w:t xml:space="preserve">           </w:t>
      </w:r>
      <w:r>
        <w:rPr>
          <w:rFonts w:hint="eastAsia"/>
          <w:color w:val="auto"/>
        </w:rPr>
        <w:t xml:space="preserve">（签字或盖章）        </w:t>
      </w:r>
    </w:p>
    <w:p>
      <w:pPr>
        <w:spacing w:line="440" w:lineRule="exact"/>
        <w:jc w:val="right"/>
        <w:rPr>
          <w:rFonts w:hint="eastAsia"/>
          <w:color w:val="auto"/>
          <w:szCs w:val="21"/>
        </w:rPr>
      </w:pPr>
    </w:p>
    <w:p>
      <w:pPr>
        <w:spacing w:line="440" w:lineRule="exact"/>
        <w:jc w:val="right"/>
        <w:rPr>
          <w:color w:val="auto"/>
          <w:szCs w:val="21"/>
        </w:rPr>
      </w:pPr>
      <w:r>
        <w:rPr>
          <w:color w:val="auto"/>
          <w:szCs w:val="21"/>
        </w:rPr>
        <w:t xml:space="preserve">                                 </w:t>
      </w:r>
      <w:r>
        <w:rPr>
          <w:color w:val="auto"/>
          <w:szCs w:val="21"/>
          <w:u w:val="single"/>
        </w:rPr>
        <w:t xml:space="preserve">        </w:t>
      </w:r>
      <w:r>
        <w:rPr>
          <w:color w:val="auto"/>
          <w:szCs w:val="21"/>
        </w:rPr>
        <w:t xml:space="preserve"> 年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日</w:t>
      </w: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spacing w:line="400" w:lineRule="exact"/>
        <w:jc w:val="right"/>
        <w:rPr>
          <w:rFonts w:hint="eastAsia"/>
          <w:color w:val="auto"/>
        </w:rPr>
      </w:pPr>
    </w:p>
    <w:p>
      <w:pPr>
        <w:pStyle w:val="3"/>
        <w:rPr>
          <w:rFonts w:hint="eastAsia"/>
          <w:b w:val="0"/>
          <w:color w:val="auto"/>
          <w:sz w:val="28"/>
          <w:szCs w:val="28"/>
        </w:rPr>
      </w:pPr>
      <w:bookmarkStart w:id="636" w:name="_Toc387753579"/>
      <w:bookmarkStart w:id="637" w:name="_Toc31292"/>
      <w:bookmarkStart w:id="638" w:name="_Toc491089711"/>
      <w:r>
        <w:rPr>
          <w:rFonts w:hint="eastAsia"/>
          <w:b w:val="0"/>
          <w:color w:val="auto"/>
          <w:sz w:val="28"/>
          <w:szCs w:val="28"/>
        </w:rPr>
        <w:t>附件六：</w:t>
      </w:r>
      <w:bookmarkEnd w:id="636"/>
      <w:r>
        <w:rPr>
          <w:rFonts w:hint="eastAsia"/>
          <w:b w:val="0"/>
          <w:color w:val="auto"/>
          <w:sz w:val="28"/>
          <w:szCs w:val="28"/>
        </w:rPr>
        <w:t>投标文件澄清函</w:t>
      </w:r>
      <w:bookmarkEnd w:id="637"/>
      <w:bookmarkEnd w:id="638"/>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投标文件澄清函</w:t>
      </w:r>
    </w:p>
    <w:p>
      <w:pPr>
        <w:spacing w:line="400" w:lineRule="exact"/>
        <w:ind w:firstLine="4200" w:firstLineChars="2000"/>
        <w:rPr>
          <w:rFonts w:hint="eastAsia"/>
          <w:color w:val="auto"/>
        </w:rPr>
      </w:pPr>
      <w:r>
        <w:rPr>
          <w:rFonts w:hint="eastAsia"/>
          <w:color w:val="auto"/>
        </w:rPr>
        <w:t xml:space="preserve">编号： </w:t>
      </w:r>
    </w:p>
    <w:p>
      <w:pPr>
        <w:spacing w:line="400" w:lineRule="exact"/>
        <w:rPr>
          <w:color w:val="auto"/>
          <w:szCs w:val="21"/>
        </w:rPr>
      </w:pPr>
    </w:p>
    <w:p>
      <w:pPr>
        <w:spacing w:line="440" w:lineRule="exact"/>
        <w:rPr>
          <w:color w:val="auto"/>
          <w:szCs w:val="21"/>
        </w:rPr>
      </w:pPr>
      <w:r>
        <w:rPr>
          <w:rFonts w:ascii="宋体" w:hAnsi="宋体"/>
          <w:color w:val="auto"/>
          <w:szCs w:val="21"/>
          <w:u w:val="single"/>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标段名称）</w:t>
      </w:r>
      <w:r>
        <w:rPr>
          <w:color w:val="auto"/>
          <w:szCs w:val="21"/>
        </w:rPr>
        <w:t>评标委员会：</w:t>
      </w:r>
    </w:p>
    <w:p>
      <w:pPr>
        <w:spacing w:line="440" w:lineRule="exact"/>
        <w:rPr>
          <w:color w:val="auto"/>
          <w:szCs w:val="21"/>
        </w:rPr>
      </w:pPr>
    </w:p>
    <w:p>
      <w:pPr>
        <w:spacing w:line="440" w:lineRule="exact"/>
        <w:rPr>
          <w:color w:val="auto"/>
          <w:szCs w:val="21"/>
        </w:rPr>
      </w:pPr>
      <w:r>
        <w:rPr>
          <w:color w:val="auto"/>
          <w:szCs w:val="21"/>
        </w:rPr>
        <w:t>　　</w:t>
      </w:r>
      <w:r>
        <w:rPr>
          <w:rFonts w:hint="eastAsia"/>
          <w:color w:val="auto"/>
          <w:szCs w:val="21"/>
        </w:rPr>
        <w:t>投标文件澄清</w:t>
      </w:r>
      <w:r>
        <w:rPr>
          <w:color w:val="auto"/>
          <w:szCs w:val="21"/>
        </w:rPr>
        <w:t>通知（编号：</w:t>
      </w:r>
      <w:r>
        <w:rPr>
          <w:color w:val="auto"/>
          <w:szCs w:val="21"/>
          <w:u w:val="single"/>
        </w:rPr>
        <w:t xml:space="preserve">        </w:t>
      </w:r>
      <w:r>
        <w:rPr>
          <w:color w:val="auto"/>
          <w:szCs w:val="21"/>
        </w:rPr>
        <w:t>）已收悉，现</w:t>
      </w:r>
      <w:r>
        <w:rPr>
          <w:rFonts w:hint="eastAsia"/>
          <w:color w:val="auto"/>
          <w:szCs w:val="21"/>
        </w:rPr>
        <w:t>就有关问题</w:t>
      </w:r>
      <w:r>
        <w:rPr>
          <w:color w:val="auto"/>
          <w:szCs w:val="21"/>
        </w:rPr>
        <w:t>澄清如下：</w:t>
      </w:r>
    </w:p>
    <w:p>
      <w:pPr>
        <w:spacing w:line="440" w:lineRule="exact"/>
        <w:rPr>
          <w:color w:val="auto"/>
          <w:szCs w:val="21"/>
        </w:rPr>
      </w:pPr>
      <w:r>
        <w:rPr>
          <w:color w:val="auto"/>
          <w:szCs w:val="21"/>
        </w:rPr>
        <w:t>　     1</w:t>
      </w:r>
      <w:r>
        <w:rPr>
          <w:rFonts w:hint="eastAsia"/>
          <w:color w:val="auto"/>
          <w:szCs w:val="21"/>
        </w:rPr>
        <w:t>、</w:t>
      </w:r>
      <w:r>
        <w:rPr>
          <w:color w:val="auto"/>
          <w:szCs w:val="21"/>
        </w:rPr>
        <w:t xml:space="preserve"> .....</w:t>
      </w:r>
    </w:p>
    <w:p>
      <w:pPr>
        <w:spacing w:line="440" w:lineRule="exact"/>
        <w:rPr>
          <w:rFonts w:hint="eastAsia"/>
          <w:color w:val="auto"/>
          <w:szCs w:val="21"/>
        </w:rPr>
      </w:pPr>
      <w:r>
        <w:rPr>
          <w:color w:val="auto"/>
          <w:szCs w:val="21"/>
        </w:rPr>
        <w:t>　     2</w:t>
      </w:r>
      <w:r>
        <w:rPr>
          <w:rFonts w:hint="eastAsia"/>
          <w:color w:val="auto"/>
          <w:szCs w:val="21"/>
        </w:rPr>
        <w:t>、</w:t>
      </w:r>
      <w:r>
        <w:rPr>
          <w:color w:val="auto"/>
          <w:szCs w:val="21"/>
        </w:rPr>
        <w:t xml:space="preserve"> .....</w:t>
      </w:r>
    </w:p>
    <w:p>
      <w:pPr>
        <w:spacing w:line="440" w:lineRule="exact"/>
        <w:rPr>
          <w:color w:val="auto"/>
          <w:szCs w:val="21"/>
        </w:rPr>
      </w:pPr>
      <w:r>
        <w:rPr>
          <w:color w:val="auto"/>
          <w:szCs w:val="21"/>
        </w:rPr>
        <w:t>　    .....</w:t>
      </w:r>
    </w:p>
    <w:p>
      <w:pPr>
        <w:spacing w:line="440" w:lineRule="exact"/>
        <w:rPr>
          <w:color w:val="auto"/>
          <w:szCs w:val="21"/>
        </w:rPr>
      </w:pPr>
      <w:r>
        <w:rPr>
          <w:color w:val="auto"/>
          <w:szCs w:val="21"/>
        </w:rPr>
        <w:t xml:space="preserve">                       </w:t>
      </w:r>
    </w:p>
    <w:p>
      <w:pPr>
        <w:spacing w:line="440" w:lineRule="exact"/>
        <w:rPr>
          <w:color w:val="auto"/>
          <w:szCs w:val="21"/>
        </w:rPr>
      </w:pPr>
      <w:r>
        <w:rPr>
          <w:color w:val="auto"/>
          <w:szCs w:val="21"/>
        </w:rPr>
        <w:t xml:space="preserve">　 </w:t>
      </w:r>
    </w:p>
    <w:p>
      <w:pPr>
        <w:spacing w:line="440" w:lineRule="exact"/>
        <w:rPr>
          <w:color w:val="auto"/>
          <w:szCs w:val="21"/>
        </w:rPr>
      </w:pPr>
    </w:p>
    <w:p>
      <w:pPr>
        <w:spacing w:line="440" w:lineRule="exact"/>
        <w:rPr>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color w:val="auto"/>
          <w:szCs w:val="21"/>
        </w:rPr>
      </w:pPr>
    </w:p>
    <w:p>
      <w:pPr>
        <w:spacing w:line="480" w:lineRule="auto"/>
        <w:rPr>
          <w:color w:val="auto"/>
          <w:szCs w:val="21"/>
        </w:rPr>
      </w:pPr>
      <w:r>
        <w:rPr>
          <w:color w:val="auto"/>
          <w:szCs w:val="21"/>
        </w:rPr>
        <w:t>　　</w:t>
      </w:r>
      <w:r>
        <w:rPr>
          <w:rFonts w:hint="eastAsia"/>
          <w:color w:val="auto"/>
          <w:szCs w:val="21"/>
        </w:rPr>
        <w:t xml:space="preserve">                                        </w:t>
      </w:r>
      <w:r>
        <w:rPr>
          <w:color w:val="auto"/>
          <w:szCs w:val="21"/>
        </w:rPr>
        <w:t>投标人：</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（盖单位章）</w:t>
      </w:r>
    </w:p>
    <w:p>
      <w:pPr>
        <w:spacing w:line="480" w:lineRule="auto"/>
        <w:rPr>
          <w:rFonts w:hint="eastAsia"/>
          <w:color w:val="auto"/>
          <w:szCs w:val="21"/>
        </w:rPr>
      </w:pPr>
      <w:r>
        <w:rPr>
          <w:color w:val="auto"/>
          <w:szCs w:val="21"/>
        </w:rPr>
        <w:t>　　　　　　　　　　　　　　　　　　　　　　法定代表人或其</w:t>
      </w:r>
      <w:r>
        <w:rPr>
          <w:rFonts w:hint="eastAsia"/>
          <w:color w:val="auto"/>
          <w:szCs w:val="21"/>
        </w:rPr>
        <w:t>委托</w:t>
      </w:r>
      <w:r>
        <w:rPr>
          <w:color w:val="auto"/>
          <w:szCs w:val="21"/>
        </w:rPr>
        <w:t>代理人：</w:t>
      </w:r>
      <w:r>
        <w:rPr>
          <w:color w:val="auto"/>
          <w:szCs w:val="21"/>
          <w:u w:val="single"/>
        </w:rPr>
        <w:t xml:space="preserve">          </w:t>
      </w:r>
      <w:r>
        <w:rPr>
          <w:color w:val="auto"/>
          <w:szCs w:val="21"/>
        </w:rPr>
        <w:t>（签字）</w:t>
      </w:r>
    </w:p>
    <w:p>
      <w:pPr>
        <w:spacing w:line="480" w:lineRule="auto"/>
        <w:ind w:firstLine="4620" w:firstLineChars="2200"/>
        <w:rPr>
          <w:rFonts w:hint="eastAsia" w:ascii="宋体" w:hAnsi="宋体"/>
          <w:color w:val="auto"/>
          <w:szCs w:val="21"/>
          <w:u w:val="single"/>
        </w:rPr>
      </w:pPr>
      <w:r>
        <w:rPr>
          <w:rFonts w:hint="eastAsia" w:ascii="宋体" w:hAnsi="宋体"/>
          <w:color w:val="auto"/>
          <w:szCs w:val="21"/>
        </w:rPr>
        <w:t>联系方式：</w:t>
      </w:r>
      <w:r>
        <w:rPr>
          <w:rFonts w:hint="eastAsia" w:ascii="宋体" w:hAnsi="宋体"/>
          <w:color w:val="auto"/>
          <w:szCs w:val="21"/>
          <w:u w:val="single"/>
        </w:rPr>
        <w:t xml:space="preserve">　　                      　  </w:t>
      </w:r>
    </w:p>
    <w:p>
      <w:pPr>
        <w:spacing w:line="440" w:lineRule="exact"/>
        <w:jc w:val="right"/>
        <w:rPr>
          <w:color w:val="auto"/>
          <w:szCs w:val="21"/>
        </w:rPr>
      </w:pPr>
      <w:r>
        <w:rPr>
          <w:color w:val="auto"/>
          <w:szCs w:val="21"/>
        </w:rPr>
        <w:t>　　　　　　　　　　　　　　　</w:t>
      </w:r>
    </w:p>
    <w:p>
      <w:pPr>
        <w:spacing w:line="440" w:lineRule="exact"/>
        <w:jc w:val="right"/>
        <w:rPr>
          <w:color w:val="auto"/>
          <w:szCs w:val="21"/>
        </w:rPr>
      </w:pPr>
      <w:r>
        <w:rPr>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rPr>
          <w:rFonts w:hint="eastAsia"/>
          <w:color w:val="auto"/>
        </w:rPr>
      </w:pPr>
    </w:p>
    <w:p>
      <w:pPr>
        <w:spacing w:line="400" w:lineRule="exact"/>
        <w:rPr>
          <w:rFonts w:hint="eastAsia"/>
          <w:color w:val="auto"/>
        </w:rPr>
      </w:pPr>
    </w:p>
    <w:p>
      <w:pPr>
        <w:spacing w:line="400" w:lineRule="exact"/>
        <w:rPr>
          <w:rFonts w:hint="eastAsia"/>
          <w:color w:val="auto"/>
        </w:rPr>
      </w:pPr>
      <w:r>
        <w:rPr>
          <w:rFonts w:hint="eastAsia"/>
          <w:color w:val="auto"/>
        </w:rPr>
        <w:t>注：委托代理人签字的，应附法定代表人授权委托书。</w:t>
      </w:r>
    </w:p>
    <w:p>
      <w:pPr>
        <w:spacing w:line="400" w:lineRule="exact"/>
        <w:rPr>
          <w:rFonts w:hint="eastAsia"/>
          <w:color w:val="auto"/>
        </w:rPr>
      </w:pPr>
    </w:p>
    <w:p>
      <w:pPr>
        <w:pStyle w:val="3"/>
        <w:rPr>
          <w:rFonts w:hint="eastAsia"/>
          <w:b w:val="0"/>
          <w:color w:val="auto"/>
          <w:sz w:val="28"/>
          <w:szCs w:val="28"/>
        </w:rPr>
      </w:pPr>
      <w:bookmarkStart w:id="639" w:name="_Toc491089712"/>
      <w:bookmarkStart w:id="640" w:name="_Toc18702"/>
      <w:r>
        <w:rPr>
          <w:rFonts w:hint="eastAsia"/>
          <w:b w:val="0"/>
          <w:color w:val="auto"/>
          <w:sz w:val="28"/>
          <w:szCs w:val="28"/>
        </w:rPr>
        <w:t>附件七：</w:t>
      </w:r>
      <w:bookmarkEnd w:id="628"/>
      <w:bookmarkEnd w:id="629"/>
      <w:bookmarkEnd w:id="630"/>
      <w:bookmarkEnd w:id="631"/>
      <w:bookmarkEnd w:id="632"/>
      <w:bookmarkStart w:id="641" w:name="_Toc221950336"/>
      <w:r>
        <w:rPr>
          <w:rFonts w:hint="eastAsia"/>
          <w:b w:val="0"/>
          <w:color w:val="auto"/>
          <w:sz w:val="28"/>
          <w:szCs w:val="28"/>
        </w:rPr>
        <w:t>中标通知书</w:t>
      </w:r>
      <w:bookmarkEnd w:id="639"/>
      <w:bookmarkEnd w:id="640"/>
      <w:bookmarkEnd w:id="641"/>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中标通知书</w:t>
      </w:r>
    </w:p>
    <w:p>
      <w:pPr>
        <w:spacing w:line="400" w:lineRule="exact"/>
        <w:ind w:firstLine="3000" w:firstLineChars="1250"/>
        <w:rPr>
          <w:rFonts w:hint="eastAsia" w:ascii="宋体" w:hAnsi="宋体"/>
          <w:color w:val="auto"/>
          <w:sz w:val="24"/>
          <w:u w:val="single"/>
        </w:rPr>
      </w:pPr>
      <w:r>
        <w:rPr>
          <w:rFonts w:hint="eastAsia" w:ascii="宋体" w:hAnsi="宋体"/>
          <w:color w:val="auto"/>
          <w:sz w:val="24"/>
        </w:rPr>
        <w:t>招标编号：</w:t>
      </w:r>
      <w:r>
        <w:rPr>
          <w:rFonts w:hint="eastAsia" w:ascii="宋体" w:hAnsi="宋体"/>
          <w:color w:val="auto"/>
          <w:sz w:val="24"/>
          <w:u w:val="single"/>
        </w:rPr>
        <w:t xml:space="preserve">            </w:t>
      </w:r>
    </w:p>
    <w:p>
      <w:pPr>
        <w:spacing w:line="400" w:lineRule="exact"/>
        <w:rPr>
          <w:color w:val="auto"/>
        </w:rPr>
      </w:pPr>
      <w:r>
        <w:rPr>
          <w:color w:val="auto"/>
        </w:rPr>
        <w:t xml:space="preserve">                              </w:t>
      </w:r>
    </w:p>
    <w:p>
      <w:pPr>
        <w:spacing w:line="440" w:lineRule="exact"/>
        <w:rPr>
          <w:color w:val="auto"/>
          <w:szCs w:val="21"/>
        </w:rPr>
      </w:pPr>
      <w:r>
        <w:rPr>
          <w:color w:val="auto"/>
          <w:szCs w:val="21"/>
          <w:u w:val="single"/>
        </w:rPr>
        <w:t xml:space="preserve">                   </w:t>
      </w:r>
      <w:bookmarkStart w:id="642" w:name="_Toc221950337"/>
      <w:r>
        <w:rPr>
          <w:color w:val="auto"/>
          <w:szCs w:val="21"/>
        </w:rPr>
        <w:t>（中标人名称）：</w:t>
      </w:r>
      <w:bookmarkEnd w:id="642"/>
    </w:p>
    <w:p>
      <w:pPr>
        <w:spacing w:line="440" w:lineRule="exact"/>
        <w:rPr>
          <w:color w:val="auto"/>
          <w:szCs w:val="21"/>
        </w:rPr>
      </w:pPr>
    </w:p>
    <w:p>
      <w:pPr>
        <w:spacing w:line="440" w:lineRule="exact"/>
        <w:rPr>
          <w:rFonts w:ascii="宋体" w:hAnsi="宋体"/>
          <w:color w:val="auto"/>
          <w:szCs w:val="21"/>
        </w:rPr>
      </w:pPr>
      <w:r>
        <w:rPr>
          <w:color w:val="auto"/>
          <w:szCs w:val="21"/>
        </w:rPr>
        <w:t>　</w:t>
      </w:r>
      <w:r>
        <w:rPr>
          <w:rFonts w:ascii="宋体" w:hAnsi="宋体"/>
          <w:color w:val="auto"/>
          <w:szCs w:val="21"/>
        </w:rPr>
        <w:t>　</w:t>
      </w:r>
      <w:bookmarkStart w:id="643" w:name="_Toc221950338"/>
      <w:r>
        <w:rPr>
          <w:rFonts w:ascii="宋体" w:hAnsi="宋体"/>
          <w:color w:val="auto"/>
          <w:szCs w:val="21"/>
        </w:rPr>
        <w:t>你方于</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投标日期</w:t>
      </w:r>
      <w:r>
        <w:rPr>
          <w:rFonts w:ascii="宋体" w:hAnsi="宋体"/>
          <w:color w:val="auto"/>
          <w:szCs w:val="21"/>
        </w:rPr>
        <w:t>）所递交的</w:t>
      </w:r>
      <w:r>
        <w:rPr>
          <w:rFonts w:ascii="宋体" w:hAnsi="宋体"/>
          <w:color w:val="auto"/>
          <w:szCs w:val="21"/>
          <w:u w:val="single"/>
        </w:rPr>
        <w:t xml:space="preserve">              </w:t>
      </w:r>
      <w:r>
        <w:rPr>
          <w:rFonts w:ascii="宋体" w:hAnsi="宋体"/>
          <w:color w:val="auto"/>
          <w:szCs w:val="21"/>
        </w:rPr>
        <w:t>（项目名称）</w:t>
      </w:r>
      <w:r>
        <w:rPr>
          <w:rFonts w:ascii="宋体" w:hAnsi="宋体"/>
          <w:color w:val="auto"/>
          <w:szCs w:val="21"/>
          <w:u w:val="single"/>
        </w:rPr>
        <w:t xml:space="preserve">      </w:t>
      </w:r>
      <w:r>
        <w:rPr>
          <w:rFonts w:hint="eastAsia" w:ascii="宋体" w:hAnsi="宋体"/>
          <w:color w:val="auto"/>
          <w:szCs w:val="21"/>
          <w:u w:val="single"/>
        </w:rPr>
        <w:t>（</w:t>
      </w:r>
      <w:r>
        <w:rPr>
          <w:rFonts w:hint="eastAsia" w:ascii="宋体" w:hAnsi="宋体"/>
          <w:color w:val="auto"/>
          <w:szCs w:val="21"/>
        </w:rPr>
        <w:t>标段名称）</w:t>
      </w:r>
      <w:r>
        <w:rPr>
          <w:rFonts w:hint="eastAsia"/>
          <w:color w:val="auto"/>
          <w:u w:val="single"/>
        </w:rPr>
        <w:t>施工</w:t>
      </w:r>
      <w:r>
        <w:rPr>
          <w:rFonts w:ascii="宋体" w:hAnsi="宋体"/>
          <w:color w:val="auto"/>
          <w:szCs w:val="21"/>
        </w:rPr>
        <w:t>投标文件已被我方接受，</w:t>
      </w:r>
      <w:r>
        <w:rPr>
          <w:rFonts w:hint="eastAsia" w:ascii="宋体" w:hAnsi="宋体"/>
          <w:color w:val="auto"/>
          <w:szCs w:val="21"/>
        </w:rPr>
        <w:t>并</w:t>
      </w:r>
      <w:r>
        <w:rPr>
          <w:rFonts w:ascii="宋体" w:hAnsi="宋体"/>
          <w:color w:val="auto"/>
          <w:szCs w:val="21"/>
        </w:rPr>
        <w:t>被确定为中标人。</w:t>
      </w:r>
      <w:bookmarkEnd w:id="643"/>
    </w:p>
    <w:p>
      <w:pPr>
        <w:spacing w:line="440" w:lineRule="exact"/>
        <w:rPr>
          <w:rFonts w:ascii="宋体" w:hAnsi="宋体"/>
          <w:color w:val="auto"/>
          <w:szCs w:val="21"/>
        </w:rPr>
      </w:pPr>
      <w:r>
        <w:rPr>
          <w:rFonts w:ascii="宋体" w:hAnsi="宋体"/>
          <w:color w:val="auto"/>
          <w:szCs w:val="21"/>
        </w:rPr>
        <w:t>　　</w:t>
      </w:r>
      <w:bookmarkStart w:id="644" w:name="_Toc221950339"/>
      <w:r>
        <w:rPr>
          <w:rFonts w:ascii="宋体" w:hAnsi="宋体"/>
          <w:color w:val="auto"/>
          <w:szCs w:val="21"/>
        </w:rPr>
        <w:t>中标价：</w:t>
      </w:r>
      <w:r>
        <w:rPr>
          <w:rFonts w:ascii="宋体" w:hAnsi="宋体"/>
          <w:color w:val="auto"/>
          <w:szCs w:val="21"/>
          <w:u w:val="single"/>
        </w:rPr>
        <w:t xml:space="preserve">                </w:t>
      </w:r>
      <w:r>
        <w:rPr>
          <w:rFonts w:ascii="宋体" w:hAnsi="宋体"/>
          <w:color w:val="auto"/>
          <w:szCs w:val="21"/>
        </w:rPr>
        <w:t>元。</w:t>
      </w:r>
      <w:bookmarkEnd w:id="644"/>
    </w:p>
    <w:p>
      <w:pPr>
        <w:spacing w:line="440" w:lineRule="exact"/>
        <w:rPr>
          <w:rFonts w:ascii="宋体" w:hAnsi="宋体"/>
          <w:color w:val="auto"/>
          <w:szCs w:val="21"/>
        </w:rPr>
      </w:pPr>
      <w:r>
        <w:rPr>
          <w:rFonts w:ascii="宋体" w:hAnsi="宋体"/>
          <w:color w:val="auto"/>
          <w:szCs w:val="21"/>
        </w:rPr>
        <w:t>　　</w:t>
      </w:r>
      <w:bookmarkStart w:id="645" w:name="_Toc221950340"/>
      <w:r>
        <w:rPr>
          <w:rFonts w:ascii="宋体" w:hAnsi="宋体"/>
          <w:color w:val="auto"/>
          <w:szCs w:val="21"/>
        </w:rPr>
        <w:t>工期：</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日历天。</w:t>
      </w:r>
      <w:bookmarkEnd w:id="645"/>
    </w:p>
    <w:p>
      <w:pPr>
        <w:spacing w:line="440" w:lineRule="exact"/>
        <w:ind w:firstLine="420"/>
        <w:rPr>
          <w:rFonts w:hint="eastAsia" w:ascii="宋体" w:hAnsi="宋体"/>
          <w:color w:val="auto"/>
          <w:szCs w:val="21"/>
        </w:rPr>
      </w:pPr>
      <w:bookmarkStart w:id="646" w:name="_Toc221950341"/>
      <w:r>
        <w:rPr>
          <w:rFonts w:ascii="宋体" w:hAnsi="宋体"/>
          <w:color w:val="auto"/>
          <w:szCs w:val="21"/>
        </w:rPr>
        <w:t>工程质量：</w:t>
      </w:r>
      <w:r>
        <w:rPr>
          <w:rFonts w:hint="eastAsia" w:ascii="宋体" w:hAnsi="宋体"/>
          <w:color w:val="auto"/>
          <w:szCs w:val="21"/>
          <w:u w:val="single"/>
        </w:rPr>
        <w:t xml:space="preserve">                       </w:t>
      </w:r>
      <w:r>
        <w:rPr>
          <w:rFonts w:ascii="宋体" w:hAnsi="宋体"/>
          <w:color w:val="auto"/>
          <w:szCs w:val="21"/>
        </w:rPr>
        <w:t>。</w:t>
      </w:r>
      <w:bookmarkEnd w:id="646"/>
    </w:p>
    <w:p>
      <w:pPr>
        <w:spacing w:line="440" w:lineRule="exact"/>
        <w:rPr>
          <w:rFonts w:hint="eastAsia" w:ascii="宋体" w:hAnsi="宋体"/>
          <w:color w:val="auto"/>
          <w:szCs w:val="21"/>
        </w:rPr>
      </w:pPr>
      <w:r>
        <w:rPr>
          <w:rFonts w:ascii="宋体" w:hAnsi="宋体"/>
          <w:color w:val="auto"/>
          <w:szCs w:val="21"/>
        </w:rPr>
        <w:t>　　</w:t>
      </w:r>
      <w:bookmarkStart w:id="647" w:name="_Toc221950342"/>
      <w:r>
        <w:rPr>
          <w:rFonts w:ascii="宋体" w:hAnsi="宋体"/>
          <w:color w:val="auto"/>
          <w:szCs w:val="21"/>
        </w:rPr>
        <w:t>项目经理：</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（姓名）。</w:t>
      </w:r>
      <w:bookmarkEnd w:id="647"/>
    </w:p>
    <w:p>
      <w:pPr>
        <w:spacing w:line="440" w:lineRule="exact"/>
        <w:rPr>
          <w:rFonts w:ascii="宋体" w:hAnsi="宋体"/>
          <w:color w:val="auto"/>
          <w:szCs w:val="21"/>
        </w:rPr>
      </w:pPr>
      <w:r>
        <w:rPr>
          <w:rFonts w:hint="eastAsia" w:ascii="宋体" w:hAnsi="宋体"/>
          <w:color w:val="auto"/>
          <w:szCs w:val="21"/>
        </w:rPr>
        <w:t xml:space="preserve">    技术负责人：</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（姓名）。</w:t>
      </w:r>
    </w:p>
    <w:p>
      <w:pPr>
        <w:spacing w:line="440" w:lineRule="exact"/>
        <w:rPr>
          <w:rFonts w:ascii="宋体" w:hAnsi="宋体"/>
          <w:color w:val="auto"/>
          <w:szCs w:val="21"/>
        </w:rPr>
      </w:pPr>
      <w:r>
        <w:rPr>
          <w:rFonts w:ascii="宋体" w:hAnsi="宋体"/>
          <w:color w:val="auto"/>
          <w:szCs w:val="21"/>
        </w:rPr>
        <w:t>　　</w:t>
      </w:r>
      <w:bookmarkStart w:id="648" w:name="_Toc221950343"/>
      <w:r>
        <w:rPr>
          <w:rFonts w:ascii="宋体" w:hAnsi="宋体"/>
          <w:color w:val="auto"/>
          <w:szCs w:val="21"/>
        </w:rPr>
        <w:t>请你方在接到本通知书后的</w:t>
      </w:r>
      <w:r>
        <w:rPr>
          <w:rFonts w:ascii="宋体" w:hAnsi="宋体"/>
          <w:color w:val="auto"/>
          <w:szCs w:val="21"/>
          <w:u w:val="single"/>
        </w:rPr>
        <w:t xml:space="preserve">     </w:t>
      </w:r>
      <w:r>
        <w:rPr>
          <w:rFonts w:ascii="宋体" w:hAnsi="宋体"/>
          <w:color w:val="auto"/>
          <w:szCs w:val="21"/>
        </w:rPr>
        <w:t>日内到</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详细地点</w:t>
      </w:r>
      <w:r>
        <w:rPr>
          <w:rFonts w:ascii="宋体" w:hAnsi="宋体"/>
          <w:color w:val="auto"/>
          <w:szCs w:val="21"/>
        </w:rPr>
        <w:t>）与我方签订</w:t>
      </w:r>
      <w:r>
        <w:rPr>
          <w:rFonts w:ascii="宋体" w:hAnsi="宋体"/>
          <w:color w:val="auto"/>
          <w:szCs w:val="21"/>
          <w:u w:val="single"/>
        </w:rPr>
        <w:t>施工</w:t>
      </w:r>
      <w:r>
        <w:rPr>
          <w:rFonts w:hint="eastAsia" w:ascii="宋体" w:hAnsi="宋体"/>
          <w:color w:val="auto"/>
          <w:szCs w:val="21"/>
        </w:rPr>
        <w:t>承包</w:t>
      </w:r>
      <w:r>
        <w:rPr>
          <w:rFonts w:ascii="宋体" w:hAnsi="宋体"/>
          <w:color w:val="auto"/>
          <w:szCs w:val="21"/>
        </w:rPr>
        <w:t>合同</w:t>
      </w:r>
      <w:r>
        <w:rPr>
          <w:rFonts w:hint="eastAsia" w:ascii="宋体" w:hAnsi="宋体"/>
          <w:color w:val="auto"/>
          <w:szCs w:val="21"/>
        </w:rPr>
        <w:t>协议书</w:t>
      </w:r>
      <w:r>
        <w:rPr>
          <w:rFonts w:ascii="宋体" w:hAnsi="宋体"/>
          <w:color w:val="auto"/>
          <w:szCs w:val="21"/>
        </w:rPr>
        <w:t>，在此之前按招标文件第二章投标人须知</w:t>
      </w:r>
      <w:r>
        <w:rPr>
          <w:rFonts w:hint="eastAsia" w:ascii="宋体" w:hAnsi="宋体"/>
          <w:color w:val="auto"/>
          <w:szCs w:val="21"/>
        </w:rPr>
        <w:t>第7.3款的</w:t>
      </w:r>
      <w:r>
        <w:rPr>
          <w:rFonts w:ascii="宋体" w:hAnsi="宋体"/>
          <w:color w:val="auto"/>
          <w:szCs w:val="21"/>
        </w:rPr>
        <w:t>规定向我方提交履约担保。</w:t>
      </w:r>
      <w:bookmarkEnd w:id="648"/>
    </w:p>
    <w:p>
      <w:pPr>
        <w:spacing w:line="440" w:lineRule="exact"/>
        <w:rPr>
          <w:rFonts w:hint="eastAsia"/>
          <w:color w:val="auto"/>
        </w:rPr>
      </w:pPr>
      <w:r>
        <w:rPr>
          <w:rFonts w:ascii="宋体" w:hAnsi="宋体"/>
          <w:color w:val="auto"/>
          <w:szCs w:val="21"/>
        </w:rPr>
        <w:t>　　</w:t>
      </w:r>
      <w:r>
        <w:rPr>
          <w:rFonts w:hint="eastAsia"/>
          <w:color w:val="auto"/>
        </w:rPr>
        <w:t>随附的投标文件澄清、说明、补正事项纪要（如果有），是本中标通知书的组成部分。</w:t>
      </w:r>
    </w:p>
    <w:p>
      <w:pPr>
        <w:spacing w:line="480" w:lineRule="exact"/>
        <w:ind w:firstLine="420" w:firstLineChars="200"/>
        <w:rPr>
          <w:rFonts w:hint="eastAsia"/>
          <w:color w:val="auto"/>
        </w:rPr>
      </w:pPr>
      <w:r>
        <w:rPr>
          <w:rFonts w:hint="eastAsia"/>
          <w:color w:val="auto"/>
        </w:rPr>
        <w:t>特此通知。</w:t>
      </w:r>
    </w:p>
    <w:p>
      <w:pPr>
        <w:spacing w:line="440" w:lineRule="exact"/>
        <w:ind w:firstLine="420" w:firstLineChars="200"/>
        <w:rPr>
          <w:rFonts w:hint="eastAsia"/>
          <w:color w:val="auto"/>
        </w:rPr>
      </w:pPr>
    </w:p>
    <w:p>
      <w:pPr>
        <w:spacing w:line="440" w:lineRule="exact"/>
        <w:ind w:firstLine="420" w:firstLineChars="200"/>
        <w:rPr>
          <w:color w:val="auto"/>
          <w:szCs w:val="21"/>
        </w:rPr>
      </w:pPr>
      <w:r>
        <w:rPr>
          <w:color w:val="auto"/>
        </w:rPr>
        <w:t>附：澄清、说明、补正事项纪要</w:t>
      </w:r>
    </w:p>
    <w:p>
      <w:pPr>
        <w:spacing w:line="440" w:lineRule="exact"/>
        <w:rPr>
          <w:color w:val="auto"/>
          <w:szCs w:val="21"/>
        </w:rPr>
      </w:pPr>
    </w:p>
    <w:p>
      <w:pPr>
        <w:spacing w:line="440" w:lineRule="exact"/>
        <w:rPr>
          <w:rFonts w:hint="eastAsia"/>
          <w:color w:val="auto"/>
          <w:szCs w:val="21"/>
        </w:rPr>
      </w:pPr>
    </w:p>
    <w:p>
      <w:pPr>
        <w:spacing w:line="440" w:lineRule="exact"/>
        <w:rPr>
          <w:color w:val="auto"/>
          <w:szCs w:val="21"/>
        </w:rPr>
      </w:pPr>
    </w:p>
    <w:p>
      <w:pPr>
        <w:spacing w:line="540" w:lineRule="exact"/>
        <w:ind w:firstLine="3238" w:firstLineChars="1542"/>
        <w:jc w:val="right"/>
        <w:rPr>
          <w:rFonts w:hint="eastAsia"/>
          <w:color w:val="auto"/>
          <w:szCs w:val="21"/>
        </w:rPr>
      </w:pPr>
      <w:bookmarkStart w:id="649" w:name="_Toc221950345"/>
      <w:r>
        <w:rPr>
          <w:color w:val="auto"/>
          <w:szCs w:val="21"/>
        </w:rPr>
        <w:t>招标人</w:t>
      </w:r>
      <w:r>
        <w:rPr>
          <w:rFonts w:hint="eastAsia"/>
          <w:color w:val="auto"/>
          <w:szCs w:val="21"/>
        </w:rPr>
        <w:t>/招标代理机构</w:t>
      </w:r>
      <w:r>
        <w:rPr>
          <w:color w:val="auto"/>
          <w:szCs w:val="21"/>
        </w:rPr>
        <w:t>：</w:t>
      </w:r>
      <w:r>
        <w:rPr>
          <w:color w:val="auto"/>
          <w:szCs w:val="21"/>
          <w:u w:val="single"/>
        </w:rPr>
        <w:t xml:space="preserve">            </w:t>
      </w:r>
      <w:r>
        <w:rPr>
          <w:color w:val="auto"/>
          <w:szCs w:val="21"/>
        </w:rPr>
        <w:t>（盖单位章）</w:t>
      </w:r>
      <w:bookmarkEnd w:id="649"/>
      <w:bookmarkStart w:id="650" w:name="_Toc221950346"/>
    </w:p>
    <w:p>
      <w:pPr>
        <w:spacing w:line="540" w:lineRule="exact"/>
        <w:ind w:firstLine="3238" w:firstLineChars="1542"/>
        <w:jc w:val="right"/>
        <w:rPr>
          <w:color w:val="auto"/>
          <w:szCs w:val="21"/>
        </w:rPr>
      </w:pPr>
      <w:r>
        <w:rPr>
          <w:color w:val="auto"/>
          <w:szCs w:val="21"/>
        </w:rPr>
        <w:t>法定代表人：</w:t>
      </w:r>
      <w:r>
        <w:rPr>
          <w:color w:val="auto"/>
          <w:szCs w:val="21"/>
          <w:u w:val="single"/>
        </w:rPr>
        <w:t xml:space="preserve">            </w:t>
      </w:r>
      <w:r>
        <w:rPr>
          <w:color w:val="auto"/>
          <w:szCs w:val="21"/>
        </w:rPr>
        <w:t>（签字</w:t>
      </w:r>
      <w:r>
        <w:rPr>
          <w:rFonts w:hint="eastAsia"/>
          <w:color w:val="auto"/>
          <w:szCs w:val="21"/>
        </w:rPr>
        <w:t>或盖章</w:t>
      </w:r>
      <w:r>
        <w:rPr>
          <w:color w:val="auto"/>
          <w:szCs w:val="21"/>
        </w:rPr>
        <w:t>）</w:t>
      </w:r>
      <w:bookmarkEnd w:id="650"/>
    </w:p>
    <w:p>
      <w:pPr>
        <w:wordWrap w:val="0"/>
        <w:spacing w:line="540" w:lineRule="exact"/>
        <w:ind w:firstLine="3549" w:firstLineChars="1690"/>
        <w:jc w:val="right"/>
        <w:rPr>
          <w:rFonts w:hint="eastAsia"/>
          <w:color w:val="auto"/>
          <w:szCs w:val="21"/>
        </w:rPr>
      </w:pPr>
      <w:r>
        <w:rPr>
          <w:color w:val="auto"/>
          <w:szCs w:val="21"/>
        </w:rPr>
        <w:t xml:space="preserve"> </w:t>
      </w:r>
      <w:r>
        <w:rPr>
          <w:color w:val="auto"/>
          <w:szCs w:val="21"/>
          <w:u w:val="single"/>
        </w:rPr>
        <w:t xml:space="preserve">     </w:t>
      </w:r>
      <w:r>
        <w:rPr>
          <w:rFonts w:hint="eastAsia"/>
          <w:color w:val="auto"/>
          <w:szCs w:val="21"/>
          <w:u w:val="single"/>
        </w:rPr>
        <w:t xml:space="preserve">   </w:t>
      </w:r>
      <w:r>
        <w:rPr>
          <w:color w:val="auto"/>
          <w:szCs w:val="21"/>
          <w:u w:val="single"/>
        </w:rPr>
        <w:t xml:space="preserve">    </w:t>
      </w:r>
      <w:bookmarkStart w:id="651" w:name="_Toc221950347"/>
      <w:r>
        <w:rPr>
          <w:color w:val="auto"/>
          <w:szCs w:val="21"/>
        </w:rPr>
        <w:t>年</w:t>
      </w:r>
      <w:r>
        <w:rPr>
          <w:color w:val="auto"/>
          <w:szCs w:val="21"/>
          <w:u w:val="single"/>
        </w:rPr>
        <w:t xml:space="preserve">      </w:t>
      </w:r>
      <w:r>
        <w:rPr>
          <w:color w:val="auto"/>
          <w:szCs w:val="21"/>
        </w:rPr>
        <w:t xml:space="preserve">月 </w:t>
      </w:r>
      <w:r>
        <w:rPr>
          <w:color w:val="auto"/>
          <w:szCs w:val="21"/>
          <w:u w:val="single"/>
        </w:rPr>
        <w:t xml:space="preserve">     </w:t>
      </w:r>
      <w:r>
        <w:rPr>
          <w:color w:val="auto"/>
          <w:szCs w:val="21"/>
        </w:rPr>
        <w:t xml:space="preserve"> 日</w:t>
      </w:r>
      <w:bookmarkEnd w:id="651"/>
    </w:p>
    <w:p>
      <w:pPr>
        <w:spacing w:line="540" w:lineRule="exact"/>
        <w:ind w:firstLine="3549" w:firstLineChars="1690"/>
        <w:jc w:val="right"/>
        <w:rPr>
          <w:rFonts w:hint="eastAsia"/>
          <w:color w:val="auto"/>
          <w:szCs w:val="21"/>
        </w:rPr>
      </w:pPr>
    </w:p>
    <w:p>
      <w:pPr>
        <w:pStyle w:val="3"/>
        <w:rPr>
          <w:rFonts w:hint="eastAsia"/>
          <w:b w:val="0"/>
          <w:color w:val="auto"/>
          <w:sz w:val="28"/>
          <w:szCs w:val="28"/>
        </w:rPr>
      </w:pPr>
      <w:bookmarkStart w:id="652" w:name="_Toc387753572"/>
      <w:bookmarkStart w:id="653" w:name="_Toc221950348"/>
      <w:bookmarkStart w:id="654" w:name="_Toc168476103"/>
      <w:bookmarkStart w:id="655" w:name="_Toc144974552"/>
      <w:bookmarkStart w:id="656" w:name="_Toc168475700"/>
      <w:bookmarkStart w:id="657" w:name="_Toc11930"/>
      <w:bookmarkStart w:id="658" w:name="_Toc491089713"/>
      <w:r>
        <w:rPr>
          <w:rFonts w:hint="eastAsia"/>
          <w:b w:val="0"/>
          <w:color w:val="auto"/>
          <w:sz w:val="28"/>
          <w:szCs w:val="28"/>
        </w:rPr>
        <w:t>附件八：</w:t>
      </w:r>
      <w:bookmarkEnd w:id="652"/>
      <w:bookmarkEnd w:id="653"/>
      <w:bookmarkEnd w:id="654"/>
      <w:bookmarkEnd w:id="655"/>
      <w:bookmarkEnd w:id="656"/>
      <w:bookmarkStart w:id="659" w:name="_Toc221950349"/>
      <w:r>
        <w:rPr>
          <w:rFonts w:hint="eastAsia"/>
          <w:b w:val="0"/>
          <w:color w:val="auto"/>
          <w:sz w:val="28"/>
          <w:szCs w:val="28"/>
        </w:rPr>
        <w:t>中标结果通知书</w:t>
      </w:r>
      <w:bookmarkEnd w:id="657"/>
      <w:bookmarkEnd w:id="658"/>
      <w:bookmarkEnd w:id="659"/>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中标结果通知书</w:t>
      </w:r>
    </w:p>
    <w:p>
      <w:pPr>
        <w:spacing w:line="400" w:lineRule="exact"/>
        <w:jc w:val="center"/>
        <w:rPr>
          <w:rFonts w:hint="eastAsia" w:ascii="宋体" w:hAnsi="宋体"/>
          <w:color w:val="auto"/>
          <w:sz w:val="24"/>
        </w:rPr>
      </w:pPr>
      <w:r>
        <w:rPr>
          <w:rFonts w:hint="eastAsia" w:ascii="宋体" w:hAnsi="宋体"/>
          <w:color w:val="auto"/>
          <w:sz w:val="24"/>
        </w:rPr>
        <w:t>编号：</w:t>
      </w:r>
    </w:p>
    <w:p>
      <w:pPr>
        <w:spacing w:line="400" w:lineRule="exact"/>
        <w:rPr>
          <w:color w:val="auto"/>
        </w:rPr>
      </w:pPr>
    </w:p>
    <w:p>
      <w:pPr>
        <w:spacing w:line="440" w:lineRule="exact"/>
        <w:rPr>
          <w:color w:val="auto"/>
          <w:szCs w:val="21"/>
        </w:rPr>
      </w:pPr>
      <w:r>
        <w:rPr>
          <w:color w:val="auto"/>
          <w:szCs w:val="21"/>
          <w:u w:val="single"/>
        </w:rPr>
        <w:t xml:space="preserve">                  </w:t>
      </w:r>
      <w:bookmarkStart w:id="660" w:name="_Toc221950350"/>
      <w:r>
        <w:rPr>
          <w:color w:val="auto"/>
          <w:szCs w:val="21"/>
        </w:rPr>
        <w:t>（未中标人名称）：</w:t>
      </w:r>
      <w:bookmarkEnd w:id="660"/>
    </w:p>
    <w:p>
      <w:pPr>
        <w:spacing w:line="440" w:lineRule="exact"/>
        <w:rPr>
          <w:color w:val="auto"/>
          <w:szCs w:val="21"/>
        </w:rPr>
      </w:pPr>
      <w:r>
        <w:rPr>
          <w:color w:val="auto"/>
          <w:szCs w:val="21"/>
        </w:rPr>
        <w:t xml:space="preserve">    </w:t>
      </w:r>
    </w:p>
    <w:p>
      <w:pPr>
        <w:spacing w:line="440" w:lineRule="exact"/>
        <w:rPr>
          <w:rFonts w:ascii="宋体" w:hAnsi="宋体"/>
          <w:color w:val="auto"/>
          <w:szCs w:val="21"/>
        </w:rPr>
      </w:pPr>
      <w:r>
        <w:rPr>
          <w:color w:val="auto"/>
          <w:szCs w:val="21"/>
        </w:rPr>
        <w:t>　</w:t>
      </w:r>
      <w:r>
        <w:rPr>
          <w:rFonts w:ascii="宋体" w:hAnsi="宋体"/>
          <w:color w:val="auto"/>
          <w:szCs w:val="21"/>
        </w:rPr>
        <w:t>　</w:t>
      </w:r>
      <w:bookmarkStart w:id="661" w:name="_Toc221950351"/>
      <w:r>
        <w:rPr>
          <w:rFonts w:ascii="宋体" w:hAnsi="宋体"/>
          <w:color w:val="auto"/>
          <w:szCs w:val="21"/>
        </w:rPr>
        <w:t>我方已接受</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中标人名称</w:t>
      </w:r>
      <w:r>
        <w:rPr>
          <w:rFonts w:ascii="宋体" w:hAnsi="宋体"/>
          <w:color w:val="auto"/>
          <w:szCs w:val="21"/>
        </w:rPr>
        <w:t>）于</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w:t>
      </w:r>
      <w:r>
        <w:rPr>
          <w:rFonts w:hint="eastAsia" w:ascii="宋体" w:hAnsi="宋体"/>
          <w:color w:val="auto"/>
          <w:szCs w:val="21"/>
        </w:rPr>
        <w:t>投标日期</w:t>
      </w:r>
      <w:r>
        <w:rPr>
          <w:rFonts w:ascii="宋体" w:hAnsi="宋体"/>
          <w:color w:val="auto"/>
          <w:szCs w:val="21"/>
        </w:rPr>
        <w:t>）所递交的</w:t>
      </w:r>
      <w:r>
        <w:rPr>
          <w:rFonts w:ascii="宋体" w:hAnsi="宋体"/>
          <w:color w:val="auto"/>
          <w:szCs w:val="21"/>
          <w:u w:val="single"/>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（标段名称）招标的</w:t>
      </w:r>
      <w:r>
        <w:rPr>
          <w:rFonts w:ascii="宋体" w:hAnsi="宋体"/>
          <w:color w:val="auto"/>
          <w:szCs w:val="21"/>
        </w:rPr>
        <w:t>投标文件，确定</w:t>
      </w:r>
      <w:r>
        <w:rPr>
          <w:rFonts w:ascii="宋体" w:hAnsi="宋体"/>
          <w:color w:val="auto"/>
          <w:szCs w:val="21"/>
          <w:u w:val="single"/>
        </w:rPr>
        <w:t xml:space="preserve">            </w:t>
      </w:r>
      <w:r>
        <w:rPr>
          <w:rFonts w:ascii="宋体" w:hAnsi="宋体"/>
          <w:color w:val="auto"/>
          <w:szCs w:val="21"/>
        </w:rPr>
        <w:t xml:space="preserve"> （</w:t>
      </w:r>
      <w:r>
        <w:rPr>
          <w:rFonts w:hint="eastAsia" w:ascii="宋体" w:hAnsi="宋体"/>
          <w:color w:val="auto"/>
          <w:szCs w:val="21"/>
        </w:rPr>
        <w:t>中标人名称</w:t>
      </w:r>
      <w:r>
        <w:rPr>
          <w:rFonts w:ascii="宋体" w:hAnsi="宋体"/>
          <w:color w:val="auto"/>
          <w:szCs w:val="21"/>
        </w:rPr>
        <w:t>）为中标人。</w:t>
      </w:r>
      <w:bookmarkEnd w:id="661"/>
    </w:p>
    <w:p>
      <w:pPr>
        <w:spacing w:line="440" w:lineRule="exact"/>
        <w:rPr>
          <w:color w:val="auto"/>
          <w:szCs w:val="21"/>
        </w:rPr>
      </w:pPr>
      <w:r>
        <w:rPr>
          <w:color w:val="auto"/>
          <w:szCs w:val="21"/>
        </w:rPr>
        <w:t>　　</w:t>
      </w:r>
    </w:p>
    <w:p>
      <w:pPr>
        <w:spacing w:line="440" w:lineRule="exact"/>
        <w:rPr>
          <w:color w:val="auto"/>
          <w:szCs w:val="21"/>
        </w:rPr>
      </w:pPr>
      <w:r>
        <w:rPr>
          <w:color w:val="auto"/>
          <w:szCs w:val="21"/>
        </w:rPr>
        <w:t>　　</w:t>
      </w:r>
      <w:bookmarkStart w:id="662" w:name="_Toc221950352"/>
      <w:r>
        <w:rPr>
          <w:color w:val="auto"/>
          <w:szCs w:val="21"/>
        </w:rPr>
        <w:t>感谢你单位对我们工作的大力支持！</w:t>
      </w:r>
      <w:bookmarkEnd w:id="662"/>
    </w:p>
    <w:p>
      <w:pPr>
        <w:spacing w:line="440" w:lineRule="exact"/>
        <w:rPr>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color w:val="auto"/>
          <w:szCs w:val="21"/>
        </w:rPr>
      </w:pPr>
    </w:p>
    <w:p>
      <w:pPr>
        <w:spacing w:line="440" w:lineRule="exact"/>
        <w:rPr>
          <w:color w:val="auto"/>
          <w:szCs w:val="21"/>
        </w:rPr>
      </w:pPr>
    </w:p>
    <w:p>
      <w:pPr>
        <w:spacing w:line="440" w:lineRule="exact"/>
        <w:jc w:val="right"/>
        <w:rPr>
          <w:color w:val="auto"/>
          <w:szCs w:val="21"/>
        </w:rPr>
      </w:pPr>
      <w:r>
        <w:rPr>
          <w:color w:val="auto"/>
          <w:szCs w:val="21"/>
        </w:rPr>
        <w:t xml:space="preserve">                                </w:t>
      </w:r>
      <w:bookmarkStart w:id="663" w:name="_Toc221950353"/>
      <w:r>
        <w:rPr>
          <w:color w:val="auto"/>
          <w:szCs w:val="21"/>
        </w:rPr>
        <w:t>招标人</w:t>
      </w:r>
      <w:r>
        <w:rPr>
          <w:rFonts w:hint="eastAsia"/>
          <w:color w:val="auto"/>
          <w:szCs w:val="21"/>
        </w:rPr>
        <w:t>/招标代理机构</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rPr>
        <w:t>（盖单位章）</w:t>
      </w:r>
      <w:bookmarkEnd w:id="663"/>
    </w:p>
    <w:p>
      <w:pPr>
        <w:spacing w:line="440" w:lineRule="exact"/>
        <w:jc w:val="right"/>
        <w:rPr>
          <w:color w:val="auto"/>
          <w:szCs w:val="21"/>
        </w:rPr>
      </w:pPr>
    </w:p>
    <w:p>
      <w:pPr>
        <w:wordWrap w:val="0"/>
        <w:spacing w:line="440" w:lineRule="exact"/>
        <w:jc w:val="right"/>
        <w:rPr>
          <w:rFonts w:hint="eastAsia"/>
          <w:color w:val="auto"/>
          <w:szCs w:val="21"/>
        </w:rPr>
      </w:pPr>
      <w:r>
        <w:rPr>
          <w:color w:val="auto"/>
          <w:szCs w:val="21"/>
        </w:rPr>
        <w:t xml:space="preserve">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 </w:t>
      </w:r>
      <w:bookmarkStart w:id="664" w:name="_Toc221950355"/>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bookmarkEnd w:id="664"/>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pStyle w:val="3"/>
        <w:rPr>
          <w:rFonts w:hint="eastAsia"/>
          <w:b w:val="0"/>
          <w:color w:val="auto"/>
          <w:sz w:val="28"/>
          <w:szCs w:val="28"/>
        </w:rPr>
      </w:pPr>
      <w:bookmarkStart w:id="665" w:name="_Toc10781"/>
      <w:bookmarkStart w:id="666" w:name="_Toc491089714"/>
      <w:bookmarkStart w:id="667" w:name="_Toc426495824"/>
      <w:r>
        <w:rPr>
          <w:rFonts w:hint="eastAsia"/>
          <w:b w:val="0"/>
          <w:color w:val="auto"/>
          <w:sz w:val="28"/>
          <w:szCs w:val="28"/>
        </w:rPr>
        <w:t>附件九：异议函</w:t>
      </w:r>
      <w:bookmarkEnd w:id="665"/>
      <w:bookmarkEnd w:id="666"/>
      <w:bookmarkEnd w:id="667"/>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异议函</w:t>
      </w: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r>
        <w:rPr>
          <w:rFonts w:hint="eastAsia" w:ascii="宋体" w:hAnsi="宋体"/>
          <w:color w:val="auto"/>
          <w:szCs w:val="21"/>
        </w:rPr>
        <w:t xml:space="preserve">                                                              编号：</w:t>
      </w:r>
      <w:r>
        <w:rPr>
          <w:rFonts w:hint="eastAsia" w:ascii="宋体" w:hAnsi="宋体"/>
          <w:color w:val="auto"/>
          <w:szCs w:val="21"/>
          <w:u w:val="single"/>
        </w:rPr>
        <w:t>　        　</w:t>
      </w:r>
    </w:p>
    <w:p>
      <w:pPr>
        <w:spacing w:line="360" w:lineRule="auto"/>
        <w:rPr>
          <w:rFonts w:hint="eastAsia" w:ascii="宋体" w:hAnsi="宋体"/>
          <w:color w:val="auto"/>
          <w:szCs w:val="21"/>
        </w:rPr>
      </w:pPr>
      <w:r>
        <w:rPr>
          <w:rFonts w:hint="eastAsia" w:ascii="宋体" w:hAnsi="宋体"/>
          <w:color w:val="auto"/>
          <w:szCs w:val="21"/>
          <w:u w:val="single"/>
        </w:rPr>
        <w:t>　　　　   　　　　</w:t>
      </w:r>
      <w:r>
        <w:rPr>
          <w:rFonts w:hint="eastAsia" w:ascii="宋体" w:hAnsi="宋体"/>
          <w:color w:val="auto"/>
          <w:szCs w:val="21"/>
        </w:rPr>
        <w:t>(招标人名称)：</w:t>
      </w:r>
    </w:p>
    <w:p>
      <w:pPr>
        <w:spacing w:line="360" w:lineRule="auto"/>
        <w:ind w:firstLine="420"/>
        <w:rPr>
          <w:rFonts w:hint="eastAsia" w:ascii="宋体" w:hAnsi="宋体"/>
          <w:color w:val="auto"/>
          <w:szCs w:val="21"/>
        </w:rPr>
      </w:pPr>
      <w:r>
        <w:rPr>
          <w:rFonts w:hint="eastAsia" w:ascii="宋体" w:hAnsi="宋体"/>
          <w:color w:val="auto"/>
          <w:szCs w:val="21"/>
        </w:rPr>
        <w:t>我方已研究（看到）你方发出的</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 xml:space="preserve"> （项目名称）</w:t>
      </w:r>
      <w:r>
        <w:rPr>
          <w:rFonts w:ascii="宋体" w:hAnsi="宋体"/>
          <w:color w:val="auto"/>
          <w:szCs w:val="21"/>
          <w:u w:val="single"/>
        </w:rPr>
        <w:t xml:space="preserve">      </w:t>
      </w:r>
      <w:r>
        <w:rPr>
          <w:rFonts w:hint="eastAsia" w:ascii="宋体" w:hAnsi="宋体"/>
          <w:color w:val="auto"/>
          <w:szCs w:val="21"/>
        </w:rPr>
        <w:t>（标段名称）招标文件（或评标结果公示），现对下列问题提出异议，请予以解释：</w:t>
      </w:r>
    </w:p>
    <w:p>
      <w:pPr>
        <w:spacing w:line="360" w:lineRule="auto"/>
        <w:ind w:firstLine="420"/>
        <w:rPr>
          <w:rFonts w:hint="eastAsia" w:ascii="宋体" w:hAnsi="宋体"/>
          <w:color w:val="auto"/>
          <w:szCs w:val="21"/>
        </w:rPr>
      </w:pPr>
      <w:r>
        <w:rPr>
          <w:rFonts w:hint="eastAsia" w:ascii="宋体" w:hAnsi="宋体"/>
          <w:color w:val="auto"/>
          <w:szCs w:val="21"/>
        </w:rPr>
        <w:t>　　1、……</w:t>
      </w:r>
    </w:p>
    <w:p>
      <w:pPr>
        <w:spacing w:line="360" w:lineRule="auto"/>
        <w:ind w:firstLine="420"/>
        <w:rPr>
          <w:rFonts w:hint="eastAsia" w:ascii="宋体" w:hAnsi="宋体"/>
          <w:color w:val="auto"/>
          <w:szCs w:val="21"/>
        </w:rPr>
      </w:pPr>
      <w:r>
        <w:rPr>
          <w:rFonts w:hint="eastAsia" w:ascii="宋体" w:hAnsi="宋体"/>
          <w:color w:val="auto"/>
          <w:szCs w:val="21"/>
        </w:rPr>
        <w:t>　　2、……</w:t>
      </w: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r>
        <w:rPr>
          <w:rFonts w:hint="eastAsia" w:ascii="宋体" w:hAnsi="宋体"/>
          <w:color w:val="auto"/>
          <w:szCs w:val="21"/>
        </w:rPr>
        <w:t>　　　　　　　　　　　　　　　投标人或利害关系人：</w:t>
      </w:r>
      <w:r>
        <w:rPr>
          <w:rFonts w:hint="eastAsia" w:ascii="宋体" w:hAnsi="宋体"/>
          <w:color w:val="auto"/>
          <w:szCs w:val="21"/>
          <w:u w:val="single"/>
        </w:rPr>
        <w:t xml:space="preserve">　　        　  </w:t>
      </w:r>
      <w:r>
        <w:rPr>
          <w:rFonts w:hint="eastAsia" w:ascii="宋体" w:hAnsi="宋体"/>
          <w:color w:val="auto"/>
          <w:szCs w:val="21"/>
        </w:rPr>
        <w:t>(盖单位章)</w:t>
      </w:r>
    </w:p>
    <w:p>
      <w:pPr>
        <w:spacing w:line="360" w:lineRule="auto"/>
        <w:ind w:firstLine="420"/>
        <w:rPr>
          <w:rFonts w:hint="eastAsia" w:ascii="宋体" w:hAnsi="宋体"/>
          <w:color w:val="auto"/>
          <w:szCs w:val="21"/>
        </w:rPr>
      </w:pPr>
      <w:r>
        <w:rPr>
          <w:rFonts w:hint="eastAsia" w:ascii="宋体" w:hAnsi="宋体"/>
          <w:color w:val="auto"/>
          <w:szCs w:val="21"/>
        </w:rPr>
        <w:t>　　　　　　　　　　　　　　　法定代表人或其委托代理人：</w:t>
      </w:r>
      <w:r>
        <w:rPr>
          <w:rFonts w:hint="eastAsia" w:ascii="宋体" w:hAnsi="宋体"/>
          <w:color w:val="auto"/>
          <w:szCs w:val="21"/>
          <w:u w:val="single"/>
        </w:rPr>
        <w:t>　　　　　　　</w:t>
      </w:r>
      <w:r>
        <w:rPr>
          <w:rFonts w:hint="eastAsia" w:ascii="宋体" w:hAnsi="宋体"/>
          <w:color w:val="auto"/>
          <w:szCs w:val="21"/>
        </w:rPr>
        <w:t>(签字或盖章)</w:t>
      </w:r>
    </w:p>
    <w:p>
      <w:pPr>
        <w:spacing w:line="360" w:lineRule="auto"/>
        <w:ind w:firstLine="420"/>
        <w:rPr>
          <w:rFonts w:hint="eastAsia" w:ascii="宋体" w:hAnsi="宋体"/>
          <w:color w:val="auto"/>
          <w:szCs w:val="21"/>
          <w:u w:val="single"/>
        </w:rPr>
      </w:pPr>
      <w:r>
        <w:rPr>
          <w:rFonts w:hint="eastAsia" w:ascii="宋体" w:hAnsi="宋体"/>
          <w:color w:val="auto"/>
          <w:szCs w:val="21"/>
        </w:rPr>
        <w:t xml:space="preserve">                              联系方式：</w:t>
      </w:r>
      <w:r>
        <w:rPr>
          <w:rFonts w:hint="eastAsia" w:ascii="宋体" w:hAnsi="宋体"/>
          <w:color w:val="auto"/>
          <w:szCs w:val="21"/>
          <w:u w:val="single"/>
        </w:rPr>
        <w:t xml:space="preserve">　　                      　  </w:t>
      </w:r>
    </w:p>
    <w:p>
      <w:pPr>
        <w:spacing w:line="360" w:lineRule="auto"/>
        <w:ind w:firstLine="420"/>
        <w:rPr>
          <w:rFonts w:hint="eastAsia" w:ascii="宋体" w:hAnsi="宋体"/>
          <w:color w:val="auto"/>
          <w:szCs w:val="21"/>
          <w:u w:val="single"/>
        </w:rPr>
      </w:pPr>
      <w:r>
        <w:rPr>
          <w:rFonts w:hint="eastAsia" w:ascii="宋体" w:hAnsi="宋体"/>
          <w:color w:val="auto"/>
          <w:szCs w:val="21"/>
        </w:rPr>
        <w:t xml:space="preserve">                                   </w:t>
      </w:r>
    </w:p>
    <w:p>
      <w:pPr>
        <w:spacing w:line="360" w:lineRule="auto"/>
        <w:ind w:firstLine="420"/>
        <w:rPr>
          <w:rFonts w:hint="eastAsia" w:ascii="宋体" w:hAnsi="宋体"/>
          <w:color w:val="auto"/>
          <w:szCs w:val="21"/>
        </w:rPr>
      </w:pPr>
      <w:r>
        <w:rPr>
          <w:rFonts w:hint="eastAsia" w:ascii="宋体" w:hAnsi="宋体"/>
          <w:color w:val="auto"/>
          <w:szCs w:val="21"/>
        </w:rPr>
        <w:t xml:space="preserve">　　　　　　　　　　　　　　　　　　　　　　　　   </w:t>
      </w:r>
      <w:r>
        <w:rPr>
          <w:rFonts w:hint="eastAsia" w:ascii="宋体" w:hAnsi="宋体"/>
          <w:color w:val="auto"/>
          <w:szCs w:val="21"/>
          <w:u w:val="single"/>
        </w:rPr>
        <w:t>　　  　　</w:t>
      </w:r>
      <w:r>
        <w:rPr>
          <w:rFonts w:hint="eastAsia" w:ascii="宋体" w:hAnsi="宋体"/>
          <w:color w:val="auto"/>
          <w:szCs w:val="21"/>
        </w:rPr>
        <w:t>年</w:t>
      </w:r>
      <w:r>
        <w:rPr>
          <w:rFonts w:hint="eastAsia" w:ascii="宋体" w:hAnsi="宋体"/>
          <w:color w:val="auto"/>
          <w:szCs w:val="21"/>
          <w:u w:val="single"/>
        </w:rPr>
        <w:t>　　</w:t>
      </w:r>
      <w:r>
        <w:rPr>
          <w:rFonts w:hint="eastAsia" w:ascii="宋体" w:hAnsi="宋体"/>
          <w:color w:val="auto"/>
          <w:szCs w:val="21"/>
        </w:rPr>
        <w:t>月</w:t>
      </w:r>
      <w:r>
        <w:rPr>
          <w:rFonts w:hint="eastAsia" w:ascii="宋体" w:hAnsi="宋体"/>
          <w:color w:val="auto"/>
          <w:szCs w:val="21"/>
          <w:u w:val="single"/>
        </w:rPr>
        <w:t>　　</w:t>
      </w:r>
      <w:r>
        <w:rPr>
          <w:rFonts w:hint="eastAsia" w:ascii="宋体" w:hAnsi="宋体"/>
          <w:color w:val="auto"/>
          <w:szCs w:val="21"/>
        </w:rPr>
        <w:t>日</w:t>
      </w:r>
    </w:p>
    <w:p>
      <w:pPr>
        <w:spacing w:line="560" w:lineRule="exact"/>
        <w:rPr>
          <w:rFonts w:hint="eastAsia"/>
          <w:color w:val="auto"/>
          <w:szCs w:val="21"/>
        </w:rPr>
      </w:pPr>
    </w:p>
    <w:p>
      <w:pPr>
        <w:spacing w:line="560" w:lineRule="exact"/>
        <w:rPr>
          <w:rFonts w:hint="eastAsia"/>
          <w:color w:val="auto"/>
          <w:szCs w:val="21"/>
        </w:rPr>
      </w:pPr>
    </w:p>
    <w:p>
      <w:pPr>
        <w:ind w:firstLine="420"/>
        <w:jc w:val="right"/>
        <w:rPr>
          <w:rFonts w:hint="eastAsia" w:ascii="仿宋_GB2312" w:eastAsia="仿宋_GB2312"/>
          <w:color w:val="auto"/>
          <w:szCs w:val="21"/>
        </w:rPr>
      </w:pPr>
    </w:p>
    <w:p>
      <w:pPr>
        <w:ind w:firstLine="420"/>
        <w:jc w:val="right"/>
        <w:rPr>
          <w:rFonts w:hint="eastAsia" w:ascii="仿宋_GB2312" w:eastAsia="仿宋_GB2312"/>
          <w:color w:val="auto"/>
          <w:szCs w:val="21"/>
        </w:rPr>
      </w:pPr>
    </w:p>
    <w:p>
      <w:pPr>
        <w:ind w:firstLine="420"/>
        <w:jc w:val="right"/>
        <w:rPr>
          <w:rFonts w:hint="eastAsia" w:ascii="仿宋_GB2312" w:eastAsia="仿宋_GB2312"/>
          <w:color w:val="auto"/>
          <w:szCs w:val="21"/>
        </w:rPr>
      </w:pPr>
    </w:p>
    <w:p>
      <w:pPr>
        <w:ind w:firstLine="420"/>
        <w:jc w:val="right"/>
        <w:rPr>
          <w:rFonts w:hint="eastAsia" w:ascii="仿宋_GB2312" w:eastAsia="仿宋_GB2312"/>
          <w:color w:val="auto"/>
          <w:szCs w:val="21"/>
        </w:rPr>
      </w:pPr>
    </w:p>
    <w:p>
      <w:pPr>
        <w:spacing w:line="400" w:lineRule="exact"/>
        <w:ind w:left="420" w:hanging="420" w:hangingChars="200"/>
        <w:rPr>
          <w:rFonts w:hint="eastAsia"/>
          <w:color w:val="auto"/>
          <w:szCs w:val="21"/>
        </w:rPr>
      </w:pPr>
      <w:r>
        <w:rPr>
          <w:rFonts w:hint="eastAsia" w:ascii="宋体" w:hAnsi="宋体"/>
          <w:color w:val="auto"/>
          <w:szCs w:val="21"/>
        </w:rPr>
        <w:t>注</w:t>
      </w:r>
      <w:r>
        <w:rPr>
          <w:rFonts w:hint="eastAsia"/>
          <w:color w:val="auto"/>
        </w:rPr>
        <w:t>：1.</w:t>
      </w:r>
      <w:r>
        <w:rPr>
          <w:rFonts w:hint="eastAsia"/>
          <w:color w:val="auto"/>
          <w:szCs w:val="21"/>
        </w:rPr>
        <w:t>投标人或利害关系人对招标文件的内容或对</w:t>
      </w:r>
      <w:r>
        <w:rPr>
          <w:rFonts w:hint="eastAsia"/>
          <w:color w:val="auto"/>
        </w:rPr>
        <w:t>评标结果有异议，</w:t>
      </w:r>
      <w:r>
        <w:rPr>
          <w:rFonts w:hint="eastAsia"/>
          <w:color w:val="auto"/>
          <w:szCs w:val="21"/>
        </w:rPr>
        <w:t>要求招标人解释的，适用本格式。</w:t>
      </w:r>
    </w:p>
    <w:p>
      <w:pPr>
        <w:spacing w:line="400" w:lineRule="exact"/>
        <w:rPr>
          <w:rFonts w:hint="eastAsia"/>
          <w:color w:val="auto"/>
        </w:rPr>
      </w:pPr>
      <w:r>
        <w:rPr>
          <w:rFonts w:hint="eastAsia"/>
          <w:color w:val="auto"/>
          <w:szCs w:val="21"/>
        </w:rPr>
        <w:t xml:space="preserve">    2.</w:t>
      </w:r>
      <w:r>
        <w:rPr>
          <w:rFonts w:hint="eastAsia"/>
          <w:color w:val="auto"/>
        </w:rPr>
        <w:t>委托代理人签字的，应附法定代表人授权委托书。</w:t>
      </w:r>
    </w:p>
    <w:p>
      <w:pPr>
        <w:ind w:firstLine="420"/>
        <w:rPr>
          <w:rFonts w:hint="eastAsia"/>
          <w:color w:val="auto"/>
          <w:szCs w:val="21"/>
        </w:rPr>
      </w:pPr>
    </w:p>
    <w:p>
      <w:pPr>
        <w:ind w:firstLine="420"/>
        <w:rPr>
          <w:rFonts w:hint="eastAsia"/>
          <w:color w:val="auto"/>
          <w:szCs w:val="21"/>
        </w:rPr>
      </w:pPr>
    </w:p>
    <w:p>
      <w:pPr>
        <w:ind w:firstLine="420"/>
        <w:rPr>
          <w:rFonts w:hint="eastAsia"/>
          <w:color w:val="auto"/>
          <w:szCs w:val="21"/>
        </w:rPr>
      </w:pPr>
    </w:p>
    <w:p>
      <w:pPr>
        <w:ind w:firstLine="420"/>
        <w:rPr>
          <w:rFonts w:hint="eastAsia"/>
          <w:color w:val="auto"/>
          <w:szCs w:val="21"/>
        </w:rPr>
      </w:pPr>
    </w:p>
    <w:p>
      <w:pPr>
        <w:pStyle w:val="3"/>
        <w:rPr>
          <w:rFonts w:hint="eastAsia"/>
          <w:b w:val="0"/>
          <w:color w:val="auto"/>
          <w:sz w:val="28"/>
          <w:szCs w:val="28"/>
        </w:rPr>
      </w:pPr>
      <w:bookmarkStart w:id="668" w:name="_Toc3214"/>
      <w:bookmarkStart w:id="669" w:name="_Toc353544011"/>
      <w:bookmarkStart w:id="670" w:name="_Toc426495825"/>
      <w:bookmarkStart w:id="671" w:name="_Toc491089715"/>
      <w:r>
        <w:rPr>
          <w:rFonts w:hint="eastAsia"/>
          <w:b w:val="0"/>
          <w:color w:val="auto"/>
          <w:sz w:val="28"/>
          <w:szCs w:val="28"/>
        </w:rPr>
        <w:t>附件十：异议答复函</w:t>
      </w:r>
      <w:bookmarkEnd w:id="668"/>
      <w:bookmarkEnd w:id="669"/>
      <w:bookmarkEnd w:id="670"/>
      <w:bookmarkEnd w:id="671"/>
    </w:p>
    <w:p>
      <w:pPr>
        <w:jc w:val="center"/>
        <w:rPr>
          <w:rFonts w:hint="eastAsia" w:hAnsi="黑体" w:eastAsia="黑体"/>
          <w:color w:val="auto"/>
          <w:sz w:val="28"/>
          <w:szCs w:val="28"/>
        </w:rPr>
      </w:pPr>
    </w:p>
    <w:p>
      <w:pPr>
        <w:spacing w:before="240" w:beforeLines="100" w:after="240" w:afterLines="100" w:line="480" w:lineRule="exact"/>
        <w:jc w:val="center"/>
        <w:rPr>
          <w:rFonts w:hint="eastAsia" w:ascii="黑体" w:eastAsia="黑体"/>
          <w:color w:val="auto"/>
          <w:sz w:val="28"/>
          <w:szCs w:val="28"/>
        </w:rPr>
      </w:pPr>
      <w:r>
        <w:rPr>
          <w:rFonts w:hint="eastAsia" w:ascii="黑体" w:eastAsia="黑体"/>
          <w:color w:val="auto"/>
          <w:sz w:val="28"/>
          <w:szCs w:val="28"/>
        </w:rPr>
        <w:t>异议答复函</w:t>
      </w: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r>
        <w:rPr>
          <w:rFonts w:hint="eastAsia" w:ascii="宋体" w:hAnsi="宋体"/>
          <w:color w:val="auto"/>
          <w:szCs w:val="21"/>
        </w:rPr>
        <w:t xml:space="preserve">                                                          编号：</w:t>
      </w:r>
      <w:r>
        <w:rPr>
          <w:rFonts w:hint="eastAsia" w:ascii="宋体" w:hAnsi="宋体"/>
          <w:color w:val="auto"/>
          <w:szCs w:val="21"/>
          <w:u w:val="single"/>
        </w:rPr>
        <w:t>　        　</w:t>
      </w:r>
    </w:p>
    <w:p>
      <w:pPr>
        <w:spacing w:line="360" w:lineRule="auto"/>
        <w:rPr>
          <w:rFonts w:hint="eastAsia" w:ascii="宋体" w:hAnsi="宋体"/>
          <w:color w:val="auto"/>
          <w:szCs w:val="21"/>
        </w:rPr>
      </w:pPr>
      <w:r>
        <w:rPr>
          <w:rFonts w:hint="eastAsia" w:ascii="宋体" w:hAnsi="宋体"/>
          <w:color w:val="auto"/>
          <w:szCs w:val="21"/>
          <w:u w:val="single"/>
        </w:rPr>
        <w:t>　　　　   　　　　</w:t>
      </w:r>
      <w:r>
        <w:rPr>
          <w:rFonts w:hint="eastAsia" w:ascii="宋体" w:hAnsi="宋体"/>
          <w:color w:val="auto"/>
          <w:szCs w:val="21"/>
        </w:rPr>
        <w:t>(投标人或利害关系人名称)：</w:t>
      </w:r>
    </w:p>
    <w:p>
      <w:pPr>
        <w:spacing w:line="360" w:lineRule="auto"/>
        <w:ind w:firstLine="420"/>
        <w:rPr>
          <w:rFonts w:hint="eastAsia" w:ascii="宋体" w:hAnsi="宋体"/>
          <w:color w:val="auto"/>
          <w:szCs w:val="21"/>
        </w:rPr>
      </w:pPr>
      <w:r>
        <w:rPr>
          <w:rFonts w:hint="eastAsia" w:ascii="宋体" w:hAnsi="宋体"/>
          <w:color w:val="auto"/>
          <w:szCs w:val="21"/>
        </w:rPr>
        <w:t>你方提出的有关</w:t>
      </w:r>
      <w:r>
        <w:rPr>
          <w:rFonts w:hint="eastAsia" w:ascii="宋体" w:hAnsi="宋体"/>
          <w:color w:val="auto"/>
          <w:szCs w:val="21"/>
          <w:u w:val="single"/>
        </w:rPr>
        <w:t>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（标段名称）招标文件（或评标结果公示）的异议</w:t>
      </w:r>
      <w:r>
        <w:rPr>
          <w:rFonts w:ascii="宋体" w:hAnsi="宋体"/>
          <w:color w:val="auto"/>
          <w:szCs w:val="21"/>
        </w:rPr>
        <w:t>已收悉</w:t>
      </w:r>
      <w:r>
        <w:rPr>
          <w:rFonts w:hint="eastAsia" w:ascii="宋体" w:hAnsi="宋体"/>
          <w:color w:val="auto"/>
          <w:szCs w:val="21"/>
        </w:rPr>
        <w:t>，</w:t>
      </w:r>
      <w:r>
        <w:rPr>
          <w:rFonts w:ascii="宋体" w:hAnsi="宋体"/>
          <w:color w:val="auto"/>
          <w:szCs w:val="21"/>
        </w:rPr>
        <w:t>现</w:t>
      </w:r>
      <w:r>
        <w:rPr>
          <w:rFonts w:hint="eastAsia" w:ascii="宋体" w:hAnsi="宋体"/>
          <w:color w:val="auto"/>
          <w:szCs w:val="21"/>
        </w:rPr>
        <w:t>答复如下：</w:t>
      </w:r>
    </w:p>
    <w:p>
      <w:pPr>
        <w:spacing w:line="360" w:lineRule="auto"/>
        <w:ind w:firstLine="420"/>
        <w:rPr>
          <w:rFonts w:hint="eastAsia" w:ascii="宋体" w:hAnsi="宋体"/>
          <w:color w:val="auto"/>
          <w:szCs w:val="21"/>
        </w:rPr>
      </w:pPr>
      <w:r>
        <w:rPr>
          <w:rFonts w:hint="eastAsia" w:ascii="宋体" w:hAnsi="宋体"/>
          <w:color w:val="auto"/>
          <w:szCs w:val="21"/>
        </w:rPr>
        <w:t>1、……</w:t>
      </w:r>
    </w:p>
    <w:p>
      <w:pPr>
        <w:spacing w:line="360" w:lineRule="auto"/>
        <w:ind w:firstLine="420"/>
        <w:rPr>
          <w:rFonts w:hint="eastAsia" w:ascii="宋体" w:hAnsi="宋体"/>
          <w:color w:val="auto"/>
          <w:szCs w:val="21"/>
        </w:rPr>
      </w:pPr>
      <w:r>
        <w:rPr>
          <w:rFonts w:hint="eastAsia" w:ascii="宋体" w:hAnsi="宋体"/>
          <w:color w:val="auto"/>
          <w:szCs w:val="21"/>
        </w:rPr>
        <w:t>2、……</w:t>
      </w:r>
    </w:p>
    <w:p>
      <w:pPr>
        <w:spacing w:line="360" w:lineRule="auto"/>
        <w:ind w:firstLine="420"/>
        <w:rPr>
          <w:rFonts w:hint="eastAsia" w:ascii="宋体" w:hAnsi="宋体"/>
          <w:color w:val="auto"/>
          <w:szCs w:val="21"/>
        </w:rPr>
      </w:pPr>
      <w:r>
        <w:rPr>
          <w:rFonts w:hint="eastAsia" w:ascii="宋体" w:hAnsi="宋体"/>
          <w:color w:val="auto"/>
          <w:szCs w:val="21"/>
        </w:rPr>
        <w:t>……</w:t>
      </w: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ascii="宋体" w:hAnsi="宋体"/>
          <w:color w:val="auto"/>
          <w:szCs w:val="21"/>
        </w:rPr>
      </w:pPr>
    </w:p>
    <w:p>
      <w:pPr>
        <w:spacing w:line="360" w:lineRule="auto"/>
        <w:ind w:firstLine="420"/>
        <w:rPr>
          <w:rFonts w:ascii="宋体" w:hAnsi="宋体"/>
          <w:color w:val="auto"/>
          <w:szCs w:val="21"/>
        </w:rPr>
      </w:pPr>
      <w:r>
        <w:rPr>
          <w:rFonts w:ascii="宋体" w:hAnsi="宋体"/>
          <w:color w:val="auto"/>
          <w:szCs w:val="21"/>
        </w:rPr>
        <w:t xml:space="preserve">                                </w:t>
      </w:r>
      <w:r>
        <w:rPr>
          <w:rFonts w:hint="eastAsia" w:ascii="宋体" w:hAnsi="宋体"/>
          <w:color w:val="auto"/>
          <w:szCs w:val="21"/>
        </w:rPr>
        <w:t xml:space="preserve"> </w:t>
      </w:r>
      <w:r>
        <w:rPr>
          <w:rFonts w:ascii="宋体" w:hAnsi="宋体"/>
          <w:color w:val="auto"/>
          <w:szCs w:val="21"/>
        </w:rPr>
        <w:t>招标人</w:t>
      </w:r>
      <w:r>
        <w:rPr>
          <w:rFonts w:hint="eastAsia" w:ascii="宋体" w:hAnsi="宋体"/>
          <w:color w:val="auto"/>
          <w:szCs w:val="21"/>
        </w:rPr>
        <w:t>/招标代理机构</w:t>
      </w:r>
      <w:r>
        <w:rPr>
          <w:rFonts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 xml:space="preserve"> </w:t>
      </w:r>
      <w:r>
        <w:rPr>
          <w:rFonts w:ascii="宋体" w:hAnsi="宋体"/>
          <w:color w:val="auto"/>
          <w:szCs w:val="21"/>
        </w:rPr>
        <w:t>（盖单位章）</w:t>
      </w:r>
    </w:p>
    <w:p>
      <w:pPr>
        <w:spacing w:line="360" w:lineRule="auto"/>
        <w:ind w:firstLine="420"/>
        <w:rPr>
          <w:rFonts w:ascii="宋体" w:hAnsi="宋体"/>
          <w:color w:val="auto"/>
          <w:szCs w:val="21"/>
        </w:rPr>
      </w:pPr>
    </w:p>
    <w:p>
      <w:pPr>
        <w:spacing w:line="360" w:lineRule="auto"/>
        <w:ind w:firstLine="420"/>
        <w:rPr>
          <w:rFonts w:hint="eastAsia" w:ascii="宋体" w:hAnsi="宋体"/>
          <w:color w:val="auto"/>
          <w:szCs w:val="21"/>
        </w:rPr>
      </w:pPr>
      <w:r>
        <w:rPr>
          <w:rFonts w:ascii="宋体" w:hAnsi="宋体"/>
          <w:color w:val="auto"/>
          <w:szCs w:val="21"/>
        </w:rPr>
        <w:t xml:space="preserve">                                    </w:t>
      </w:r>
      <w:r>
        <w:rPr>
          <w:rFonts w:hint="eastAsia"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年</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月</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rFonts w:ascii="宋体" w:hAnsi="宋体"/>
          <w:color w:val="auto"/>
          <w:szCs w:val="21"/>
        </w:rPr>
        <w:t>日</w:t>
      </w:r>
      <w:r>
        <w:rPr>
          <w:rFonts w:hint="eastAsia" w:ascii="宋体" w:hAnsi="宋体"/>
          <w:color w:val="auto"/>
          <w:szCs w:val="21"/>
        </w:rPr>
        <w:t xml:space="preserve"> </w:t>
      </w: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spacing w:line="360" w:lineRule="auto"/>
        <w:ind w:firstLine="420"/>
        <w:rPr>
          <w:rFonts w:hint="eastAsia" w:ascii="宋体" w:hAnsi="宋体"/>
          <w:color w:val="auto"/>
          <w:szCs w:val="21"/>
        </w:rPr>
      </w:pPr>
    </w:p>
    <w:p>
      <w:pPr>
        <w:pStyle w:val="3"/>
        <w:spacing w:after="0" w:line="415" w:lineRule="auto"/>
        <w:rPr>
          <w:rFonts w:hint="eastAsia"/>
          <w:b w:val="0"/>
          <w:color w:val="auto"/>
          <w:sz w:val="28"/>
          <w:szCs w:val="28"/>
        </w:rPr>
      </w:pPr>
      <w:bookmarkStart w:id="672" w:name="_Toc6655"/>
      <w:r>
        <w:rPr>
          <w:rFonts w:hint="eastAsia"/>
          <w:b w:val="0"/>
          <w:color w:val="auto"/>
          <w:sz w:val="28"/>
          <w:szCs w:val="28"/>
        </w:rPr>
        <w:t>附件十一 ：授权委托书</w:t>
      </w:r>
      <w:bookmarkEnd w:id="672"/>
    </w:p>
    <w:p>
      <w:pPr>
        <w:adjustRightInd w:val="0"/>
        <w:snapToGrid w:val="0"/>
        <w:jc w:val="center"/>
        <w:rPr>
          <w:rFonts w:hint="eastAsia" w:ascii="黑体" w:eastAsia="黑体"/>
          <w:color w:val="auto"/>
          <w:sz w:val="28"/>
          <w:szCs w:val="28"/>
        </w:rPr>
      </w:pPr>
      <w:bookmarkStart w:id="673" w:name="_Toc517172686"/>
      <w:r>
        <w:rPr>
          <w:rFonts w:ascii="黑体" w:eastAsia="黑体"/>
          <w:color w:val="auto"/>
          <w:sz w:val="28"/>
          <w:szCs w:val="28"/>
        </w:rPr>
        <w:t>授权委托书</w:t>
      </w:r>
      <w:bookmarkEnd w:id="673"/>
    </w:p>
    <w:p>
      <w:pPr>
        <w:adjustRightInd w:val="0"/>
        <w:snapToGrid w:val="0"/>
        <w:jc w:val="center"/>
        <w:rPr>
          <w:rFonts w:ascii="黑体" w:eastAsia="黑体"/>
          <w:color w:val="auto"/>
          <w:sz w:val="28"/>
          <w:szCs w:val="28"/>
        </w:rPr>
      </w:pPr>
    </w:p>
    <w:p>
      <w:pPr>
        <w:rPr>
          <w:color w:val="auto"/>
          <w:szCs w:val="21"/>
        </w:rPr>
      </w:pPr>
      <w:r>
        <w:rPr>
          <w:color w:val="auto"/>
          <w:szCs w:val="21"/>
        </w:rPr>
        <w:t>致：</w:t>
      </w:r>
      <w:r>
        <w:rPr>
          <w:color w:val="auto"/>
          <w:szCs w:val="21"/>
          <w:u w:val="single"/>
        </w:rPr>
        <w:t xml:space="preserve">  （招标人全称）  </w:t>
      </w:r>
    </w:p>
    <w:p>
      <w:pPr>
        <w:topLinePunct/>
        <w:spacing w:line="360" w:lineRule="auto"/>
        <w:ind w:firstLine="420" w:firstLineChars="200"/>
        <w:rPr>
          <w:rFonts w:hint="eastAsia"/>
          <w:color w:val="auto"/>
          <w:szCs w:val="21"/>
        </w:rPr>
      </w:pPr>
      <w:r>
        <w:rPr>
          <w:color w:val="auto"/>
          <w:szCs w:val="21"/>
        </w:rPr>
        <w:t>本人</w:t>
      </w:r>
      <w:r>
        <w:rPr>
          <w:color w:val="auto"/>
          <w:szCs w:val="21"/>
          <w:u w:val="single"/>
        </w:rPr>
        <w:t xml:space="preserve">       </w:t>
      </w:r>
      <w:r>
        <w:rPr>
          <w:color w:val="auto"/>
          <w:szCs w:val="21"/>
        </w:rPr>
        <w:t>（姓名）系</w:t>
      </w:r>
      <w:r>
        <w:rPr>
          <w:color w:val="auto"/>
          <w:szCs w:val="21"/>
          <w:u w:val="single"/>
        </w:rPr>
        <w:t xml:space="preserve">        </w:t>
      </w:r>
      <w:r>
        <w:rPr>
          <w:color w:val="auto"/>
          <w:szCs w:val="21"/>
        </w:rPr>
        <w:t>（投标人名称）的法定代表人，现委托</w:t>
      </w:r>
      <w:r>
        <w:rPr>
          <w:color w:val="auto"/>
          <w:szCs w:val="21"/>
          <w:u w:val="single"/>
        </w:rPr>
        <w:t xml:space="preserve">        </w:t>
      </w:r>
      <w:r>
        <w:rPr>
          <w:color w:val="auto"/>
          <w:szCs w:val="21"/>
        </w:rPr>
        <w:t>（姓名）为我方代理人。代理人根据授权，以我方名义</w:t>
      </w:r>
      <w:r>
        <w:rPr>
          <w:rFonts w:hint="eastAsia"/>
          <w:color w:val="auto"/>
          <w:szCs w:val="21"/>
        </w:rPr>
        <w:t>处理与</w:t>
      </w:r>
      <w:r>
        <w:rPr>
          <w:rFonts w:hint="eastAsia"/>
          <w:color w:val="auto"/>
          <w:szCs w:val="21"/>
          <w:u w:val="single"/>
        </w:rPr>
        <w:t xml:space="preserve">        </w:t>
      </w:r>
      <w:r>
        <w:rPr>
          <w:rFonts w:hint="eastAsia"/>
          <w:color w:val="auto"/>
          <w:szCs w:val="21"/>
        </w:rPr>
        <w:t>（项目名称）</w:t>
      </w:r>
      <w:r>
        <w:rPr>
          <w:rFonts w:hint="eastAsia"/>
          <w:color w:val="auto"/>
          <w:szCs w:val="21"/>
          <w:u w:val="single"/>
        </w:rPr>
        <w:t xml:space="preserve">        </w:t>
      </w:r>
      <w:r>
        <w:rPr>
          <w:rFonts w:hint="eastAsia"/>
          <w:color w:val="auto"/>
          <w:szCs w:val="21"/>
        </w:rPr>
        <w:t>（标段名称）招投标相关的事宜：</w:t>
      </w:r>
    </w:p>
    <w:p>
      <w:pPr>
        <w:topLinePunct/>
        <w:spacing w:line="440" w:lineRule="exact"/>
        <w:ind w:firstLine="420" w:firstLineChars="200"/>
        <w:rPr>
          <w:rFonts w:hint="eastAsia"/>
          <w:color w:val="auto"/>
          <w:szCs w:val="21"/>
        </w:rPr>
      </w:pPr>
      <w:r>
        <w:rPr>
          <w:rFonts w:hint="eastAsia" w:ascii="宋体" w:hAnsi="宋体"/>
          <w:color w:val="auto"/>
          <w:szCs w:val="21"/>
        </w:rPr>
        <w:t>□</w:t>
      </w:r>
      <w:r>
        <w:rPr>
          <w:color w:val="auto"/>
          <w:szCs w:val="21"/>
        </w:rPr>
        <w:t>递交、</w:t>
      </w:r>
      <w:r>
        <w:rPr>
          <w:rFonts w:hint="eastAsia"/>
          <w:color w:val="auto"/>
          <w:szCs w:val="21"/>
        </w:rPr>
        <w:t>澄清、说明、补正、撤回、修改投标文件；</w:t>
      </w:r>
    </w:p>
    <w:p>
      <w:pPr>
        <w:topLinePunct/>
        <w:spacing w:line="440" w:lineRule="exact"/>
        <w:ind w:firstLine="420" w:firstLineChars="200"/>
        <w:rPr>
          <w:rFonts w:hint="eastAsia"/>
          <w:color w:val="auto"/>
          <w:szCs w:val="21"/>
        </w:rPr>
      </w:pPr>
      <w:r>
        <w:rPr>
          <w:rFonts w:hint="eastAsia" w:ascii="宋体" w:hAnsi="宋体"/>
          <w:color w:val="auto"/>
          <w:szCs w:val="21"/>
        </w:rPr>
        <w:t>□</w:t>
      </w:r>
      <w:r>
        <w:rPr>
          <w:rFonts w:hint="eastAsia"/>
          <w:color w:val="auto"/>
          <w:szCs w:val="21"/>
        </w:rPr>
        <w:t>作为投标人代表参加开标；</w:t>
      </w:r>
    </w:p>
    <w:p>
      <w:pPr>
        <w:topLinePunct/>
        <w:spacing w:line="440" w:lineRule="exact"/>
        <w:ind w:firstLine="420" w:firstLineChars="200"/>
        <w:rPr>
          <w:rFonts w:hint="eastAsia"/>
          <w:color w:val="auto"/>
          <w:szCs w:val="21"/>
        </w:rPr>
      </w:pPr>
      <w:r>
        <w:rPr>
          <w:rFonts w:hint="eastAsia" w:ascii="宋体" w:hAnsi="宋体"/>
          <w:color w:val="auto"/>
          <w:szCs w:val="21"/>
        </w:rPr>
        <w:t>□</w:t>
      </w:r>
      <w:r>
        <w:rPr>
          <w:rFonts w:hint="eastAsia"/>
          <w:color w:val="auto"/>
          <w:szCs w:val="21"/>
        </w:rPr>
        <w:t>按照招标文件规定提出异议；</w:t>
      </w:r>
    </w:p>
    <w:p>
      <w:pPr>
        <w:topLinePunct/>
        <w:spacing w:line="440" w:lineRule="exact"/>
        <w:ind w:firstLine="420" w:firstLineChars="200"/>
        <w:rPr>
          <w:rFonts w:hint="eastAsia"/>
          <w:color w:val="auto"/>
          <w:szCs w:val="21"/>
        </w:rPr>
      </w:pPr>
      <w:r>
        <w:rPr>
          <w:rFonts w:hint="eastAsia" w:ascii="宋体" w:hAnsi="宋体"/>
          <w:color w:val="auto"/>
          <w:szCs w:val="21"/>
        </w:rPr>
        <w:t>□</w:t>
      </w:r>
      <w:r>
        <w:rPr>
          <w:rFonts w:hint="eastAsia"/>
          <w:color w:val="auto"/>
          <w:szCs w:val="21"/>
        </w:rPr>
        <w:t>签订合同；</w:t>
      </w:r>
    </w:p>
    <w:p>
      <w:pPr>
        <w:topLinePunct/>
        <w:spacing w:line="440" w:lineRule="exact"/>
        <w:ind w:firstLine="420" w:firstLineChars="200"/>
        <w:rPr>
          <w:rFonts w:hint="eastAsia"/>
          <w:color w:val="auto"/>
          <w:szCs w:val="21"/>
        </w:rPr>
      </w:pPr>
      <w:r>
        <w:rPr>
          <w:rFonts w:hint="eastAsia" w:ascii="宋体" w:hAnsi="宋体"/>
          <w:color w:val="auto"/>
          <w:szCs w:val="21"/>
        </w:rPr>
        <w:t>□</w:t>
      </w:r>
      <w:r>
        <w:rPr>
          <w:rFonts w:hint="eastAsia"/>
          <w:color w:val="auto"/>
          <w:szCs w:val="21"/>
        </w:rPr>
        <w:t>处理其他事宜：</w:t>
      </w:r>
      <w:r>
        <w:rPr>
          <w:rFonts w:hint="eastAsia"/>
          <w:color w:val="auto"/>
          <w:szCs w:val="21"/>
          <w:u w:val="single"/>
        </w:rPr>
        <w:t xml:space="preserve">                     </w:t>
      </w:r>
      <w:r>
        <w:rPr>
          <w:rFonts w:hint="eastAsia"/>
          <w:color w:val="auto"/>
          <w:szCs w:val="21"/>
        </w:rPr>
        <w:t>。</w:t>
      </w:r>
    </w:p>
    <w:p>
      <w:pPr>
        <w:topLinePunct/>
        <w:spacing w:line="440" w:lineRule="exact"/>
        <w:ind w:firstLine="420" w:firstLineChars="200"/>
        <w:rPr>
          <w:color w:val="auto"/>
          <w:szCs w:val="21"/>
        </w:rPr>
      </w:pPr>
      <w:r>
        <w:rPr>
          <w:rFonts w:hint="eastAsia"/>
          <w:color w:val="auto"/>
          <w:szCs w:val="21"/>
        </w:rPr>
        <w:t>以上授权</w:t>
      </w:r>
      <w:r>
        <w:rPr>
          <w:color w:val="auto"/>
          <w:szCs w:val="21"/>
        </w:rPr>
        <w:t>其法律后果由我方承担。</w:t>
      </w:r>
    </w:p>
    <w:p>
      <w:pPr>
        <w:spacing w:line="440" w:lineRule="exact"/>
        <w:ind w:firstLine="435"/>
        <w:rPr>
          <w:rFonts w:hint="eastAsia"/>
          <w:color w:val="auto"/>
          <w:szCs w:val="21"/>
        </w:rPr>
      </w:pPr>
      <w:r>
        <w:rPr>
          <w:color w:val="auto"/>
          <w:szCs w:val="21"/>
        </w:rPr>
        <w:t>委托期限：</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rFonts w:hint="eastAsia"/>
          <w:color w:val="auto"/>
          <w:szCs w:val="21"/>
        </w:rPr>
        <w:t>。</w:t>
      </w:r>
    </w:p>
    <w:p>
      <w:pPr>
        <w:spacing w:line="440" w:lineRule="exact"/>
        <w:ind w:firstLine="435"/>
        <w:rPr>
          <w:color w:val="auto"/>
          <w:szCs w:val="21"/>
        </w:rPr>
      </w:pPr>
      <w:r>
        <w:rPr>
          <w:rFonts w:hint="eastAsia"/>
          <w:color w:val="auto"/>
          <w:szCs w:val="21"/>
        </w:rPr>
        <w:t>联系方式：</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rFonts w:hint="eastAsia"/>
          <w:color w:val="auto"/>
          <w:szCs w:val="21"/>
        </w:rPr>
        <w:t>。</w:t>
      </w:r>
    </w:p>
    <w:p>
      <w:pPr>
        <w:spacing w:line="440" w:lineRule="exact"/>
        <w:ind w:firstLine="420" w:firstLineChars="200"/>
        <w:rPr>
          <w:rFonts w:hint="eastAsia"/>
          <w:color w:val="auto"/>
          <w:szCs w:val="21"/>
        </w:rPr>
      </w:pPr>
      <w:r>
        <w:rPr>
          <w:color w:val="auto"/>
          <w:szCs w:val="21"/>
        </w:rPr>
        <w:t>代理人无转委托权。</w:t>
      </w:r>
    </w:p>
    <w:p>
      <w:pPr>
        <w:spacing w:line="440" w:lineRule="exact"/>
        <w:ind w:firstLine="420" w:firstLineChars="200"/>
        <w:rPr>
          <w:rFonts w:hint="eastAsia"/>
          <w:color w:val="auto"/>
          <w:szCs w:val="21"/>
        </w:rPr>
      </w:pPr>
    </w:p>
    <w:p>
      <w:pPr>
        <w:spacing w:line="440" w:lineRule="exact"/>
        <w:ind w:firstLine="420" w:firstLineChars="200"/>
        <w:rPr>
          <w:rFonts w:hint="eastAsia"/>
          <w:color w:val="auto"/>
          <w:szCs w:val="21"/>
        </w:rPr>
      </w:pPr>
      <w:r>
        <w:rPr>
          <w:rFonts w:hint="eastAsia"/>
          <w:color w:val="auto"/>
          <w:szCs w:val="21"/>
        </w:rPr>
        <w:t>附：1</w:t>
      </w:r>
      <w:r>
        <w:rPr>
          <w:rFonts w:hint="eastAsia" w:ascii="宋体" w:hAnsi="宋体"/>
          <w:bCs/>
          <w:color w:val="auto"/>
          <w:szCs w:val="21"/>
        </w:rPr>
        <w:t>．法定代表人身份证明</w:t>
      </w:r>
    </w:p>
    <w:p>
      <w:pPr>
        <w:spacing w:line="440" w:lineRule="exact"/>
        <w:ind w:firstLine="840" w:firstLineChars="400"/>
        <w:rPr>
          <w:rFonts w:hint="eastAsia"/>
          <w:color w:val="auto"/>
          <w:szCs w:val="21"/>
        </w:rPr>
      </w:pPr>
      <w:r>
        <w:rPr>
          <w:rFonts w:hint="eastAsia" w:ascii="宋体" w:hAnsi="宋体"/>
          <w:bCs/>
          <w:color w:val="auto"/>
          <w:szCs w:val="21"/>
        </w:rPr>
        <w:t>2．委托代理人身份证复印件</w:t>
      </w:r>
    </w:p>
    <w:p>
      <w:pPr>
        <w:spacing w:line="440" w:lineRule="exact"/>
        <w:rPr>
          <w:color w:val="auto"/>
          <w:szCs w:val="21"/>
        </w:rPr>
      </w:pPr>
    </w:p>
    <w:p>
      <w:pPr>
        <w:spacing w:line="480" w:lineRule="auto"/>
        <w:ind w:firstLine="3402" w:firstLineChars="1620"/>
        <w:jc w:val="left"/>
        <w:rPr>
          <w:color w:val="auto"/>
          <w:szCs w:val="21"/>
        </w:rPr>
      </w:pPr>
      <w:r>
        <w:rPr>
          <w:color w:val="auto"/>
          <w:szCs w:val="21"/>
        </w:rPr>
        <w:t>投标人：</w:t>
      </w:r>
      <w:r>
        <w:rPr>
          <w:color w:val="auto"/>
          <w:szCs w:val="21"/>
          <w:u w:val="single"/>
        </w:rPr>
        <w:t xml:space="preserve">                               </w:t>
      </w:r>
      <w:r>
        <w:rPr>
          <w:color w:val="auto"/>
          <w:szCs w:val="21"/>
        </w:rPr>
        <w:t>（盖单位章）</w:t>
      </w:r>
    </w:p>
    <w:p>
      <w:pPr>
        <w:spacing w:line="480" w:lineRule="auto"/>
        <w:ind w:firstLine="3402" w:firstLineChars="1620"/>
        <w:jc w:val="left"/>
        <w:rPr>
          <w:color w:val="auto"/>
          <w:szCs w:val="21"/>
        </w:rPr>
      </w:pPr>
      <w:r>
        <w:rPr>
          <w:color w:val="auto"/>
          <w:szCs w:val="21"/>
        </w:rPr>
        <w:t>法定代表人：</w:t>
      </w:r>
      <w:r>
        <w:rPr>
          <w:color w:val="auto"/>
          <w:szCs w:val="21"/>
          <w:u w:val="single"/>
        </w:rPr>
        <w:t xml:space="preserve">                             </w:t>
      </w:r>
      <w:r>
        <w:rPr>
          <w:color w:val="auto"/>
          <w:szCs w:val="21"/>
        </w:rPr>
        <w:t>（签字</w:t>
      </w:r>
      <w:r>
        <w:rPr>
          <w:rFonts w:hint="eastAsia"/>
          <w:color w:val="auto"/>
          <w:szCs w:val="21"/>
        </w:rPr>
        <w:t>或盖章</w:t>
      </w:r>
      <w:r>
        <w:rPr>
          <w:color w:val="auto"/>
          <w:szCs w:val="21"/>
        </w:rPr>
        <w:t>）</w:t>
      </w:r>
    </w:p>
    <w:p>
      <w:pPr>
        <w:spacing w:line="480" w:lineRule="auto"/>
        <w:ind w:firstLine="3402" w:firstLineChars="1620"/>
        <w:jc w:val="left"/>
        <w:rPr>
          <w:color w:val="auto"/>
          <w:szCs w:val="21"/>
        </w:rPr>
      </w:pPr>
      <w:r>
        <w:rPr>
          <w:color w:val="auto"/>
          <w:szCs w:val="21"/>
        </w:rPr>
        <w:t>身份证号码：</w:t>
      </w:r>
      <w:r>
        <w:rPr>
          <w:rFonts w:hint="eastAsia"/>
          <w:color w:val="auto"/>
          <w:szCs w:val="21"/>
          <w:u w:val="single"/>
        </w:rPr>
        <w:t xml:space="preserve">                                     </w:t>
      </w:r>
      <w:r>
        <w:rPr>
          <w:rFonts w:hint="eastAsia"/>
          <w:color w:val="auto"/>
          <w:szCs w:val="21"/>
        </w:rPr>
        <w:t xml:space="preserve"> </w:t>
      </w:r>
    </w:p>
    <w:p>
      <w:pPr>
        <w:spacing w:line="480" w:lineRule="auto"/>
        <w:ind w:firstLine="3402" w:firstLineChars="1620"/>
        <w:jc w:val="left"/>
        <w:rPr>
          <w:color w:val="auto"/>
          <w:szCs w:val="21"/>
        </w:rPr>
      </w:pPr>
      <w:r>
        <w:rPr>
          <w:color w:val="auto"/>
          <w:szCs w:val="21"/>
        </w:rPr>
        <w:t>委托代理人：</w:t>
      </w:r>
      <w:r>
        <w:rPr>
          <w:color w:val="auto"/>
          <w:szCs w:val="21"/>
          <w:u w:val="single"/>
        </w:rPr>
        <w:t xml:space="preserve">                             </w:t>
      </w:r>
      <w:r>
        <w:rPr>
          <w:color w:val="auto"/>
          <w:szCs w:val="21"/>
        </w:rPr>
        <w:t>（签字</w:t>
      </w:r>
      <w:r>
        <w:rPr>
          <w:rFonts w:hint="eastAsia"/>
          <w:color w:val="auto"/>
          <w:szCs w:val="21"/>
        </w:rPr>
        <w:t>或盖章</w:t>
      </w:r>
      <w:r>
        <w:rPr>
          <w:color w:val="auto"/>
          <w:szCs w:val="21"/>
        </w:rPr>
        <w:t>）</w:t>
      </w:r>
    </w:p>
    <w:p>
      <w:pPr>
        <w:spacing w:line="480" w:lineRule="auto"/>
        <w:ind w:firstLine="3402" w:firstLineChars="1620"/>
        <w:jc w:val="left"/>
        <w:rPr>
          <w:color w:val="auto"/>
          <w:szCs w:val="21"/>
        </w:rPr>
      </w:pPr>
      <w:r>
        <w:rPr>
          <w:color w:val="auto"/>
          <w:szCs w:val="21"/>
        </w:rPr>
        <w:t>身份证号码：</w:t>
      </w:r>
      <w:r>
        <w:rPr>
          <w:rFonts w:hint="eastAsia"/>
          <w:color w:val="auto"/>
          <w:szCs w:val="21"/>
          <w:u w:val="single"/>
        </w:rPr>
        <w:t xml:space="preserve">                                    </w:t>
      </w:r>
    </w:p>
    <w:p>
      <w:pPr>
        <w:spacing w:line="440" w:lineRule="exact"/>
        <w:ind w:firstLine="5985" w:firstLineChars="2850"/>
        <w:rPr>
          <w:rFonts w:hint="eastAsia"/>
          <w:color w:val="auto"/>
          <w:szCs w:val="21"/>
        </w:rPr>
      </w:pP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40" w:lineRule="exact"/>
        <w:rPr>
          <w:rFonts w:hint="eastAsia"/>
          <w:color w:val="auto"/>
          <w:szCs w:val="21"/>
        </w:rPr>
      </w:pPr>
    </w:p>
    <w:p>
      <w:pPr>
        <w:spacing w:line="440" w:lineRule="exact"/>
        <w:ind w:left="630" w:hanging="630" w:hangingChars="300"/>
        <w:rPr>
          <w:rFonts w:hint="eastAsia" w:ascii="宋体" w:hAnsi="宋体"/>
          <w:color w:val="auto"/>
          <w:szCs w:val="21"/>
        </w:rPr>
      </w:pPr>
      <w:r>
        <w:rPr>
          <w:rFonts w:hint="eastAsia" w:ascii="宋体" w:hAnsi="宋体"/>
          <w:bCs/>
          <w:color w:val="auto"/>
          <w:szCs w:val="21"/>
        </w:rPr>
        <w:t>备注: 1.本授权委托书适用于根据招标文件相关规定可由委托代理人处理相关事宜时使用，授权处理事宜根据具体授权在</w:t>
      </w:r>
      <w:r>
        <w:rPr>
          <w:rFonts w:hint="eastAsia" w:ascii="宋体" w:hAnsi="宋体"/>
          <w:color w:val="auto"/>
          <w:szCs w:val="21"/>
        </w:rPr>
        <w:t>方框“□”内打钩“√”；</w:t>
      </w:r>
    </w:p>
    <w:p>
      <w:pPr>
        <w:spacing w:line="440" w:lineRule="exact"/>
        <w:ind w:firstLine="630" w:firstLineChars="300"/>
        <w:rPr>
          <w:rFonts w:hint="eastAsia" w:ascii="宋体" w:hAnsi="宋体"/>
          <w:bCs/>
          <w:color w:val="auto"/>
          <w:szCs w:val="21"/>
        </w:rPr>
      </w:pPr>
      <w:r>
        <w:rPr>
          <w:rFonts w:hint="eastAsia" w:ascii="宋体" w:hAnsi="宋体"/>
          <w:color w:val="auto"/>
          <w:szCs w:val="21"/>
        </w:rPr>
        <w:t>2.被授权委托的代理人必须为投标人单位的人员。</w:t>
      </w:r>
    </w:p>
    <w:p>
      <w:pPr>
        <w:spacing w:line="360" w:lineRule="auto"/>
        <w:ind w:left="843" w:hanging="843" w:hangingChars="400"/>
        <w:rPr>
          <w:b/>
          <w:color w:val="auto"/>
        </w:rPr>
      </w:pPr>
    </w:p>
    <w:p>
      <w:pPr>
        <w:pStyle w:val="2"/>
        <w:spacing w:before="120" w:after="120" w:line="400" w:lineRule="exact"/>
        <w:rPr>
          <w:rFonts w:hint="eastAsia"/>
          <w:b w:val="0"/>
          <w:color w:val="auto"/>
        </w:rPr>
      </w:pPr>
      <w:bookmarkStart w:id="674" w:name="_Toc222029495"/>
      <w:bookmarkStart w:id="675" w:name="_Toc222032664"/>
      <w:bookmarkStart w:id="676" w:name="_Toc222033846"/>
      <w:bookmarkStart w:id="677" w:name="_Toc144974565"/>
      <w:bookmarkStart w:id="678" w:name="_Toc168475713"/>
      <w:bookmarkStart w:id="679" w:name="_Toc168476116"/>
      <w:bookmarkStart w:id="680" w:name="_Toc221950443"/>
      <w:bookmarkStart w:id="681" w:name="_Toc30798"/>
      <w:bookmarkStart w:id="682" w:name="_Toc222030997"/>
      <w:bookmarkStart w:id="683" w:name="_Toc387753573"/>
      <w:bookmarkStart w:id="684" w:name="_Toc229305355"/>
      <w:bookmarkStart w:id="685" w:name="_Toc491089716"/>
      <w:r>
        <w:rPr>
          <w:rFonts w:hint="eastAsia" w:ascii="黑体" w:hAnsi="黑体" w:eastAsia="黑体"/>
          <w:b w:val="0"/>
          <w:bCs w:val="0"/>
          <w:color w:val="auto"/>
          <w:sz w:val="32"/>
        </w:rPr>
        <w:t>第三章  评标办法（综合评估法）</w:t>
      </w:r>
      <w:bookmarkEnd w:id="674"/>
      <w:bookmarkEnd w:id="675"/>
      <w:bookmarkEnd w:id="676"/>
      <w:bookmarkEnd w:id="677"/>
      <w:bookmarkEnd w:id="678"/>
      <w:bookmarkEnd w:id="679"/>
      <w:bookmarkEnd w:id="680"/>
      <w:bookmarkEnd w:id="681"/>
      <w:bookmarkEnd w:id="682"/>
      <w:bookmarkEnd w:id="683"/>
      <w:bookmarkEnd w:id="684"/>
      <w:bookmarkEnd w:id="685"/>
    </w:p>
    <w:p>
      <w:pPr>
        <w:pStyle w:val="80"/>
        <w:spacing w:before="120" w:after="120" w:afterLines="50"/>
        <w:jc w:val="left"/>
        <w:rPr>
          <w:rFonts w:hint="eastAsia"/>
          <w:color w:val="auto"/>
        </w:rPr>
      </w:pPr>
      <w:bookmarkStart w:id="686" w:name="_Toc229305356"/>
      <w:bookmarkStart w:id="687" w:name="_Toc491089717"/>
      <w:bookmarkStart w:id="688" w:name="_Toc222032665"/>
      <w:bookmarkStart w:id="689" w:name="_Toc144974566"/>
      <w:bookmarkStart w:id="690" w:name="_Toc168475714"/>
      <w:bookmarkStart w:id="691" w:name="_Toc221950444"/>
      <w:bookmarkStart w:id="692" w:name="_Toc222030998"/>
      <w:bookmarkStart w:id="693" w:name="_Toc168476117"/>
      <w:bookmarkStart w:id="694" w:name="_Toc6826"/>
      <w:bookmarkStart w:id="695" w:name="_Toc222033847"/>
      <w:bookmarkStart w:id="696" w:name="_Toc222029496"/>
      <w:bookmarkStart w:id="697" w:name="_Toc387753574"/>
      <w:r>
        <w:rPr>
          <w:rFonts w:hint="eastAsia"/>
          <w:color w:val="auto"/>
        </w:rPr>
        <w:t>评标办法前附表</w:t>
      </w:r>
      <w:bookmarkEnd w:id="686"/>
      <w:bookmarkEnd w:id="687"/>
      <w:bookmarkEnd w:id="688"/>
      <w:bookmarkEnd w:id="689"/>
      <w:bookmarkEnd w:id="690"/>
      <w:bookmarkEnd w:id="691"/>
      <w:bookmarkEnd w:id="692"/>
      <w:bookmarkEnd w:id="693"/>
      <w:bookmarkEnd w:id="694"/>
      <w:bookmarkEnd w:id="695"/>
      <w:bookmarkEnd w:id="696"/>
      <w:bookmarkEnd w:id="697"/>
    </w:p>
    <w:tbl>
      <w:tblPr>
        <w:tblStyle w:val="38"/>
        <w:tblW w:w="97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694"/>
        <w:gridCol w:w="1764"/>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ascii="宋体" w:hAnsi="宋体"/>
                <w:b/>
                <w:color w:val="auto"/>
                <w:szCs w:val="21"/>
              </w:rPr>
            </w:pPr>
            <w:bookmarkStart w:id="698" w:name="_Toc221950445"/>
            <w:r>
              <w:rPr>
                <w:rFonts w:ascii="宋体" w:hAnsi="宋体"/>
                <w:b/>
                <w:color w:val="auto"/>
                <w:szCs w:val="21"/>
              </w:rPr>
              <w:t>条款号</w:t>
            </w:r>
            <w:bookmarkEnd w:id="698"/>
          </w:p>
        </w:tc>
        <w:tc>
          <w:tcPr>
            <w:tcW w:w="1764" w:type="dxa"/>
            <w:noWrap w:val="0"/>
            <w:tcMar>
              <w:top w:w="28" w:type="dxa"/>
              <w:bottom w:w="28" w:type="dxa"/>
            </w:tcMar>
            <w:vAlign w:val="center"/>
          </w:tcPr>
          <w:p>
            <w:pPr>
              <w:jc w:val="center"/>
              <w:rPr>
                <w:rFonts w:ascii="宋体" w:hAnsi="宋体"/>
                <w:b/>
                <w:color w:val="auto"/>
                <w:szCs w:val="21"/>
              </w:rPr>
            </w:pPr>
            <w:bookmarkStart w:id="699" w:name="_Toc221950446"/>
            <w:r>
              <w:rPr>
                <w:rFonts w:ascii="宋体" w:hAnsi="宋体"/>
                <w:b/>
                <w:color w:val="auto"/>
                <w:szCs w:val="21"/>
              </w:rPr>
              <w:t>评审因素</w:t>
            </w:r>
            <w:bookmarkEnd w:id="699"/>
          </w:p>
        </w:tc>
        <w:tc>
          <w:tcPr>
            <w:tcW w:w="6420" w:type="dxa"/>
            <w:noWrap w:val="0"/>
            <w:tcMar>
              <w:top w:w="28" w:type="dxa"/>
              <w:bottom w:w="28" w:type="dxa"/>
            </w:tcMar>
            <w:vAlign w:val="center"/>
          </w:tcPr>
          <w:p>
            <w:pPr>
              <w:jc w:val="center"/>
              <w:rPr>
                <w:rFonts w:ascii="宋体" w:hAnsi="宋体"/>
                <w:b/>
                <w:color w:val="auto"/>
                <w:szCs w:val="21"/>
              </w:rPr>
            </w:pPr>
            <w:bookmarkStart w:id="700" w:name="_Toc221950447"/>
            <w:r>
              <w:rPr>
                <w:rFonts w:ascii="宋体" w:hAnsi="宋体"/>
                <w:b/>
                <w:color w:val="auto"/>
                <w:szCs w:val="21"/>
              </w:rPr>
              <w:t>评审标准</w:t>
            </w:r>
            <w:bookmarkEnd w:id="7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详细评审</w:t>
            </w:r>
          </w:p>
          <w:p>
            <w:pPr>
              <w:jc w:val="center"/>
              <w:rPr>
                <w:rFonts w:hint="eastAsia" w:ascii="宋体" w:hAnsi="宋体"/>
                <w:color w:val="auto"/>
                <w:szCs w:val="21"/>
              </w:rPr>
            </w:pPr>
            <w:r>
              <w:rPr>
                <w:rFonts w:hint="eastAsia" w:ascii="宋体" w:hAnsi="宋体"/>
                <w:color w:val="auto"/>
                <w:szCs w:val="21"/>
              </w:rPr>
              <w:t>投标人数量</w:t>
            </w:r>
          </w:p>
          <w:p>
            <w:pPr>
              <w:jc w:val="center"/>
              <w:rPr>
                <w:rFonts w:ascii="宋体" w:hAnsi="宋体"/>
                <w:color w:val="auto"/>
                <w:szCs w:val="21"/>
              </w:rPr>
            </w:pPr>
            <w:r>
              <w:rPr>
                <w:rFonts w:hint="eastAsia" w:ascii="宋体" w:hAnsi="宋体"/>
                <w:color w:val="auto"/>
                <w:szCs w:val="21"/>
              </w:rPr>
              <w:t>说明</w:t>
            </w:r>
          </w:p>
        </w:tc>
        <w:tc>
          <w:tcPr>
            <w:tcW w:w="8184" w:type="dxa"/>
            <w:gridSpan w:val="2"/>
            <w:noWrap w:val="0"/>
            <w:tcMar>
              <w:top w:w="28" w:type="dxa"/>
              <w:bottom w:w="28" w:type="dxa"/>
            </w:tcMar>
            <w:vAlign w:val="center"/>
          </w:tcPr>
          <w:p>
            <w:pPr>
              <w:ind w:firstLine="105" w:firstLineChars="50"/>
              <w:rPr>
                <w:rFonts w:hint="eastAsia" w:ascii="宋体" w:hAnsi="宋体"/>
                <w:color w:val="auto"/>
                <w:szCs w:val="21"/>
              </w:rPr>
            </w:pPr>
            <w:r>
              <w:rPr>
                <w:rFonts w:hint="eastAsia" w:ascii="宋体" w:hAnsi="宋体"/>
                <w:color w:val="auto"/>
                <w:szCs w:val="21"/>
              </w:rPr>
              <w:t>本评标办法的详细评审程序，根据初步评审合格的投标人数量的多少进行如下调整：</w:t>
            </w:r>
          </w:p>
          <w:p>
            <w:pPr>
              <w:numPr>
                <w:ilvl w:val="0"/>
                <w:numId w:val="3"/>
              </w:numPr>
              <w:rPr>
                <w:rFonts w:hint="eastAsia" w:ascii="宋体" w:hAnsi="宋体"/>
                <w:color w:val="auto"/>
                <w:szCs w:val="21"/>
              </w:rPr>
            </w:pPr>
            <w:r>
              <w:rPr>
                <w:rFonts w:hint="eastAsia" w:ascii="宋体" w:hAnsi="宋体"/>
                <w:color w:val="auto"/>
                <w:szCs w:val="21"/>
              </w:rPr>
              <w:t>当通过初步评审的投标人数量小于或等于15家时，初步评审合格的投标人递交的投标文件均进入详细评审；</w:t>
            </w:r>
          </w:p>
          <w:p>
            <w:pPr>
              <w:numPr>
                <w:ilvl w:val="0"/>
                <w:numId w:val="3"/>
              </w:numPr>
              <w:rPr>
                <w:rFonts w:hint="eastAsia" w:ascii="宋体" w:hAnsi="宋体"/>
                <w:color w:val="auto"/>
                <w:szCs w:val="21"/>
              </w:rPr>
            </w:pPr>
            <w:r>
              <w:rPr>
                <w:rFonts w:hint="eastAsia" w:ascii="宋体" w:hAnsi="宋体"/>
                <w:color w:val="auto"/>
                <w:szCs w:val="21"/>
              </w:rPr>
              <w:t>当通过初步评审的投标人数量大于15家时，在详细评审阶段，评标委员会先对通过初步评审的投标文件的“投标报价”、“市场信誉与业绩”、“市场信用”进行评审，对以上三项评分之和由高到低排序（如出现得分排序并列的情况，则以“投标报价”高的优先进入排名），如投标人数量小于或等于30家时取得分排序前15名，如投标人数量大于30家时取得分排序前20名，再进行其他内容的详细评审。</w:t>
            </w:r>
          </w:p>
          <w:p>
            <w:pPr>
              <w:ind w:left="227"/>
              <w:rPr>
                <w:rFonts w:hint="eastAsia" w:ascii="宋体" w:hAnsi="宋体"/>
                <w:color w:val="auto"/>
                <w:szCs w:val="21"/>
              </w:rPr>
            </w:pPr>
            <w:r>
              <w:rPr>
                <w:rFonts w:hint="eastAsia" w:ascii="宋体" w:hAnsi="宋体"/>
                <w:color w:val="auto"/>
                <w:szCs w:val="21"/>
              </w:rPr>
              <w:t>注：以上说明中的“投标报价”指“投标报价得分”的计算。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noWrap w:val="0"/>
            <w:tcMar>
              <w:top w:w="28" w:type="dxa"/>
              <w:bottom w:w="28" w:type="dxa"/>
            </w:tcMar>
            <w:vAlign w:val="center"/>
          </w:tcPr>
          <w:p>
            <w:pPr>
              <w:rPr>
                <w:rFonts w:hint="eastAsia" w:ascii="宋体" w:hAnsi="宋体"/>
                <w:color w:val="auto"/>
                <w:szCs w:val="21"/>
              </w:rPr>
            </w:pPr>
            <w:bookmarkStart w:id="701" w:name="_Toc221950448"/>
            <w:r>
              <w:rPr>
                <w:rFonts w:ascii="宋体" w:hAnsi="宋体"/>
                <w:color w:val="auto"/>
                <w:szCs w:val="21"/>
              </w:rPr>
              <w:t>2</w:t>
            </w: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r>
              <w:rPr>
                <w:rFonts w:ascii="宋体" w:hAnsi="宋体"/>
                <w:color w:val="auto"/>
                <w:szCs w:val="21"/>
              </w:rPr>
              <w:t>1</w:t>
            </w:r>
            <w:bookmarkEnd w:id="701"/>
          </w:p>
        </w:tc>
        <w:tc>
          <w:tcPr>
            <w:tcW w:w="694" w:type="dxa"/>
            <w:vMerge w:val="restart"/>
            <w:noWrap w:val="0"/>
            <w:tcMar>
              <w:top w:w="28" w:type="dxa"/>
              <w:bottom w:w="28" w:type="dxa"/>
            </w:tcMar>
            <w:vAlign w:val="center"/>
          </w:tcPr>
          <w:p>
            <w:pPr>
              <w:ind w:firstLine="14" w:firstLineChars="7"/>
              <w:jc w:val="center"/>
              <w:rPr>
                <w:rFonts w:hint="eastAsia"/>
                <w:color w:val="auto"/>
                <w:szCs w:val="21"/>
              </w:rPr>
            </w:pPr>
            <w:bookmarkStart w:id="702" w:name="_Toc221950449"/>
            <w:r>
              <w:rPr>
                <w:color w:val="auto"/>
                <w:szCs w:val="21"/>
              </w:rPr>
              <w:t>形式评审</w:t>
            </w:r>
            <w:r>
              <w:rPr>
                <w:rFonts w:hint="eastAsia"/>
                <w:color w:val="auto"/>
                <w:szCs w:val="21"/>
              </w:rPr>
              <w:t>标准</w:t>
            </w:r>
          </w:p>
          <w:bookmarkEnd w:id="702"/>
          <w:p>
            <w:pPr>
              <w:ind w:firstLine="14" w:firstLineChars="7"/>
              <w:jc w:val="center"/>
              <w:rPr>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投标文件</w:t>
            </w:r>
          </w:p>
        </w:tc>
        <w:tc>
          <w:tcPr>
            <w:tcW w:w="6420" w:type="dxa"/>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投标文件能正常</w:t>
            </w:r>
            <w:r>
              <w:rPr>
                <w:rFonts w:ascii="宋体" w:hAnsi="宋体"/>
                <w:color w:val="auto"/>
              </w:rPr>
              <w:t>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ind w:firstLine="14" w:firstLineChars="7"/>
              <w:jc w:val="center"/>
              <w:rPr>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投标人名称</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与营业执照、资质证书、安全生产许可证一致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ind w:firstLine="14" w:firstLineChars="7"/>
              <w:jc w:val="center"/>
              <w:rPr>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投标文件的签署</w:t>
            </w:r>
          </w:p>
        </w:tc>
        <w:tc>
          <w:tcPr>
            <w:tcW w:w="6420" w:type="dxa"/>
            <w:noWrap w:val="0"/>
            <w:tcMar>
              <w:top w:w="28" w:type="dxa"/>
              <w:bottom w:w="28" w:type="dxa"/>
            </w:tcMar>
            <w:vAlign w:val="center"/>
          </w:tcPr>
          <w:p>
            <w:pPr>
              <w:snapToGrid w:val="0"/>
              <w:rPr>
                <w:rFonts w:hint="eastAsia" w:ascii="宋体" w:hAnsi="宋体"/>
                <w:color w:val="auto"/>
                <w:szCs w:val="21"/>
              </w:rPr>
            </w:pPr>
            <w:r>
              <w:rPr>
                <w:rFonts w:hint="eastAsia" w:ascii="宋体" w:hAnsi="宋体"/>
                <w:color w:val="auto"/>
                <w:szCs w:val="21"/>
              </w:rPr>
              <w:t>符合第二章“投标人须知”第3.7.3（4）目规定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ind w:firstLine="14" w:firstLineChars="7"/>
              <w:jc w:val="center"/>
              <w:rPr>
                <w:color w:val="auto"/>
                <w:szCs w:val="21"/>
              </w:rPr>
            </w:pP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投标文件格式</w:t>
            </w:r>
            <w:r>
              <w:rPr>
                <w:rFonts w:ascii="宋体" w:hAnsi="宋体"/>
                <w:color w:val="auto"/>
                <w:szCs w:val="21"/>
              </w:rPr>
              <w:t>、</w:t>
            </w:r>
            <w:r>
              <w:rPr>
                <w:rFonts w:hint="eastAsia" w:ascii="宋体" w:hAnsi="宋体"/>
                <w:color w:val="auto"/>
                <w:szCs w:val="21"/>
              </w:rPr>
              <w:t>内容</w:t>
            </w:r>
          </w:p>
        </w:tc>
        <w:tc>
          <w:tcPr>
            <w:tcW w:w="6420" w:type="dxa"/>
            <w:noWrap w:val="0"/>
            <w:tcMar>
              <w:top w:w="28" w:type="dxa"/>
              <w:bottom w:w="28" w:type="dxa"/>
            </w:tcMar>
            <w:vAlign w:val="center"/>
          </w:tcPr>
          <w:p>
            <w:pPr>
              <w:snapToGrid w:val="0"/>
              <w:rPr>
                <w:rFonts w:hint="eastAsia" w:ascii="宋体" w:hAnsi="宋体"/>
                <w:color w:val="auto"/>
                <w:szCs w:val="21"/>
              </w:rPr>
            </w:pPr>
            <w:r>
              <w:rPr>
                <w:rFonts w:hint="eastAsia" w:ascii="宋体" w:hAnsi="宋体"/>
                <w:color w:val="auto"/>
                <w:szCs w:val="21"/>
              </w:rPr>
              <w:t>符合第八章“投标文件格式”的要求，</w:t>
            </w:r>
            <w:r>
              <w:rPr>
                <w:rFonts w:ascii="宋体" w:hAnsi="宋体"/>
                <w:color w:val="auto"/>
                <w:szCs w:val="21"/>
              </w:rPr>
              <w:t>实质性内容齐全、关键字迹清晰可辨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ind w:firstLine="14" w:firstLineChars="7"/>
              <w:jc w:val="center"/>
              <w:rPr>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highlight w:val="yellow"/>
              </w:rPr>
            </w:pPr>
            <w:r>
              <w:rPr>
                <w:rFonts w:hint="eastAsia" w:ascii="宋体" w:hAnsi="宋体"/>
                <w:color w:val="auto"/>
                <w:szCs w:val="21"/>
                <w:highlight w:val="yellow"/>
              </w:rPr>
              <w:t>联合体投标人（如有）</w:t>
            </w:r>
          </w:p>
        </w:tc>
        <w:tc>
          <w:tcPr>
            <w:tcW w:w="6420" w:type="dxa"/>
            <w:noWrap w:val="0"/>
            <w:tcMar>
              <w:top w:w="28" w:type="dxa"/>
              <w:bottom w:w="28" w:type="dxa"/>
            </w:tcMar>
            <w:vAlign w:val="center"/>
          </w:tcPr>
          <w:p>
            <w:pPr>
              <w:adjustRightInd w:val="0"/>
              <w:spacing w:before="72" w:beforeLines="30"/>
              <w:rPr>
                <w:rFonts w:hint="eastAsia" w:ascii="宋体" w:hAnsi="宋体" w:eastAsia="宋体"/>
                <w:color w:val="auto"/>
                <w:szCs w:val="21"/>
                <w:highlight w:val="yellow"/>
                <w:lang w:eastAsia="zh-CN"/>
              </w:rPr>
            </w:pPr>
            <w:r>
              <w:rPr>
                <w:rFonts w:hint="eastAsia" w:ascii="宋体" w:hAnsi="宋体" w:eastAsia="宋体"/>
                <w:color w:val="auto"/>
                <w:szCs w:val="21"/>
                <w:highlight w:val="yellow"/>
                <w:lang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ind w:firstLine="14" w:firstLineChars="7"/>
              <w:jc w:val="center"/>
              <w:rPr>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报价唯一</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只能有一个报价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Cs w:val="21"/>
              </w:rPr>
            </w:pPr>
          </w:p>
        </w:tc>
        <w:tc>
          <w:tcPr>
            <w:tcW w:w="694" w:type="dxa"/>
            <w:vMerge w:val="continue"/>
            <w:noWrap w:val="0"/>
            <w:tcMar>
              <w:top w:w="28" w:type="dxa"/>
              <w:bottom w:w="28" w:type="dxa"/>
            </w:tcMar>
            <w:vAlign w:val="center"/>
          </w:tcPr>
          <w:p>
            <w:pPr>
              <w:snapToGrid w:val="0"/>
              <w:rPr>
                <w:rFonts w:ascii="宋体" w:hAnsi="宋体"/>
                <w:color w:val="auto"/>
                <w:szCs w:val="21"/>
              </w:rPr>
            </w:pPr>
          </w:p>
        </w:tc>
        <w:tc>
          <w:tcPr>
            <w:tcW w:w="1764" w:type="dxa"/>
            <w:noWrap w:val="0"/>
            <w:tcMar>
              <w:top w:w="28" w:type="dxa"/>
              <w:bottom w:w="28" w:type="dxa"/>
            </w:tcMar>
            <w:vAlign w:val="center"/>
          </w:tcPr>
          <w:p>
            <w:pPr>
              <w:jc w:val="center"/>
              <w:rPr>
                <w:rFonts w:hint="eastAsia"/>
                <w:color w:val="auto"/>
                <w:szCs w:val="21"/>
              </w:rPr>
            </w:pPr>
            <w:r>
              <w:rPr>
                <w:rFonts w:hint="eastAsia"/>
                <w:color w:val="auto"/>
                <w:szCs w:val="21"/>
              </w:rPr>
              <w:t>多标段投标</w:t>
            </w:r>
          </w:p>
        </w:tc>
        <w:tc>
          <w:tcPr>
            <w:tcW w:w="6420" w:type="dxa"/>
            <w:noWrap w:val="0"/>
            <w:tcMar>
              <w:top w:w="28" w:type="dxa"/>
              <w:bottom w:w="28" w:type="dxa"/>
            </w:tcMar>
            <w:vAlign w:val="center"/>
          </w:tcPr>
          <w:p>
            <w:pPr>
              <w:rPr>
                <w:rFonts w:hint="eastAsia"/>
                <w:color w:val="auto"/>
                <w:szCs w:val="21"/>
              </w:rPr>
            </w:pPr>
            <w:r>
              <w:rPr>
                <w:rFonts w:hint="eastAsia"/>
                <w:color w:val="auto"/>
                <w:szCs w:val="21"/>
              </w:rPr>
              <w:t>符合第二章“投标人须知”第</w:t>
            </w:r>
            <w:r>
              <w:rPr>
                <w:rFonts w:hint="eastAsia" w:ascii="宋体" w:hAnsi="宋体"/>
                <w:color w:val="auto"/>
                <w:szCs w:val="21"/>
              </w:rPr>
              <w:t>10.3</w:t>
            </w:r>
            <w:r>
              <w:rPr>
                <w:rFonts w:hint="eastAsia"/>
                <w:color w:val="auto"/>
                <w:szCs w:val="21"/>
              </w:rPr>
              <w:t>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2.1.2</w:t>
            </w:r>
          </w:p>
        </w:tc>
        <w:tc>
          <w:tcPr>
            <w:tcW w:w="694" w:type="dxa"/>
            <w:vMerge w:val="restart"/>
            <w:noWrap w:val="0"/>
            <w:tcMar>
              <w:top w:w="28" w:type="dxa"/>
              <w:bottom w:w="28" w:type="dxa"/>
            </w:tcMar>
            <w:vAlign w:val="center"/>
          </w:tcPr>
          <w:p>
            <w:pPr>
              <w:rPr>
                <w:rFonts w:hint="eastAsia"/>
                <w:color w:val="auto"/>
                <w:szCs w:val="21"/>
              </w:rPr>
            </w:pPr>
            <w:r>
              <w:rPr>
                <w:rFonts w:hint="eastAsia"/>
                <w:color w:val="auto"/>
                <w:szCs w:val="21"/>
              </w:rPr>
              <w:t>资格评审标准</w:t>
            </w:r>
          </w:p>
          <w:p>
            <w:pPr>
              <w:ind w:firstLine="63" w:firstLineChars="30"/>
              <w:jc w:val="center"/>
              <w:rPr>
                <w:rFonts w:hint="eastAsia"/>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ascii="宋体" w:hAnsi="宋体"/>
                <w:color w:val="auto"/>
                <w:szCs w:val="21"/>
              </w:rPr>
              <w:t>营业执照</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ascii="宋体" w:hAnsi="宋体"/>
                <w:color w:val="auto"/>
                <w:szCs w:val="21"/>
              </w:rPr>
              <w:t>资质等级</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安全生产许可证</w:t>
            </w:r>
          </w:p>
        </w:tc>
        <w:tc>
          <w:tcPr>
            <w:tcW w:w="6420" w:type="dxa"/>
            <w:noWrap w:val="0"/>
            <w:tcMar>
              <w:top w:w="28" w:type="dxa"/>
              <w:bottom w:w="28" w:type="dxa"/>
            </w:tcMar>
            <w:vAlign w:val="center"/>
          </w:tcPr>
          <w:p>
            <w:pPr>
              <w:snapToGrid w:val="0"/>
              <w:rPr>
                <w:rFonts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企业主要负责人</w:t>
            </w:r>
          </w:p>
        </w:tc>
        <w:tc>
          <w:tcPr>
            <w:tcW w:w="6420" w:type="dxa"/>
            <w:noWrap w:val="0"/>
            <w:tcMar>
              <w:top w:w="28" w:type="dxa"/>
              <w:bottom w:w="28" w:type="dxa"/>
            </w:tcMar>
            <w:vAlign w:val="center"/>
          </w:tcPr>
          <w:p>
            <w:pPr>
              <w:snapToGrid w:val="0"/>
              <w:rPr>
                <w:rFonts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ascii="宋体" w:hAnsi="宋体"/>
                <w:color w:val="auto"/>
                <w:szCs w:val="21"/>
              </w:rPr>
              <w:t>信誉</w:t>
            </w:r>
          </w:p>
        </w:tc>
        <w:tc>
          <w:tcPr>
            <w:tcW w:w="6420" w:type="dxa"/>
            <w:noWrap w:val="0"/>
            <w:tcMar>
              <w:top w:w="28" w:type="dxa"/>
              <w:bottom w:w="28" w:type="dxa"/>
            </w:tcMar>
            <w:vAlign w:val="center"/>
          </w:tcPr>
          <w:p>
            <w:pPr>
              <w:snapToGrid w:val="0"/>
              <w:rPr>
                <w:rFonts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ascii="宋体" w:hAnsi="宋体"/>
                <w:color w:val="auto"/>
                <w:szCs w:val="21"/>
              </w:rPr>
              <w:t>业绩</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hint="eastAsia" w:ascii="宋体" w:hAnsi="宋体"/>
                <w:color w:val="auto"/>
                <w:szCs w:val="21"/>
              </w:rPr>
              <w:t>人员</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hint="eastAsia" w:ascii="宋体" w:hAnsi="宋体"/>
                <w:color w:val="auto"/>
                <w:szCs w:val="21"/>
              </w:rPr>
              <w:t>其他要求</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adjustRightInd w:val="0"/>
              <w:spacing w:before="72" w:beforeLines="30"/>
              <w:jc w:val="center"/>
              <w:rPr>
                <w:rFonts w:ascii="宋体" w:hAnsi="宋体"/>
                <w:color w:val="auto"/>
                <w:szCs w:val="21"/>
              </w:rPr>
            </w:pPr>
            <w:r>
              <w:rPr>
                <w:rFonts w:ascii="宋体" w:hAnsi="宋体"/>
                <w:color w:val="auto"/>
                <w:szCs w:val="21"/>
              </w:rPr>
              <w:t>联合体投标人</w:t>
            </w:r>
            <w:r>
              <w:rPr>
                <w:rFonts w:hint="eastAsia" w:ascii="宋体" w:hAnsi="宋体"/>
                <w:color w:val="auto"/>
                <w:szCs w:val="21"/>
              </w:rPr>
              <w:t>（如有）</w:t>
            </w:r>
          </w:p>
        </w:tc>
        <w:tc>
          <w:tcPr>
            <w:tcW w:w="6420" w:type="dxa"/>
            <w:noWrap w:val="0"/>
            <w:tcMar>
              <w:top w:w="28" w:type="dxa"/>
              <w:bottom w:w="28" w:type="dxa"/>
            </w:tcMar>
            <w:vAlign w:val="center"/>
          </w:tcPr>
          <w:p>
            <w:pPr>
              <w:snapToGrid w:val="0"/>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“投标</w:t>
            </w:r>
            <w:r>
              <w:rPr>
                <w:rFonts w:ascii="宋体" w:hAnsi="宋体"/>
                <w:color w:val="auto"/>
                <w:szCs w:val="21"/>
              </w:rPr>
              <w:t>人须知</w:t>
            </w:r>
            <w:r>
              <w:rPr>
                <w:rFonts w:hint="eastAsia"/>
                <w:color w:val="auto"/>
                <w:szCs w:val="21"/>
              </w:rPr>
              <w:t>”</w:t>
            </w:r>
            <w:r>
              <w:rPr>
                <w:rFonts w:ascii="宋体" w:hAnsi="宋体"/>
                <w:color w:val="auto"/>
                <w:szCs w:val="21"/>
              </w:rPr>
              <w:t>第1.4.</w:t>
            </w:r>
            <w:r>
              <w:rPr>
                <w:rFonts w:hint="eastAsia" w:ascii="宋体" w:hAnsi="宋体"/>
                <w:color w:val="auto"/>
                <w:szCs w:val="21"/>
              </w:rPr>
              <w:t>2项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hint="eastAsia" w:ascii="宋体" w:hAnsi="宋体"/>
                <w:color w:val="auto"/>
                <w:sz w:val="18"/>
                <w:szCs w:val="21"/>
              </w:rPr>
            </w:pPr>
          </w:p>
        </w:tc>
        <w:tc>
          <w:tcPr>
            <w:tcW w:w="694" w:type="dxa"/>
            <w:vMerge w:val="continue"/>
            <w:noWrap w:val="0"/>
            <w:tcMar>
              <w:top w:w="28" w:type="dxa"/>
              <w:bottom w:w="28" w:type="dxa"/>
            </w:tcMar>
            <w:vAlign w:val="center"/>
          </w:tcPr>
          <w:p>
            <w:pPr>
              <w:rPr>
                <w:rFonts w:hint="eastAsia"/>
                <w:color w:val="auto"/>
                <w:sz w:val="18"/>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投标人身份</w:t>
            </w:r>
          </w:p>
        </w:tc>
        <w:tc>
          <w:tcPr>
            <w:tcW w:w="6420" w:type="dxa"/>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不存在第二章“投标人须知”第1.4.3项规定的情形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rPr>
                <w:rFonts w:ascii="宋体" w:hAnsi="宋体"/>
                <w:color w:val="auto"/>
                <w:szCs w:val="21"/>
              </w:rPr>
            </w:pPr>
          </w:p>
        </w:tc>
        <w:tc>
          <w:tcPr>
            <w:tcW w:w="694" w:type="dxa"/>
            <w:vMerge w:val="continue"/>
            <w:noWrap w:val="0"/>
            <w:tcMar>
              <w:top w:w="28" w:type="dxa"/>
              <w:bottom w:w="28" w:type="dxa"/>
            </w:tcMar>
            <w:vAlign w:val="center"/>
          </w:tcPr>
          <w:p>
            <w:pP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利益冲突</w:t>
            </w:r>
          </w:p>
        </w:tc>
        <w:tc>
          <w:tcPr>
            <w:tcW w:w="6420" w:type="dxa"/>
            <w:noWrap w:val="0"/>
            <w:tcMar>
              <w:top w:w="28" w:type="dxa"/>
              <w:bottom w:w="28" w:type="dxa"/>
            </w:tcMar>
            <w:vAlign w:val="center"/>
          </w:tcPr>
          <w:p>
            <w:pPr>
              <w:rPr>
                <w:rFonts w:hint="eastAsia" w:ascii="宋体" w:hAnsi="宋体"/>
                <w:color w:val="auto"/>
                <w:szCs w:val="21"/>
              </w:rPr>
            </w:pPr>
            <w:r>
              <w:rPr>
                <w:rFonts w:hint="eastAsia" w:ascii="宋体" w:hAnsi="宋体"/>
                <w:color w:val="auto"/>
                <w:szCs w:val="21"/>
              </w:rPr>
              <w:t>不存在第二章“投标人须知”第1.4.4项规定的情形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restart"/>
            <w:noWrap w:val="0"/>
            <w:tcMar>
              <w:top w:w="28" w:type="dxa"/>
              <w:bottom w:w="28" w:type="dxa"/>
            </w:tcMar>
            <w:vAlign w:val="center"/>
          </w:tcPr>
          <w:p>
            <w:pPr>
              <w:jc w:val="center"/>
              <w:rPr>
                <w:rFonts w:hint="eastAsia" w:ascii="宋体" w:hAnsi="宋体"/>
                <w:color w:val="auto"/>
                <w:szCs w:val="21"/>
              </w:rPr>
            </w:pPr>
            <w:bookmarkStart w:id="703" w:name="_Toc221950452"/>
          </w:p>
          <w:p>
            <w:pPr>
              <w:jc w:val="center"/>
              <w:rPr>
                <w:rFonts w:hint="eastAsia" w:ascii="宋体" w:hAnsi="宋体"/>
                <w:color w:val="auto"/>
                <w:szCs w:val="21"/>
              </w:rPr>
            </w:pPr>
            <w:r>
              <w:rPr>
                <w:rFonts w:ascii="宋体" w:hAnsi="宋体"/>
                <w:color w:val="auto"/>
                <w:szCs w:val="21"/>
              </w:rPr>
              <w:t>2</w:t>
            </w:r>
            <w:r>
              <w:rPr>
                <w:rFonts w:hint="eastAsia" w:ascii="宋体" w:hAnsi="宋体"/>
                <w:color w:val="auto"/>
                <w:szCs w:val="21"/>
              </w:rPr>
              <w:t>.</w:t>
            </w:r>
            <w:r>
              <w:rPr>
                <w:rFonts w:ascii="宋体" w:hAnsi="宋体"/>
                <w:color w:val="auto"/>
                <w:szCs w:val="21"/>
              </w:rPr>
              <w:t>1</w:t>
            </w:r>
            <w:bookmarkEnd w:id="703"/>
            <w:r>
              <w:rPr>
                <w:rFonts w:hint="eastAsia" w:ascii="宋体" w:hAnsi="宋体"/>
                <w:color w:val="auto"/>
                <w:szCs w:val="21"/>
              </w:rPr>
              <w:t>.3</w:t>
            </w:r>
          </w:p>
        </w:tc>
        <w:tc>
          <w:tcPr>
            <w:tcW w:w="694" w:type="dxa"/>
            <w:vMerge w:val="restart"/>
            <w:noWrap w:val="0"/>
            <w:tcMar>
              <w:top w:w="28" w:type="dxa"/>
              <w:bottom w:w="28" w:type="dxa"/>
            </w:tcMar>
            <w:vAlign w:val="center"/>
          </w:tcPr>
          <w:p>
            <w:pPr>
              <w:jc w:val="center"/>
              <w:rPr>
                <w:rFonts w:hint="eastAsia" w:ascii="宋体" w:hAnsi="宋体"/>
                <w:color w:val="auto"/>
                <w:szCs w:val="21"/>
              </w:rPr>
            </w:pPr>
            <w:bookmarkStart w:id="704" w:name="_Toc221950453"/>
          </w:p>
          <w:p>
            <w:pPr>
              <w:jc w:val="center"/>
              <w:rPr>
                <w:rFonts w:hint="eastAsia" w:ascii="宋体" w:hAnsi="宋体"/>
                <w:color w:val="auto"/>
                <w:szCs w:val="21"/>
              </w:rPr>
            </w:pPr>
            <w:r>
              <w:rPr>
                <w:rFonts w:ascii="宋体" w:hAnsi="宋体"/>
                <w:color w:val="auto"/>
                <w:szCs w:val="21"/>
              </w:rPr>
              <w:t>响应性评审</w:t>
            </w:r>
            <w:r>
              <w:rPr>
                <w:rFonts w:hint="eastAsia" w:ascii="宋体" w:hAnsi="宋体"/>
                <w:color w:val="auto"/>
                <w:szCs w:val="21"/>
              </w:rPr>
              <w:t>标准</w:t>
            </w:r>
          </w:p>
          <w:bookmarkEnd w:id="704"/>
          <w:p>
            <w:pPr>
              <w:ind w:firstLine="63" w:firstLineChars="30"/>
              <w:jc w:val="cente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投标</w:t>
            </w:r>
            <w:r>
              <w:rPr>
                <w:rFonts w:hint="eastAsia" w:ascii="宋体" w:hAnsi="宋体"/>
                <w:color w:val="auto"/>
                <w:szCs w:val="21"/>
              </w:rPr>
              <w:t>范围</w:t>
            </w:r>
          </w:p>
        </w:tc>
        <w:tc>
          <w:tcPr>
            <w:tcW w:w="6420" w:type="dxa"/>
            <w:noWrap w:val="0"/>
            <w:tcMar>
              <w:top w:w="28" w:type="dxa"/>
              <w:bottom w:w="28" w:type="dxa"/>
            </w:tcMar>
            <w:vAlign w:val="center"/>
          </w:tcPr>
          <w:p>
            <w:pPr>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w:t>
            </w:r>
            <w:r>
              <w:rPr>
                <w:rFonts w:ascii="宋体" w:hAnsi="宋体"/>
                <w:color w:val="auto"/>
                <w:szCs w:val="21"/>
              </w:rPr>
              <w:t>投标人须知</w:t>
            </w:r>
            <w:r>
              <w:rPr>
                <w:rFonts w:hint="eastAsia"/>
                <w:color w:val="auto"/>
                <w:szCs w:val="21"/>
              </w:rPr>
              <w:t>”</w:t>
            </w:r>
            <w:r>
              <w:rPr>
                <w:rFonts w:ascii="宋体" w:hAnsi="宋体"/>
                <w:color w:val="auto"/>
                <w:szCs w:val="21"/>
              </w:rPr>
              <w:t>第1.3.1</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计划</w:t>
            </w:r>
            <w:r>
              <w:rPr>
                <w:rFonts w:ascii="宋体" w:hAnsi="宋体"/>
                <w:color w:val="auto"/>
                <w:szCs w:val="21"/>
              </w:rPr>
              <w:t>工期</w:t>
            </w:r>
          </w:p>
        </w:tc>
        <w:tc>
          <w:tcPr>
            <w:tcW w:w="6420" w:type="dxa"/>
            <w:noWrap w:val="0"/>
            <w:tcMar>
              <w:top w:w="28" w:type="dxa"/>
              <w:bottom w:w="28" w:type="dxa"/>
            </w:tcMar>
            <w:vAlign w:val="center"/>
          </w:tcPr>
          <w:p>
            <w:pPr>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w:t>
            </w:r>
            <w:r>
              <w:rPr>
                <w:rFonts w:ascii="宋体" w:hAnsi="宋体"/>
                <w:color w:val="auto"/>
                <w:szCs w:val="21"/>
              </w:rPr>
              <w:t>投标人须知</w:t>
            </w:r>
            <w:r>
              <w:rPr>
                <w:rFonts w:hint="eastAsia"/>
                <w:color w:val="auto"/>
                <w:szCs w:val="21"/>
              </w:rPr>
              <w:t>”</w:t>
            </w:r>
            <w:r>
              <w:rPr>
                <w:rFonts w:ascii="宋体" w:hAnsi="宋体"/>
                <w:color w:val="auto"/>
                <w:szCs w:val="21"/>
              </w:rPr>
              <w:t>第1.3.2</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工程质量</w:t>
            </w:r>
          </w:p>
        </w:tc>
        <w:tc>
          <w:tcPr>
            <w:tcW w:w="6420" w:type="dxa"/>
            <w:noWrap w:val="0"/>
            <w:tcMar>
              <w:top w:w="28" w:type="dxa"/>
              <w:bottom w:w="28" w:type="dxa"/>
            </w:tcMar>
            <w:vAlign w:val="center"/>
          </w:tcPr>
          <w:p>
            <w:pPr>
              <w:rPr>
                <w:rFonts w:hint="eastAsia" w:ascii="宋体" w:hAnsi="宋体"/>
                <w:color w:val="auto"/>
                <w:szCs w:val="21"/>
              </w:rPr>
            </w:pPr>
            <w:r>
              <w:rPr>
                <w:rFonts w:ascii="宋体" w:hAnsi="宋体"/>
                <w:color w:val="auto"/>
                <w:szCs w:val="21"/>
              </w:rPr>
              <w:t>符合第二章</w:t>
            </w:r>
            <w:r>
              <w:rPr>
                <w:rFonts w:hint="eastAsia" w:ascii="宋体" w:hAnsi="宋体"/>
                <w:color w:val="auto"/>
                <w:szCs w:val="21"/>
              </w:rPr>
              <w:t>“</w:t>
            </w:r>
            <w:r>
              <w:rPr>
                <w:rFonts w:ascii="宋体" w:hAnsi="宋体"/>
                <w:color w:val="auto"/>
                <w:szCs w:val="21"/>
              </w:rPr>
              <w:t>投标人须知</w:t>
            </w:r>
            <w:r>
              <w:rPr>
                <w:rFonts w:hint="eastAsia"/>
                <w:color w:val="auto"/>
                <w:szCs w:val="21"/>
              </w:rPr>
              <w:t>”</w:t>
            </w:r>
            <w:r>
              <w:rPr>
                <w:rFonts w:ascii="宋体" w:hAnsi="宋体"/>
                <w:color w:val="auto"/>
                <w:szCs w:val="21"/>
              </w:rPr>
              <w:t>第1.3.3</w:t>
            </w:r>
            <w:r>
              <w:rPr>
                <w:rFonts w:hint="eastAsia" w:ascii="宋体" w:hAnsi="宋体"/>
                <w:color w:val="auto"/>
                <w:szCs w:val="21"/>
              </w:rPr>
              <w:t>项</w:t>
            </w:r>
            <w:r>
              <w:rPr>
                <w:rFonts w:ascii="宋体" w:hAnsi="宋体"/>
                <w:color w:val="auto"/>
                <w:szCs w:val="21"/>
              </w:rPr>
              <w:t>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投标有效期</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符合第二章“投标人须知”第3.3.1项规定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投标保证金</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符合第二章“投标人须知”第3.4.1项规定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权利义务</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投标函附录中的相关承诺符合或优于</w:t>
            </w:r>
            <w:r>
              <w:rPr>
                <w:rFonts w:ascii="宋体" w:hAnsi="宋体"/>
                <w:color w:val="auto"/>
                <w:szCs w:val="21"/>
              </w:rPr>
              <w:t>第四章</w:t>
            </w:r>
            <w:r>
              <w:rPr>
                <w:rFonts w:hint="eastAsia" w:ascii="宋体" w:hAnsi="宋体"/>
                <w:color w:val="auto"/>
                <w:szCs w:val="21"/>
              </w:rPr>
              <w:t>“</w:t>
            </w:r>
            <w:r>
              <w:rPr>
                <w:rFonts w:ascii="宋体" w:hAnsi="宋体"/>
                <w:color w:val="auto"/>
                <w:szCs w:val="21"/>
              </w:rPr>
              <w:t>合同条款及格式</w:t>
            </w:r>
            <w:r>
              <w:rPr>
                <w:rFonts w:hint="eastAsia" w:ascii="宋体" w:hAnsi="宋体"/>
                <w:color w:val="auto"/>
                <w:szCs w:val="21"/>
              </w:rPr>
              <w:t>”</w:t>
            </w:r>
            <w:r>
              <w:rPr>
                <w:rFonts w:ascii="宋体" w:hAnsi="宋体"/>
                <w:color w:val="auto"/>
                <w:szCs w:val="21"/>
              </w:rPr>
              <w:t>规定的权利义务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ascii="宋体" w:hAnsi="宋体"/>
                <w:color w:val="auto"/>
                <w:szCs w:val="21"/>
              </w:rPr>
              <w:t>已标价工程量</w:t>
            </w:r>
          </w:p>
          <w:p>
            <w:pPr>
              <w:jc w:val="center"/>
              <w:rPr>
                <w:rFonts w:hint="eastAsia" w:ascii="宋体" w:hAnsi="宋体"/>
                <w:color w:val="auto"/>
                <w:szCs w:val="21"/>
              </w:rPr>
            </w:pPr>
            <w:r>
              <w:rPr>
                <w:rFonts w:ascii="宋体" w:hAnsi="宋体"/>
                <w:color w:val="auto"/>
                <w:szCs w:val="21"/>
              </w:rPr>
              <w:t>清单</w:t>
            </w:r>
          </w:p>
        </w:tc>
        <w:tc>
          <w:tcPr>
            <w:tcW w:w="6420" w:type="dxa"/>
            <w:noWrap w:val="0"/>
            <w:tcMar>
              <w:top w:w="28" w:type="dxa"/>
              <w:bottom w:w="28" w:type="dxa"/>
            </w:tcMar>
            <w:vAlign w:val="center"/>
          </w:tcPr>
          <w:p>
            <w:pPr>
              <w:numPr>
                <w:ilvl w:val="0"/>
                <w:numId w:val="4"/>
              </w:numPr>
              <w:rPr>
                <w:rFonts w:hint="eastAsia" w:ascii="宋体" w:hAnsi="宋体"/>
                <w:color w:val="auto"/>
                <w:szCs w:val="21"/>
              </w:rPr>
            </w:pPr>
            <w:r>
              <w:rPr>
                <w:rFonts w:hint="eastAsia" w:ascii="宋体" w:hAnsi="宋体"/>
                <w:color w:val="auto"/>
                <w:szCs w:val="21"/>
              </w:rPr>
              <w:t>已标价工程量清单项</w:t>
            </w:r>
            <w:r>
              <w:rPr>
                <w:rFonts w:ascii="宋体" w:hAnsi="宋体"/>
                <w:color w:val="auto"/>
                <w:szCs w:val="21"/>
              </w:rPr>
              <w:t>目</w:t>
            </w:r>
            <w:r>
              <w:rPr>
                <w:rFonts w:hint="eastAsia" w:ascii="宋体" w:hAnsi="宋体"/>
                <w:color w:val="auto"/>
                <w:szCs w:val="21"/>
              </w:rPr>
              <w:t>序号与第五章“工程量清单”给出的项</w:t>
            </w:r>
            <w:r>
              <w:rPr>
                <w:rFonts w:ascii="宋体" w:hAnsi="宋体"/>
                <w:color w:val="auto"/>
                <w:szCs w:val="21"/>
              </w:rPr>
              <w:t>目</w:t>
            </w:r>
            <w:r>
              <w:rPr>
                <w:rFonts w:hint="eastAsia" w:ascii="宋体" w:hAnsi="宋体"/>
                <w:color w:val="auto"/>
                <w:szCs w:val="21"/>
              </w:rPr>
              <w:t>序号顺序一致；</w:t>
            </w:r>
          </w:p>
          <w:p>
            <w:pPr>
              <w:numPr>
                <w:ilvl w:val="0"/>
                <w:numId w:val="4"/>
              </w:numPr>
              <w:rPr>
                <w:rFonts w:hint="eastAsia" w:ascii="宋体" w:hAnsi="宋体"/>
                <w:color w:val="auto"/>
                <w:szCs w:val="21"/>
              </w:rPr>
            </w:pPr>
            <w:r>
              <w:rPr>
                <w:rFonts w:hint="eastAsia" w:ascii="宋体" w:hAnsi="宋体"/>
                <w:color w:val="auto"/>
                <w:szCs w:val="21"/>
              </w:rPr>
              <w:t>已标价工程量清单符合第五章“工程量清单”给出的项</w:t>
            </w:r>
            <w:r>
              <w:rPr>
                <w:rFonts w:ascii="宋体" w:hAnsi="宋体"/>
                <w:color w:val="auto"/>
                <w:szCs w:val="21"/>
              </w:rPr>
              <w:t>目</w:t>
            </w:r>
            <w:r>
              <w:rPr>
                <w:rFonts w:hint="eastAsia" w:ascii="宋体" w:hAnsi="宋体"/>
                <w:color w:val="auto"/>
                <w:szCs w:val="21"/>
              </w:rPr>
              <w:t>序号</w:t>
            </w:r>
            <w:r>
              <w:rPr>
                <w:rFonts w:ascii="宋体" w:hAnsi="宋体"/>
                <w:color w:val="auto"/>
                <w:szCs w:val="21"/>
              </w:rPr>
              <w:t>、</w:t>
            </w:r>
            <w:r>
              <w:rPr>
                <w:rFonts w:hint="eastAsia" w:ascii="宋体" w:hAnsi="宋体"/>
                <w:color w:val="auto"/>
                <w:szCs w:val="21"/>
              </w:rPr>
              <w:t>项</w:t>
            </w:r>
            <w:r>
              <w:rPr>
                <w:rFonts w:ascii="宋体" w:hAnsi="宋体"/>
                <w:color w:val="auto"/>
                <w:szCs w:val="21"/>
              </w:rPr>
              <w:t>目名称</w:t>
            </w:r>
            <w:r>
              <w:rPr>
                <w:rFonts w:hint="eastAsia" w:ascii="宋体" w:hAnsi="宋体"/>
                <w:color w:val="auto"/>
                <w:szCs w:val="21"/>
              </w:rPr>
              <w:t>、</w:t>
            </w:r>
            <w:r>
              <w:rPr>
                <w:rFonts w:ascii="宋体" w:hAnsi="宋体"/>
                <w:color w:val="auto"/>
                <w:szCs w:val="21"/>
              </w:rPr>
              <w:t>计量单位和工程量</w:t>
            </w:r>
            <w:r>
              <w:rPr>
                <w:rFonts w:hint="eastAsia" w:ascii="宋体" w:hAnsi="宋体"/>
                <w:color w:val="auto"/>
                <w:szCs w:val="21"/>
              </w:rPr>
              <w:t>；</w:t>
            </w:r>
          </w:p>
          <w:p>
            <w:pPr>
              <w:numPr>
                <w:ilvl w:val="0"/>
                <w:numId w:val="4"/>
              </w:numPr>
              <w:rPr>
                <w:rFonts w:hint="eastAsia" w:ascii="宋体" w:hAnsi="宋体"/>
                <w:color w:val="auto"/>
                <w:szCs w:val="21"/>
              </w:rPr>
            </w:pPr>
            <w:r>
              <w:rPr>
                <w:rFonts w:ascii="宋体" w:hAnsi="宋体"/>
                <w:color w:val="auto"/>
                <w:szCs w:val="21"/>
              </w:rPr>
              <w:t>暂列金额</w:t>
            </w:r>
            <w:r>
              <w:rPr>
                <w:rFonts w:hint="eastAsia" w:ascii="宋体" w:hAnsi="宋体"/>
                <w:color w:val="auto"/>
                <w:szCs w:val="21"/>
              </w:rPr>
              <w:t>（如有）符合第五章“工程量清单”</w:t>
            </w:r>
            <w:r>
              <w:rPr>
                <w:rFonts w:ascii="宋体" w:hAnsi="宋体"/>
                <w:color w:val="auto"/>
                <w:szCs w:val="21"/>
              </w:rPr>
              <w:t>列出的金额</w:t>
            </w:r>
            <w:r>
              <w:rPr>
                <w:rFonts w:hint="eastAsia" w:ascii="宋体" w:hAnsi="宋体"/>
                <w:color w:val="auto"/>
                <w:szCs w:val="21"/>
              </w:rPr>
              <w:t>；</w:t>
            </w:r>
          </w:p>
          <w:p>
            <w:pPr>
              <w:numPr>
                <w:ilvl w:val="0"/>
                <w:numId w:val="4"/>
              </w:numPr>
              <w:rPr>
                <w:rFonts w:hint="eastAsia" w:ascii="宋体" w:hAnsi="宋体"/>
                <w:color w:val="auto"/>
                <w:szCs w:val="21"/>
              </w:rPr>
            </w:pPr>
            <w:r>
              <w:rPr>
                <w:rFonts w:ascii="宋体" w:hAnsi="宋体"/>
                <w:color w:val="auto"/>
                <w:szCs w:val="21"/>
              </w:rPr>
              <w:t>专业工程暂估价</w:t>
            </w:r>
            <w:r>
              <w:rPr>
                <w:rFonts w:hint="eastAsia" w:ascii="宋体" w:hAnsi="宋体"/>
                <w:color w:val="auto"/>
                <w:szCs w:val="21"/>
              </w:rPr>
              <w:t>（如有）符合第五章“工程量清单”</w:t>
            </w:r>
            <w:r>
              <w:rPr>
                <w:rFonts w:ascii="宋体" w:hAnsi="宋体"/>
                <w:color w:val="auto"/>
                <w:szCs w:val="21"/>
              </w:rPr>
              <w:t>列出的金额</w:t>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adjustRightInd w:val="0"/>
              <w:spacing w:before="72" w:beforeLines="30"/>
              <w:jc w:val="center"/>
              <w:rPr>
                <w:rFonts w:hint="eastAsia" w:ascii="宋体" w:hAnsi="宋体"/>
                <w:color w:val="auto"/>
                <w:szCs w:val="21"/>
              </w:rPr>
            </w:pPr>
            <w:r>
              <w:rPr>
                <w:rFonts w:hint="eastAsia" w:ascii="宋体" w:hAnsi="宋体"/>
                <w:color w:val="auto"/>
                <w:szCs w:val="21"/>
              </w:rPr>
              <w:t>算术错误修正</w:t>
            </w:r>
          </w:p>
        </w:tc>
        <w:tc>
          <w:tcPr>
            <w:tcW w:w="6420" w:type="dxa"/>
            <w:noWrap w:val="0"/>
            <w:tcMar>
              <w:top w:w="28" w:type="dxa"/>
              <w:bottom w:w="28" w:type="dxa"/>
            </w:tcMar>
            <w:vAlign w:val="center"/>
          </w:tcPr>
          <w:p>
            <w:pPr>
              <w:adjustRightInd w:val="0"/>
              <w:spacing w:before="72" w:beforeLines="30"/>
              <w:rPr>
                <w:rFonts w:hint="eastAsia" w:ascii="宋体" w:hAnsi="宋体"/>
                <w:color w:val="auto"/>
                <w:szCs w:val="21"/>
              </w:rPr>
            </w:pPr>
            <w:r>
              <w:rPr>
                <w:rFonts w:hint="eastAsia" w:ascii="宋体" w:hAnsi="宋体"/>
                <w:color w:val="auto"/>
                <w:szCs w:val="21"/>
              </w:rPr>
              <w:t>投标人接受算术错误修正后的报价（如有）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7" w:type="dxa"/>
            <w:vMerge w:val="continue"/>
            <w:noWrap w:val="0"/>
            <w:tcMar>
              <w:top w:w="28" w:type="dxa"/>
              <w:bottom w:w="28" w:type="dxa"/>
            </w:tcMar>
            <w:vAlign w:val="center"/>
          </w:tcPr>
          <w:p>
            <w:pPr>
              <w:jc w:val="center"/>
              <w:rPr>
                <w:rFonts w:ascii="宋体" w:hAnsi="宋体"/>
                <w:color w:val="auto"/>
                <w:szCs w:val="21"/>
              </w:rPr>
            </w:pPr>
          </w:p>
        </w:tc>
        <w:tc>
          <w:tcPr>
            <w:tcW w:w="694" w:type="dxa"/>
            <w:vMerge w:val="continue"/>
            <w:noWrap w:val="0"/>
            <w:tcMar>
              <w:top w:w="28" w:type="dxa"/>
              <w:bottom w:w="28" w:type="dxa"/>
            </w:tcMar>
            <w:vAlign w:val="center"/>
          </w:tcPr>
          <w:p>
            <w:pPr>
              <w:jc w:val="center"/>
              <w:rPr>
                <w:rFonts w:ascii="宋体" w:hAnsi="宋体"/>
                <w:color w:val="auto"/>
                <w:szCs w:val="21"/>
              </w:rPr>
            </w:pPr>
          </w:p>
        </w:tc>
        <w:tc>
          <w:tcPr>
            <w:tcW w:w="1764" w:type="dxa"/>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投标价格</w:t>
            </w:r>
          </w:p>
        </w:tc>
        <w:tc>
          <w:tcPr>
            <w:tcW w:w="6420" w:type="dxa"/>
            <w:noWrap w:val="0"/>
            <w:tcMar>
              <w:top w:w="28" w:type="dxa"/>
              <w:bottom w:w="28" w:type="dxa"/>
            </w:tcMar>
            <w:vAlign w:val="center"/>
          </w:tcPr>
          <w:p>
            <w:pPr>
              <w:numPr>
                <w:ilvl w:val="0"/>
                <w:numId w:val="5"/>
              </w:numPr>
              <w:rPr>
                <w:rFonts w:hint="eastAsia" w:ascii="宋体" w:hAnsi="宋体"/>
                <w:color w:val="auto"/>
                <w:szCs w:val="21"/>
              </w:rPr>
            </w:pPr>
            <w:r>
              <w:rPr>
                <w:rFonts w:hint="eastAsia" w:ascii="宋体" w:hAnsi="宋体"/>
                <w:color w:val="auto"/>
                <w:szCs w:val="21"/>
              </w:rPr>
              <w:t>投标函中的大写报价与已标价工程量清单中的投标总价一致；</w:t>
            </w:r>
          </w:p>
          <w:p>
            <w:pPr>
              <w:numPr>
                <w:ilvl w:val="0"/>
                <w:numId w:val="5"/>
              </w:numPr>
              <w:rPr>
                <w:rFonts w:hint="eastAsia" w:ascii="宋体" w:hAnsi="宋体"/>
                <w:color w:val="auto"/>
                <w:szCs w:val="21"/>
              </w:rPr>
            </w:pPr>
            <w:r>
              <w:rPr>
                <w:rFonts w:hint="eastAsia" w:ascii="宋体" w:hAnsi="宋体"/>
                <w:color w:val="auto"/>
                <w:szCs w:val="21"/>
              </w:rPr>
              <w:t>已标价工程量清单的投标总价与工程项目总价表的合价一致；</w:t>
            </w:r>
          </w:p>
          <w:p>
            <w:pPr>
              <w:numPr>
                <w:ilvl w:val="0"/>
                <w:numId w:val="5"/>
              </w:numPr>
              <w:rPr>
                <w:rFonts w:hint="eastAsia" w:ascii="宋体" w:hAnsi="宋体"/>
                <w:color w:val="auto"/>
                <w:szCs w:val="21"/>
              </w:rPr>
            </w:pPr>
            <w:r>
              <w:rPr>
                <w:rFonts w:hint="eastAsia"/>
                <w:color w:val="auto"/>
              </w:rPr>
              <w:t>投标人投标函中的大写报价或算术错误修正后的投标报价（如有</w:t>
            </w:r>
            <w:r>
              <w:rPr>
                <w:rFonts w:hint="eastAsia" w:ascii="宋体" w:hAnsi="宋体"/>
                <w:color w:val="auto"/>
                <w:szCs w:val="21"/>
              </w:rPr>
              <w:t>）未超过本标段最高投标限价，或一级项目报价（分组报价）未超过一级项目限价（分组限价）（如有）；</w:t>
            </w:r>
          </w:p>
          <w:p>
            <w:pPr>
              <w:numPr>
                <w:ilvl w:val="0"/>
                <w:numId w:val="5"/>
              </w:numPr>
              <w:rPr>
                <w:rFonts w:hint="eastAsia" w:ascii="宋体" w:hAnsi="宋体"/>
                <w:color w:val="auto"/>
                <w:szCs w:val="21"/>
              </w:rPr>
            </w:pPr>
            <w:r>
              <w:rPr>
                <w:rFonts w:hint="eastAsia" w:ascii="宋体" w:hAnsi="宋体"/>
                <w:color w:val="auto"/>
                <w:szCs w:val="21"/>
              </w:rPr>
              <w:t>投标报价不低于其成本。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hint="eastAsia"/>
                <w:color w:val="auto"/>
              </w:rPr>
            </w:pPr>
            <w:r>
              <w:rPr>
                <w:rFonts w:hint="eastAsia" w:ascii="宋体" w:hAnsi="宋体"/>
                <w:color w:val="auto"/>
                <w:szCs w:val="21"/>
              </w:rPr>
              <w:t>3.1.2</w:t>
            </w:r>
          </w:p>
        </w:tc>
        <w:tc>
          <w:tcPr>
            <w:tcW w:w="8184" w:type="dxa"/>
            <w:gridSpan w:val="2"/>
            <w:noWrap w:val="0"/>
            <w:tcMar>
              <w:top w:w="28" w:type="dxa"/>
              <w:bottom w:w="28" w:type="dxa"/>
            </w:tcMar>
            <w:vAlign w:val="center"/>
          </w:tcPr>
          <w:p>
            <w:pPr>
              <w:rPr>
                <w:color w:val="auto"/>
              </w:rPr>
            </w:pPr>
            <w:r>
              <w:rPr>
                <w:rFonts w:hint="eastAsia"/>
                <w:color w:val="auto"/>
                <w:szCs w:val="21"/>
              </w:rPr>
              <w:t>投标人不得存在的其他情形：</w:t>
            </w:r>
          </w:p>
          <w:p>
            <w:pPr>
              <w:numPr>
                <w:ilvl w:val="0"/>
                <w:numId w:val="6"/>
              </w:numPr>
              <w:rPr>
                <w:rFonts w:hint="eastAsia"/>
                <w:color w:val="auto"/>
              </w:rPr>
            </w:pPr>
            <w:r>
              <w:rPr>
                <w:rFonts w:hint="eastAsia"/>
                <w:color w:val="auto"/>
              </w:rPr>
              <w:t>串通投标、弄虚作假、行贿或有其他违法行为的；</w:t>
            </w:r>
          </w:p>
          <w:p>
            <w:pPr>
              <w:numPr>
                <w:ilvl w:val="0"/>
                <w:numId w:val="6"/>
              </w:numPr>
              <w:rPr>
                <w:rFonts w:hint="eastAsia" w:ascii="宋体" w:hAnsi="宋体"/>
                <w:color w:val="auto"/>
                <w:szCs w:val="21"/>
              </w:rPr>
            </w:pPr>
            <w:r>
              <w:rPr>
                <w:rFonts w:hint="eastAsia"/>
                <w:color w:val="auto"/>
              </w:rPr>
              <w:t>不按评标委员会要求澄清、说明或补正的。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snapToGrid w:val="0"/>
              <w:jc w:val="center"/>
              <w:rPr>
                <w:rFonts w:hint="eastAsia" w:ascii="宋体" w:hAnsi="宋体"/>
                <w:b/>
                <w:color w:val="auto"/>
                <w:szCs w:val="21"/>
              </w:rPr>
            </w:pPr>
            <w:r>
              <w:rPr>
                <w:rFonts w:hint="eastAsia" w:ascii="宋体" w:hAnsi="宋体"/>
                <w:b/>
                <w:color w:val="auto"/>
                <w:szCs w:val="21"/>
              </w:rPr>
              <w:t>条款号</w:t>
            </w:r>
          </w:p>
        </w:tc>
        <w:tc>
          <w:tcPr>
            <w:tcW w:w="1764" w:type="dxa"/>
            <w:noWrap w:val="0"/>
            <w:tcMar>
              <w:top w:w="28" w:type="dxa"/>
              <w:bottom w:w="28" w:type="dxa"/>
            </w:tcMar>
            <w:vAlign w:val="center"/>
          </w:tcPr>
          <w:p>
            <w:pPr>
              <w:snapToGrid w:val="0"/>
              <w:jc w:val="center"/>
              <w:rPr>
                <w:rFonts w:hint="eastAsia" w:ascii="宋体" w:hAnsi="宋体"/>
                <w:b/>
                <w:color w:val="auto"/>
                <w:szCs w:val="21"/>
              </w:rPr>
            </w:pPr>
            <w:r>
              <w:rPr>
                <w:rFonts w:hint="eastAsia" w:ascii="宋体" w:hAnsi="宋体"/>
                <w:b/>
                <w:color w:val="auto"/>
                <w:szCs w:val="21"/>
              </w:rPr>
              <w:t>条款内容</w:t>
            </w:r>
          </w:p>
        </w:tc>
        <w:tc>
          <w:tcPr>
            <w:tcW w:w="6420" w:type="dxa"/>
            <w:noWrap w:val="0"/>
            <w:tcMar>
              <w:top w:w="28" w:type="dxa"/>
              <w:bottom w:w="28" w:type="dxa"/>
            </w:tcMar>
            <w:vAlign w:val="center"/>
          </w:tcPr>
          <w:p>
            <w:pPr>
              <w:snapToGrid w:val="0"/>
              <w:jc w:val="center"/>
              <w:rPr>
                <w:rFonts w:hint="eastAsia" w:ascii="宋体" w:hAnsi="宋体"/>
                <w:b/>
                <w:color w:val="auto"/>
                <w:szCs w:val="21"/>
              </w:rPr>
            </w:pPr>
            <w:r>
              <w:rPr>
                <w:rFonts w:hint="eastAsia" w:ascii="宋体" w:hAnsi="宋体"/>
                <w:b/>
                <w:color w:val="auto"/>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ascii="宋体" w:hAnsi="宋体"/>
                <w:color w:val="auto"/>
                <w:szCs w:val="21"/>
              </w:rPr>
            </w:pPr>
            <w:bookmarkStart w:id="705" w:name="_Toc221950459"/>
            <w:r>
              <w:rPr>
                <w:rFonts w:ascii="宋体" w:hAnsi="宋体"/>
                <w:color w:val="auto"/>
                <w:szCs w:val="21"/>
              </w:rPr>
              <w:t>2</w:t>
            </w: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r>
              <w:rPr>
                <w:rFonts w:ascii="宋体" w:hAnsi="宋体"/>
                <w:color w:val="auto"/>
                <w:szCs w:val="21"/>
              </w:rPr>
              <w:t>1</w:t>
            </w:r>
            <w:bookmarkEnd w:id="705"/>
          </w:p>
        </w:tc>
        <w:tc>
          <w:tcPr>
            <w:tcW w:w="1764" w:type="dxa"/>
            <w:noWrap w:val="0"/>
            <w:tcMar>
              <w:top w:w="28" w:type="dxa"/>
              <w:bottom w:w="28" w:type="dxa"/>
            </w:tcMar>
            <w:vAlign w:val="center"/>
          </w:tcPr>
          <w:p>
            <w:pPr>
              <w:snapToGrid w:val="0"/>
              <w:jc w:val="center"/>
              <w:rPr>
                <w:rFonts w:ascii="宋体" w:hAnsi="宋体"/>
                <w:color w:val="auto"/>
                <w:szCs w:val="21"/>
                <w:highlight w:val="yellow"/>
              </w:rPr>
            </w:pPr>
            <w:bookmarkStart w:id="706" w:name="_Toc221950460"/>
            <w:r>
              <w:rPr>
                <w:rFonts w:ascii="宋体" w:hAnsi="宋体"/>
                <w:color w:val="auto"/>
                <w:szCs w:val="21"/>
                <w:highlight w:val="yellow"/>
              </w:rPr>
              <w:t>分值构成</w:t>
            </w:r>
            <w:bookmarkEnd w:id="706"/>
          </w:p>
          <w:p>
            <w:pPr>
              <w:snapToGrid w:val="0"/>
              <w:rPr>
                <w:rFonts w:ascii="宋体" w:hAnsi="宋体"/>
                <w:color w:val="auto"/>
                <w:szCs w:val="21"/>
                <w:highlight w:val="none"/>
              </w:rPr>
            </w:pPr>
            <w:bookmarkStart w:id="707" w:name="_Toc221950461"/>
            <w:r>
              <w:rPr>
                <w:rFonts w:ascii="宋体" w:hAnsi="宋体"/>
                <w:color w:val="auto"/>
                <w:szCs w:val="21"/>
                <w:highlight w:val="yellow"/>
              </w:rPr>
              <w:t>(总分</w:t>
            </w:r>
            <w:r>
              <w:rPr>
                <w:rFonts w:hint="eastAsia" w:ascii="宋体" w:hAnsi="宋体"/>
                <w:color w:val="auto"/>
                <w:szCs w:val="21"/>
                <w:highlight w:val="yellow"/>
                <w:lang w:val="en-US" w:eastAsia="zh"/>
              </w:rPr>
              <w:t>99</w:t>
            </w:r>
            <w:r>
              <w:rPr>
                <w:rFonts w:ascii="宋体" w:hAnsi="宋体"/>
                <w:color w:val="auto"/>
                <w:szCs w:val="21"/>
                <w:highlight w:val="yellow"/>
              </w:rPr>
              <w:t>分)</w:t>
            </w:r>
            <w:bookmarkEnd w:id="707"/>
          </w:p>
        </w:tc>
        <w:tc>
          <w:tcPr>
            <w:tcW w:w="6420" w:type="dxa"/>
            <w:noWrap w:val="0"/>
            <w:tcMar>
              <w:top w:w="28" w:type="dxa"/>
              <w:bottom w:w="28" w:type="dxa"/>
            </w:tcMar>
            <w:vAlign w:val="center"/>
          </w:tcPr>
          <w:p>
            <w:pPr>
              <w:snapToGrid w:val="0"/>
              <w:rPr>
                <w:rFonts w:hint="eastAsia" w:ascii="宋体" w:hAnsi="宋体"/>
                <w:color w:val="auto"/>
                <w:szCs w:val="21"/>
                <w:highlight w:val="none"/>
              </w:rPr>
            </w:pPr>
            <w:bookmarkStart w:id="708" w:name="_Toc221950462"/>
            <w:r>
              <w:rPr>
                <w:rFonts w:ascii="宋体" w:hAnsi="宋体"/>
                <w:color w:val="auto"/>
                <w:szCs w:val="21"/>
                <w:highlight w:val="none"/>
              </w:rPr>
              <w:t>施工组织设计：</w:t>
            </w:r>
            <w:r>
              <w:rPr>
                <w:rFonts w:hint="eastAsia" w:ascii="宋体" w:hAnsi="宋体"/>
                <w:color w:val="auto"/>
                <w:szCs w:val="21"/>
                <w:highlight w:val="none"/>
              </w:rPr>
              <w:t>12</w:t>
            </w:r>
            <w:r>
              <w:rPr>
                <w:rFonts w:ascii="宋体" w:hAnsi="宋体"/>
                <w:color w:val="auto"/>
                <w:szCs w:val="21"/>
                <w:highlight w:val="none"/>
              </w:rPr>
              <w:t>分</w:t>
            </w:r>
            <w:bookmarkEnd w:id="708"/>
          </w:p>
          <w:p>
            <w:pPr>
              <w:snapToGrid w:val="0"/>
              <w:rPr>
                <w:rFonts w:hint="eastAsia" w:ascii="宋体" w:hAnsi="宋体"/>
                <w:color w:val="auto"/>
                <w:szCs w:val="21"/>
                <w:highlight w:val="none"/>
              </w:rPr>
            </w:pPr>
            <w:bookmarkStart w:id="709" w:name="_Toc221950463"/>
            <w:r>
              <w:rPr>
                <w:rFonts w:ascii="宋体" w:hAnsi="宋体"/>
                <w:color w:val="auto"/>
                <w:szCs w:val="21"/>
                <w:highlight w:val="none"/>
              </w:rPr>
              <w:t>项目管理机构：</w:t>
            </w:r>
            <w:r>
              <w:rPr>
                <w:rFonts w:hint="eastAsia" w:ascii="宋体" w:hAnsi="宋体"/>
                <w:color w:val="auto"/>
                <w:szCs w:val="21"/>
                <w:highlight w:val="none"/>
              </w:rPr>
              <w:t>9</w:t>
            </w:r>
            <w:r>
              <w:rPr>
                <w:rFonts w:ascii="宋体" w:hAnsi="宋体"/>
                <w:color w:val="auto"/>
                <w:szCs w:val="21"/>
                <w:highlight w:val="none"/>
              </w:rPr>
              <w:t>分</w:t>
            </w:r>
            <w:bookmarkEnd w:id="709"/>
          </w:p>
          <w:p>
            <w:pPr>
              <w:snapToGrid w:val="0"/>
              <w:rPr>
                <w:rFonts w:hint="eastAsia" w:ascii="宋体" w:hAnsi="宋体"/>
                <w:color w:val="auto"/>
                <w:szCs w:val="21"/>
                <w:highlight w:val="none"/>
              </w:rPr>
            </w:pPr>
            <w:bookmarkStart w:id="710" w:name="_Toc221950464"/>
            <w:r>
              <w:rPr>
                <w:rFonts w:ascii="宋体" w:hAnsi="宋体"/>
                <w:color w:val="auto"/>
                <w:szCs w:val="21"/>
                <w:highlight w:val="none"/>
              </w:rPr>
              <w:t>投标报价：</w:t>
            </w:r>
            <w:r>
              <w:rPr>
                <w:rFonts w:hint="eastAsia" w:ascii="宋体" w:hAnsi="宋体"/>
                <w:color w:val="auto"/>
                <w:szCs w:val="21"/>
                <w:highlight w:val="none"/>
              </w:rPr>
              <w:t>55</w:t>
            </w:r>
            <w:r>
              <w:rPr>
                <w:rFonts w:ascii="宋体" w:hAnsi="宋体"/>
                <w:color w:val="auto"/>
                <w:szCs w:val="21"/>
                <w:highlight w:val="none"/>
              </w:rPr>
              <w:t>分</w:t>
            </w:r>
            <w:bookmarkEnd w:id="710"/>
          </w:p>
          <w:p>
            <w:pPr>
              <w:snapToGrid w:val="0"/>
              <w:rPr>
                <w:rFonts w:hint="eastAsia" w:ascii="宋体" w:hAnsi="宋体"/>
                <w:color w:val="auto"/>
                <w:szCs w:val="21"/>
                <w:highlight w:val="yellow"/>
              </w:rPr>
            </w:pPr>
            <w:bookmarkStart w:id="711" w:name="_Toc221950465"/>
            <w:r>
              <w:rPr>
                <w:rFonts w:hint="eastAsia" w:ascii="宋体" w:hAnsi="宋体"/>
                <w:color w:val="auto"/>
                <w:szCs w:val="21"/>
                <w:highlight w:val="yellow"/>
              </w:rPr>
              <w:t>市场信誉与</w:t>
            </w:r>
            <w:r>
              <w:rPr>
                <w:rFonts w:ascii="宋体" w:hAnsi="宋体"/>
                <w:color w:val="auto"/>
                <w:szCs w:val="21"/>
                <w:highlight w:val="yellow"/>
              </w:rPr>
              <w:t>业绩：1</w:t>
            </w:r>
            <w:r>
              <w:rPr>
                <w:rFonts w:hint="eastAsia" w:ascii="宋体" w:hAnsi="宋体"/>
                <w:color w:val="auto"/>
                <w:szCs w:val="21"/>
                <w:highlight w:val="yellow"/>
                <w:lang w:val="en-US" w:eastAsia="zh"/>
              </w:rPr>
              <w:t>1</w:t>
            </w:r>
            <w:r>
              <w:rPr>
                <w:rFonts w:ascii="宋体" w:hAnsi="宋体"/>
                <w:color w:val="auto"/>
                <w:szCs w:val="21"/>
                <w:highlight w:val="yellow"/>
              </w:rPr>
              <w:t>分</w:t>
            </w:r>
            <w:bookmarkEnd w:id="711"/>
          </w:p>
          <w:p>
            <w:pPr>
              <w:snapToGrid w:val="0"/>
              <w:rPr>
                <w:rFonts w:hint="eastAsia" w:ascii="宋体" w:hAnsi="宋体"/>
                <w:color w:val="auto"/>
                <w:szCs w:val="21"/>
                <w:highlight w:val="none"/>
              </w:rPr>
            </w:pPr>
            <w:r>
              <w:rPr>
                <w:rFonts w:hint="eastAsia" w:ascii="宋体" w:hAnsi="宋体"/>
                <w:color w:val="auto"/>
                <w:szCs w:val="21"/>
                <w:highlight w:val="none"/>
              </w:rPr>
              <w:t>市场信用：</w:t>
            </w:r>
            <w:r>
              <w:rPr>
                <w:rFonts w:ascii="宋体" w:hAnsi="宋体"/>
                <w:color w:val="auto"/>
                <w:szCs w:val="21"/>
                <w:highlight w:val="none"/>
              </w:rPr>
              <w:t>12</w:t>
            </w:r>
            <w:r>
              <w:rPr>
                <w:rFonts w:hint="eastAsia" w:ascii="宋体" w:hAnsi="宋体"/>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ascii="宋体" w:hAnsi="宋体"/>
                <w:color w:val="auto"/>
                <w:szCs w:val="21"/>
              </w:rPr>
            </w:pPr>
            <w:bookmarkStart w:id="712" w:name="_Toc221950466"/>
            <w:r>
              <w:rPr>
                <w:rFonts w:ascii="宋体" w:hAnsi="宋体"/>
                <w:color w:val="auto"/>
                <w:szCs w:val="21"/>
              </w:rPr>
              <w:t>2</w:t>
            </w: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r>
              <w:rPr>
                <w:rFonts w:ascii="宋体" w:hAnsi="宋体"/>
                <w:color w:val="auto"/>
                <w:szCs w:val="21"/>
              </w:rPr>
              <w:t>2</w:t>
            </w:r>
            <w:bookmarkEnd w:id="712"/>
          </w:p>
        </w:tc>
        <w:tc>
          <w:tcPr>
            <w:tcW w:w="1764" w:type="dxa"/>
            <w:noWrap w:val="0"/>
            <w:tcMar>
              <w:top w:w="28" w:type="dxa"/>
              <w:bottom w:w="28" w:type="dxa"/>
            </w:tcMar>
            <w:vAlign w:val="center"/>
          </w:tcPr>
          <w:p>
            <w:pPr>
              <w:snapToGrid w:val="0"/>
              <w:rPr>
                <w:rFonts w:ascii="宋体" w:hAnsi="宋体"/>
                <w:color w:val="auto"/>
                <w:szCs w:val="21"/>
              </w:rPr>
            </w:pPr>
            <w:bookmarkStart w:id="713" w:name="_Toc221950467"/>
            <w:r>
              <w:rPr>
                <w:rFonts w:ascii="宋体" w:hAnsi="宋体"/>
                <w:color w:val="auto"/>
                <w:szCs w:val="21"/>
              </w:rPr>
              <w:t>评标基准价计算</w:t>
            </w:r>
            <w:bookmarkEnd w:id="713"/>
          </w:p>
        </w:tc>
        <w:tc>
          <w:tcPr>
            <w:tcW w:w="6420" w:type="dxa"/>
            <w:noWrap w:val="0"/>
            <w:tcMar>
              <w:top w:w="28" w:type="dxa"/>
              <w:bottom w:w="28" w:type="dxa"/>
            </w:tcMar>
            <w:vAlign w:val="top"/>
          </w:tcPr>
          <w:p>
            <w:pPr>
              <w:snapToGrid w:val="0"/>
              <w:jc w:val="left"/>
              <w:rPr>
                <w:rFonts w:hint="eastAsia" w:ascii="宋体" w:hAnsi="宋体"/>
                <w:color w:val="auto"/>
                <w:szCs w:val="21"/>
              </w:rPr>
            </w:pPr>
            <w:r>
              <w:rPr>
                <w:rFonts w:hint="eastAsia" w:ascii="宋体" w:hAnsi="宋体"/>
                <w:color w:val="auto"/>
                <w:szCs w:val="21"/>
              </w:rPr>
              <w:t>评标基准价C按下式确定：</w:t>
            </w:r>
            <w:r>
              <w:rPr>
                <w:color w:val="auto"/>
                <w:position w:val="-56"/>
              </w:rPr>
              <w:object>
                <v:shape id="_x0000_i1025" o:spt="75" type="#_x0000_t75" style="height:54pt;width:219.75pt;" o:ole="t" filled="f" o:preferrelative="t" stroked="f" coordsize="21600,21600">
                  <v:path/>
                  <v:fill on="f" alignshape="1" focussize="0,0"/>
                  <v:stroke on="f"/>
                  <v:imagedata r:id="rId23" o:title=""/>
                  <o:lock v:ext="edit" aspectratio="t"/>
                  <w10:wrap type="none"/>
                  <w10:anchorlock/>
                </v:shape>
                <o:OLEObject Type="Embed" ProgID="Equation.3" ShapeID="_x0000_i1025" DrawAspect="Content" ObjectID="_1468075725" r:id="rId22">
                  <o:LockedField>false</o:LockedField>
                </o:OLEObject>
              </w:object>
            </w:r>
          </w:p>
          <w:p>
            <w:pPr>
              <w:snapToGrid w:val="0"/>
              <w:rPr>
                <w:rFonts w:hint="eastAsia" w:ascii="宋体" w:hAnsi="宋体"/>
                <w:color w:val="auto"/>
                <w:szCs w:val="21"/>
              </w:rPr>
            </w:pPr>
            <w:r>
              <w:rPr>
                <w:rFonts w:hint="eastAsia" w:ascii="宋体" w:hAnsi="宋体"/>
                <w:color w:val="auto"/>
                <w:szCs w:val="21"/>
              </w:rPr>
              <w:t xml:space="preserve">式中： </w:t>
            </w:r>
          </w:p>
          <w:p>
            <w:pPr>
              <w:snapToGrid w:val="0"/>
              <w:ind w:left="315" w:hanging="315" w:hangingChars="150"/>
              <w:rPr>
                <w:rFonts w:hint="eastAsia" w:ascii="宋体" w:hAnsi="宋体"/>
                <w:color w:val="auto"/>
                <w:szCs w:val="21"/>
              </w:rPr>
            </w:pPr>
            <w:r>
              <w:rPr>
                <w:rFonts w:hint="eastAsia" w:ascii="宋体" w:hAnsi="宋体"/>
                <w:color w:val="auto"/>
                <w:szCs w:val="21"/>
              </w:rPr>
              <w:t>C—评标基准价（以元为单位，保留两位小数，第三位小数四舍五入）；</w:t>
            </w:r>
          </w:p>
          <w:p>
            <w:pPr>
              <w:snapToGrid w:val="0"/>
              <w:ind w:left="315" w:hanging="315" w:hangingChars="150"/>
              <w:rPr>
                <w:rFonts w:hint="eastAsia" w:ascii="宋体" w:hAnsi="宋体"/>
                <w:color w:val="auto"/>
                <w:szCs w:val="21"/>
              </w:rPr>
            </w:pPr>
            <w:r>
              <w:rPr>
                <w:rFonts w:hint="eastAsia" w:ascii="宋体" w:hAnsi="宋体"/>
                <w:color w:val="auto"/>
                <w:szCs w:val="21"/>
              </w:rPr>
              <w:t>Bi</w:t>
            </w:r>
            <w:r>
              <w:rPr>
                <w:rFonts w:hint="eastAsia" w:ascii="宋体" w:hAnsi="宋体"/>
                <w:color w:val="auto"/>
                <w:sz w:val="18"/>
                <w:szCs w:val="18"/>
              </w:rPr>
              <w:t>—</w:t>
            </w:r>
            <w:r>
              <w:rPr>
                <w:rFonts w:hint="eastAsia" w:ascii="宋体" w:hAnsi="宋体"/>
                <w:color w:val="auto"/>
                <w:szCs w:val="21"/>
              </w:rPr>
              <w:t>参与基准价计算的投标人的有效报价（i=1，2，…，n），为初步评审合格且不低于最高限价90%的报价；</w:t>
            </w:r>
          </w:p>
          <w:p>
            <w:pPr>
              <w:snapToGrid w:val="0"/>
              <w:rPr>
                <w:rFonts w:hint="eastAsia" w:ascii="宋体" w:hAnsi="宋体"/>
                <w:color w:val="auto"/>
                <w:szCs w:val="21"/>
              </w:rPr>
            </w:pPr>
            <w:r>
              <w:rPr>
                <w:rFonts w:hint="eastAsia" w:ascii="宋体" w:hAnsi="宋体"/>
                <w:color w:val="auto"/>
                <w:szCs w:val="21"/>
              </w:rPr>
              <w:t>n—参与基准价计算的有效报价的投标人个数；</w:t>
            </w:r>
          </w:p>
          <w:p>
            <w:pPr>
              <w:snapToGrid w:val="0"/>
              <w:rPr>
                <w:rFonts w:hint="eastAsia" w:ascii="宋体" w:hAnsi="宋体"/>
                <w:color w:val="auto"/>
                <w:szCs w:val="21"/>
              </w:rPr>
            </w:pPr>
            <w:r>
              <w:rPr>
                <w:rFonts w:hint="eastAsia" w:ascii="宋体" w:hAnsi="宋体"/>
                <w:color w:val="auto"/>
                <w:szCs w:val="21"/>
              </w:rPr>
              <w:t>M—参与基准价计算的最高的投标人有效报价；</w:t>
            </w:r>
          </w:p>
          <w:p>
            <w:pPr>
              <w:snapToGrid w:val="0"/>
              <w:rPr>
                <w:rFonts w:hint="eastAsia" w:ascii="宋体" w:hAnsi="宋体"/>
                <w:color w:val="auto"/>
                <w:szCs w:val="21"/>
              </w:rPr>
            </w:pPr>
            <w:r>
              <w:rPr>
                <w:rFonts w:hint="eastAsia" w:ascii="宋体" w:hAnsi="宋体"/>
                <w:color w:val="auto"/>
                <w:szCs w:val="21"/>
              </w:rPr>
              <w:t>L—参与基准价计算的最低的投标人有效报价；</w:t>
            </w:r>
          </w:p>
          <w:p>
            <w:pPr>
              <w:snapToGrid w:val="0"/>
              <w:ind w:left="315" w:hanging="315" w:hangingChars="150"/>
              <w:rPr>
                <w:rFonts w:hint="eastAsia" w:ascii="宋体" w:hAnsi="宋体"/>
                <w:color w:val="auto"/>
                <w:szCs w:val="21"/>
              </w:rPr>
            </w:pPr>
            <w:r>
              <w:rPr>
                <w:rFonts w:hint="eastAsia" w:ascii="宋体" w:hAnsi="宋体"/>
                <w:color w:val="auto"/>
                <w:szCs w:val="21"/>
              </w:rPr>
              <w:t>j—评标基准价浮动比例值，其值为+1.0%、+0.5%、0、-0.5%、-1.0%等5个值的任意之一，具体数值在开启投标文件前，由招标人在监督人和投标人监督下，在开标现场随机抽取。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hint="eastAsia" w:ascii="宋体" w:hAnsi="宋体"/>
                <w:color w:val="auto"/>
                <w:szCs w:val="21"/>
              </w:rPr>
            </w:pPr>
            <w:r>
              <w:rPr>
                <w:rFonts w:hint="eastAsia" w:ascii="宋体" w:hAnsi="宋体"/>
                <w:color w:val="auto"/>
                <w:szCs w:val="21"/>
              </w:rPr>
              <w:t>2.2.3</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偏差率计算</w:t>
            </w:r>
          </w:p>
        </w:tc>
        <w:tc>
          <w:tcPr>
            <w:tcW w:w="6420" w:type="dxa"/>
            <w:noWrap w:val="0"/>
            <w:tcMar>
              <w:top w:w="28" w:type="dxa"/>
              <w:bottom w:w="28" w:type="dxa"/>
            </w:tcMar>
            <w:vAlign w:val="center"/>
          </w:tcPr>
          <w:p>
            <w:pPr>
              <w:snapToGrid w:val="0"/>
              <w:ind w:firstLine="420" w:firstLineChars="200"/>
              <w:rPr>
                <w:rFonts w:hint="eastAsia" w:ascii="宋体" w:hAnsi="宋体"/>
                <w:color w:val="auto"/>
                <w:szCs w:val="21"/>
              </w:rPr>
            </w:pPr>
            <w:r>
              <w:rPr>
                <w:rFonts w:ascii="宋体" w:hAnsi="宋体"/>
                <w:color w:val="auto"/>
                <w:szCs w:val="21"/>
              </w:rPr>
              <w:object>
                <v:shape id="_x0000_i1026" o:spt="75" type="#_x0000_t75" style="height:30.65pt;width:155.65pt;" o:ole="t" filled="f" o:preferrelative="t" stroked="f" coordsize="21600,21600">
                  <v:path/>
                  <v:fill on="f" alignshape="1" focussize="0,0"/>
                  <v:stroke on="f"/>
                  <v:imagedata r:id="rId25" o:title=""/>
                  <o:lock v:ext="edit" aspectratio="t"/>
                  <w10:wrap type="none"/>
                  <w10:anchorlock/>
                </v:shape>
                <o:OLEObject Type="Embed" ProgID="Equation.3" ShapeID="_x0000_i1026" DrawAspect="Content" ObjectID="_1468075726" r:id="rId24">
                  <o:LockedField>false</o:LockedField>
                </o:OLEObject>
              </w:obje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jc w:val="center"/>
              <w:rPr>
                <w:rFonts w:hint="default" w:ascii="宋体" w:hAnsi="宋体" w:eastAsia="宋体"/>
                <w:color w:val="auto"/>
                <w:szCs w:val="21"/>
                <w:lang w:val="en-US" w:eastAsia="zh-CN"/>
              </w:rPr>
            </w:pPr>
            <w:r>
              <w:rPr>
                <w:rFonts w:hint="eastAsia" w:ascii="宋体" w:hAnsi="宋体"/>
                <w:color w:val="auto"/>
                <w:szCs w:val="21"/>
                <w:lang w:val="en-US" w:eastAsia="zh-CN"/>
              </w:rPr>
              <w:t>3.2.4</w:t>
            </w:r>
          </w:p>
        </w:tc>
        <w:tc>
          <w:tcPr>
            <w:tcW w:w="1764" w:type="dxa"/>
            <w:noWrap w:val="0"/>
            <w:tcMar>
              <w:top w:w="28" w:type="dxa"/>
              <w:bottom w:w="28" w:type="dxa"/>
            </w:tcMar>
            <w:vAlign w:val="center"/>
          </w:tcPr>
          <w:p>
            <w:pPr>
              <w:snapToGrid w:val="0"/>
              <w:jc w:val="center"/>
              <w:rPr>
                <w:rFonts w:hint="eastAsia" w:ascii="宋体" w:hAnsi="宋体" w:eastAsia="宋体"/>
                <w:color w:val="auto"/>
                <w:szCs w:val="21"/>
                <w:lang w:eastAsia="zh-CN"/>
              </w:rPr>
            </w:pPr>
            <w:r>
              <w:rPr>
                <w:rFonts w:hint="eastAsia" w:ascii="宋体" w:hAnsi="宋体"/>
                <w:color w:val="auto"/>
                <w:szCs w:val="21"/>
                <w:lang w:eastAsia="zh-CN"/>
              </w:rPr>
              <w:t>投标人的最终得分计算方法</w:t>
            </w:r>
          </w:p>
        </w:tc>
        <w:tc>
          <w:tcPr>
            <w:tcW w:w="6420" w:type="dxa"/>
            <w:noWrap w:val="0"/>
            <w:tcMar>
              <w:top w:w="28" w:type="dxa"/>
              <w:bottom w:w="28" w:type="dxa"/>
            </w:tcMar>
            <w:vAlign w:val="center"/>
          </w:tcPr>
          <w:p>
            <w:pPr>
              <w:snapToGrid w:val="0"/>
              <w:ind w:firstLine="420" w:firstLineChars="200"/>
              <w:rPr>
                <w:rFonts w:hint="eastAsia" w:ascii="宋体" w:hAnsi="宋体" w:eastAsia="宋体"/>
                <w:color w:val="auto"/>
                <w:szCs w:val="21"/>
                <w:lang w:eastAsia="zh-CN"/>
              </w:rPr>
            </w:pPr>
            <w:r>
              <w:rPr>
                <w:rFonts w:hint="eastAsia" w:ascii="宋体" w:hAnsi="宋体"/>
                <w:color w:val="auto"/>
                <w:szCs w:val="21"/>
                <w:highlight w:val="yellow"/>
              </w:rPr>
              <w:t>评标委员会成员对各投标人的综合评分为其各分项得分之和</w:t>
            </w:r>
            <w:r>
              <w:rPr>
                <w:rFonts w:hint="eastAsia" w:ascii="宋体" w:hAnsi="宋体"/>
                <w:color w:val="auto"/>
                <w:szCs w:val="21"/>
                <w:highlight w:val="yellow"/>
                <w:lang w:eastAsia="zh-CN"/>
              </w:rPr>
              <w:t>（保留小数点后两位，第三位小数四舍五入）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ascii="宋体" w:hAnsi="宋体"/>
                <w:b/>
                <w:color w:val="auto"/>
                <w:szCs w:val="21"/>
              </w:rPr>
            </w:pPr>
            <w:r>
              <w:rPr>
                <w:rFonts w:hint="eastAsia" w:ascii="宋体" w:hAnsi="宋体"/>
                <w:b/>
                <w:color w:val="auto"/>
                <w:szCs w:val="21"/>
              </w:rPr>
              <w:t>条款号</w:t>
            </w:r>
          </w:p>
        </w:tc>
        <w:tc>
          <w:tcPr>
            <w:tcW w:w="1764" w:type="dxa"/>
            <w:noWrap w:val="0"/>
            <w:tcMar>
              <w:top w:w="28" w:type="dxa"/>
              <w:bottom w:w="28" w:type="dxa"/>
            </w:tcMar>
            <w:vAlign w:val="center"/>
          </w:tcPr>
          <w:p>
            <w:pPr>
              <w:snapToGrid w:val="0"/>
              <w:jc w:val="center"/>
              <w:rPr>
                <w:rFonts w:hint="eastAsia" w:ascii="宋体" w:hAnsi="宋体"/>
                <w:b/>
                <w:color w:val="auto"/>
                <w:szCs w:val="21"/>
              </w:rPr>
            </w:pPr>
            <w:r>
              <w:rPr>
                <w:rFonts w:hint="eastAsia" w:ascii="宋体" w:hAnsi="宋体"/>
                <w:b/>
                <w:color w:val="auto"/>
                <w:szCs w:val="21"/>
              </w:rPr>
              <w:t>评分因素</w:t>
            </w:r>
          </w:p>
        </w:tc>
        <w:tc>
          <w:tcPr>
            <w:tcW w:w="6420" w:type="dxa"/>
            <w:noWrap w:val="0"/>
            <w:tcMar>
              <w:top w:w="28" w:type="dxa"/>
              <w:bottom w:w="28" w:type="dxa"/>
            </w:tcMar>
            <w:vAlign w:val="center"/>
          </w:tcPr>
          <w:p>
            <w:pPr>
              <w:snapToGrid w:val="0"/>
              <w:jc w:val="center"/>
              <w:rPr>
                <w:rFonts w:ascii="宋体" w:hAnsi="宋体"/>
                <w:b/>
                <w:color w:val="auto"/>
                <w:szCs w:val="21"/>
              </w:rPr>
            </w:pPr>
            <w:r>
              <w:rPr>
                <w:rFonts w:hint="eastAsia" w:ascii="宋体" w:hAnsi="宋体"/>
                <w:b/>
                <w:color w:val="auto"/>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2.2.4（1）</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施工组织设计（0～12分）</w:t>
            </w:r>
          </w:p>
        </w:tc>
        <w:tc>
          <w:tcPr>
            <w:tcW w:w="6420" w:type="dxa"/>
            <w:noWrap w:val="0"/>
            <w:tcMar>
              <w:top w:w="28" w:type="dxa"/>
              <w:bottom w:w="28" w:type="dxa"/>
            </w:tcMar>
            <w:vAlign w:val="center"/>
          </w:tcPr>
          <w:p>
            <w:pPr>
              <w:snapToGrid w:val="0"/>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（1）</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项目理解及投标文件编制水平</w:t>
            </w:r>
          </w:p>
          <w:p>
            <w:pPr>
              <w:snapToGrid w:val="0"/>
              <w:jc w:val="center"/>
              <w:rPr>
                <w:rFonts w:hint="eastAsia" w:ascii="宋体" w:hAnsi="宋体"/>
                <w:color w:val="auto"/>
                <w:szCs w:val="21"/>
              </w:rPr>
            </w:pPr>
            <w:r>
              <w:rPr>
                <w:rFonts w:hint="eastAsia" w:ascii="宋体" w:hAnsi="宋体"/>
                <w:color w:val="auto"/>
                <w:szCs w:val="21"/>
              </w:rPr>
              <w:t>（0～2分）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对招标项目的特点、施工重点、难点进行分析，理解合同条款和技术条款并对工作范围、职责、施工条件等进行理解，分析准确、理解清晰的得1分，否则在大于或等于0且小于1分之间得分（保留一位小数，下同）；</w:t>
            </w:r>
          </w:p>
          <w:p>
            <w:pPr>
              <w:snapToGrid w:val="0"/>
              <w:ind w:left="210" w:hanging="210" w:hangingChars="100"/>
              <w:jc w:val="left"/>
              <w:rPr>
                <w:rFonts w:hint="eastAsia" w:ascii="宋体" w:hAnsi="宋体"/>
                <w:color w:val="auto"/>
                <w:szCs w:val="21"/>
              </w:rPr>
            </w:pPr>
            <w:r>
              <w:rPr>
                <w:rFonts w:hint="eastAsia" w:ascii="宋体" w:hAnsi="宋体"/>
                <w:color w:val="auto"/>
                <w:szCs w:val="21"/>
              </w:rPr>
              <w:t>②根据投标人投标文件编制水平及内容完整性（编制水平差的表现包括但不限于：编排杂乱无序、叙述答非所问、资料残缺不全、资料模糊不清、前后不一致等）好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施工总体布置（0～2分）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firstLine="420" w:firstLineChars="200"/>
              <w:jc w:val="left"/>
              <w:rPr>
                <w:rFonts w:hint="eastAsia" w:ascii="宋体" w:hAnsi="宋体"/>
                <w:color w:val="auto"/>
                <w:szCs w:val="21"/>
              </w:rPr>
            </w:pPr>
            <w:r>
              <w:rPr>
                <w:rFonts w:hint="eastAsia" w:ascii="宋体" w:hAnsi="宋体"/>
                <w:color w:val="auto"/>
                <w:szCs w:val="21"/>
              </w:rPr>
              <w:t>施工总平面布置应综合分析工程布置、主体建筑物规模、型式、特点、施工条件、施工进度、施工强度和工程所在地区社会、自然条件等因素合理规划总体布置（包括但不限于施工布置规划、生产设施设备布置、施工工厂设施布置、场内场外交通及运输、场地平整、用（排）水、供电、通信、料场及渣场规划、永久及临时用地等）。</w:t>
            </w:r>
          </w:p>
          <w:p>
            <w:pPr>
              <w:snapToGrid w:val="0"/>
              <w:ind w:left="210" w:hanging="210" w:hangingChars="100"/>
              <w:jc w:val="left"/>
              <w:rPr>
                <w:rFonts w:hint="eastAsia" w:ascii="宋体" w:hAnsi="宋体"/>
                <w:color w:val="auto"/>
                <w:szCs w:val="21"/>
              </w:rPr>
            </w:pPr>
            <w:r>
              <w:rPr>
                <w:rFonts w:hint="eastAsia" w:ascii="宋体" w:hAnsi="宋体"/>
                <w:color w:val="auto"/>
                <w:szCs w:val="21"/>
              </w:rPr>
              <w:t>①施工总体布置分析合理，符合工程实际并满足工程建设要求的得1分，否则在大于或等于0且小于1分之间得分；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②施工总体布置内容全面，并附图表和说明的得1分，否则在大于或等于0且小于1分之间得分。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（3）</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施工方案与技术措施</w:t>
            </w:r>
          </w:p>
          <w:p>
            <w:pPr>
              <w:snapToGrid w:val="0"/>
              <w:jc w:val="center"/>
              <w:rPr>
                <w:rFonts w:hint="eastAsia" w:ascii="宋体" w:hAnsi="宋体"/>
                <w:color w:val="auto"/>
                <w:szCs w:val="21"/>
              </w:rPr>
            </w:pPr>
            <w:r>
              <w:rPr>
                <w:rFonts w:hint="eastAsia" w:ascii="宋体" w:hAnsi="宋体"/>
                <w:color w:val="auto"/>
                <w:szCs w:val="21"/>
              </w:rPr>
              <w:t>（0～2分）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firstLine="420" w:firstLineChars="200"/>
              <w:jc w:val="left"/>
              <w:rPr>
                <w:rFonts w:hint="eastAsia" w:ascii="宋体" w:hAnsi="宋体"/>
                <w:color w:val="auto"/>
                <w:szCs w:val="21"/>
              </w:rPr>
            </w:pPr>
            <w:r>
              <w:rPr>
                <w:rFonts w:hint="eastAsia" w:ascii="宋体" w:hAnsi="宋体"/>
                <w:color w:val="auto"/>
                <w:szCs w:val="21"/>
              </w:rPr>
              <w:t>结合工程实际理解和分析并提出施工方案和技术措施，突出施工重点和施工难点的方案和措施。</w:t>
            </w:r>
          </w:p>
          <w:p>
            <w:pPr>
              <w:snapToGrid w:val="0"/>
              <w:ind w:left="210" w:hanging="210" w:hangingChars="100"/>
              <w:jc w:val="left"/>
              <w:rPr>
                <w:rFonts w:hint="eastAsia" w:ascii="宋体" w:hAnsi="宋体"/>
                <w:color w:val="auto"/>
                <w:szCs w:val="21"/>
              </w:rPr>
            </w:pPr>
            <w:r>
              <w:rPr>
                <w:rFonts w:hint="eastAsia" w:ascii="宋体" w:hAnsi="宋体"/>
                <w:color w:val="auto"/>
                <w:szCs w:val="21"/>
              </w:rPr>
              <w:t>①各专业工程或分部工程或施工部位之间施工次序符合工程实际的得0.5分，否则在大于或等于0且小于0.5分之间得分；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②各专业工程或各分部工程或施工部位中施工方法科学合理，施工流程、施工工艺符合相关施工规程、规范的得1分，否则在大于或等于0且小于1分之间得分；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③施工导流、度汛方案和措施（如有，水土保持、环境保护体系与措施均满足工程要求和实际需要）科学合理，且符合工程实际的得0.5分，否则在大于或等于0且小于0.5分之间得分。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（4）</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质量体系与措施</w:t>
            </w:r>
          </w:p>
          <w:p>
            <w:pPr>
              <w:snapToGrid w:val="0"/>
              <w:jc w:val="center"/>
              <w:rPr>
                <w:rFonts w:hint="eastAsia" w:ascii="宋体" w:hAnsi="宋体"/>
                <w:color w:val="auto"/>
                <w:szCs w:val="21"/>
              </w:rPr>
            </w:pPr>
            <w:r>
              <w:rPr>
                <w:rFonts w:hint="eastAsia" w:ascii="宋体" w:hAnsi="宋体"/>
                <w:color w:val="auto"/>
                <w:szCs w:val="21"/>
              </w:rPr>
              <w:t>（0～2分）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①质量管理的资源配置合理、规章制度健全、岗位职责明确具体的得0.5分，否则在大于或等于0且小于0.5分之间得分；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②各专业工程或各分部工程或施工部位的施工过程质量控制管理措施（包括但不限于工程所用原材料、中间产品、金属结构等检验）符合相关规程规范的得1分，否则在大于或等于0且小于1分之间得分；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③投标人质量评定与各阶段验收初步计划合理且保障措施合理规范的得0.5分，否则在大于或等于0且小于0.5分之间得分。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（5）</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安全生产管理体系与措施</w:t>
            </w:r>
          </w:p>
          <w:p>
            <w:pPr>
              <w:snapToGrid w:val="0"/>
              <w:jc w:val="center"/>
              <w:rPr>
                <w:rFonts w:hint="eastAsia" w:ascii="宋体" w:hAnsi="宋体"/>
                <w:color w:val="auto"/>
                <w:szCs w:val="21"/>
              </w:rPr>
            </w:pPr>
            <w:r>
              <w:rPr>
                <w:rFonts w:hint="eastAsia" w:ascii="宋体" w:hAnsi="宋体"/>
                <w:color w:val="auto"/>
                <w:szCs w:val="21"/>
              </w:rPr>
              <w:t>（0～1分）</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rPr>
            </w:pPr>
            <w:r>
              <w:rPr>
                <w:rFonts w:hint="eastAsia" w:ascii="宋体" w:hAnsi="宋体"/>
                <w:color w:val="auto"/>
                <w:szCs w:val="21"/>
              </w:rPr>
              <w:t>安全生产管理资源配置、管理制度、安全生产预案与措施均满足工程实际需要的得1分，否则在大于或等于0且小于1分之间得分。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（6）</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文明施工管理</w:t>
            </w:r>
          </w:p>
          <w:p>
            <w:pPr>
              <w:snapToGrid w:val="0"/>
              <w:jc w:val="center"/>
              <w:rPr>
                <w:rFonts w:hint="eastAsia" w:ascii="宋体" w:hAnsi="宋体"/>
                <w:color w:val="auto"/>
                <w:szCs w:val="21"/>
              </w:rPr>
            </w:pPr>
            <w:r>
              <w:rPr>
                <w:rFonts w:hint="eastAsia" w:ascii="宋体" w:hAnsi="宋体"/>
                <w:color w:val="auto"/>
                <w:szCs w:val="21"/>
              </w:rPr>
              <w:t>体系与措施</w:t>
            </w:r>
          </w:p>
          <w:p>
            <w:pPr>
              <w:snapToGrid w:val="0"/>
              <w:jc w:val="center"/>
              <w:rPr>
                <w:rFonts w:hint="eastAsia" w:ascii="宋体" w:hAnsi="宋体"/>
                <w:color w:val="auto"/>
                <w:szCs w:val="21"/>
              </w:rPr>
            </w:pPr>
            <w:r>
              <w:rPr>
                <w:rFonts w:hint="eastAsia" w:ascii="宋体" w:hAnsi="宋体"/>
                <w:color w:val="auto"/>
                <w:szCs w:val="21"/>
              </w:rPr>
              <w:t>（0～1分）</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rPr>
            </w:pPr>
            <w:r>
              <w:rPr>
                <w:rFonts w:hint="eastAsia" w:ascii="宋体" w:hAnsi="宋体"/>
                <w:color w:val="auto"/>
                <w:szCs w:val="21"/>
              </w:rPr>
              <w:t>文明施工管理资源配置、管理制度与措施均满足工程实际需要的得1分，否则在大于或等于0且小于1分之间得分。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（7）</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工程进度</w:t>
            </w:r>
          </w:p>
          <w:p>
            <w:pPr>
              <w:snapToGrid w:val="0"/>
              <w:jc w:val="center"/>
              <w:rPr>
                <w:rFonts w:hint="eastAsia" w:ascii="宋体" w:hAnsi="宋体"/>
                <w:color w:val="auto"/>
                <w:szCs w:val="21"/>
              </w:rPr>
            </w:pPr>
            <w:r>
              <w:rPr>
                <w:rFonts w:hint="eastAsia" w:ascii="宋体" w:hAnsi="宋体"/>
                <w:color w:val="auto"/>
                <w:szCs w:val="21"/>
              </w:rPr>
              <w:t>计划与措施</w:t>
            </w:r>
          </w:p>
          <w:p>
            <w:pPr>
              <w:snapToGrid w:val="0"/>
              <w:jc w:val="center"/>
              <w:rPr>
                <w:rFonts w:hint="eastAsia" w:ascii="宋体" w:hAnsi="宋体"/>
                <w:color w:val="auto"/>
                <w:szCs w:val="21"/>
              </w:rPr>
            </w:pPr>
            <w:r>
              <w:rPr>
                <w:rFonts w:hint="eastAsia" w:ascii="宋体" w:hAnsi="宋体"/>
                <w:color w:val="auto"/>
                <w:szCs w:val="21"/>
              </w:rPr>
              <w:t>（0～1分）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①进度计划科学合理，进度计划网络图中的关键线路以及各工作之间的逻辑关系标注清楚，各工作历时安排合理、符合招标文件工期要求，且有详细计算说明的得0.5分，否则在大于或等于0且小于0.5分之间得分；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②分析可能出现进度滞后的原因，并制订科学合理、可行的赶工措施的得 0.5分，否则在大于或等于0且小于0.5分之间得分。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（8）</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资源配备计划（0～1分）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①资金使用和劳动力安排计划合理且有计算说明，施工人员劳动技能培训有计划和措施且科学合理的得0.5分，否则在大于或等于0且小于0.5分之间得分；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②主要材料用量和主要施工机械设备计划合理且有计算说明的得0.5分，否则在大于或等于0且小于0.5分之间得分。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2.2.4（2）</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项目管理机构（0～9分）</w:t>
            </w:r>
          </w:p>
        </w:tc>
        <w:tc>
          <w:tcPr>
            <w:tcW w:w="6420" w:type="dxa"/>
            <w:noWrap w:val="0"/>
            <w:tcMar>
              <w:top w:w="28" w:type="dxa"/>
              <w:bottom w:w="28" w:type="dxa"/>
            </w:tcMar>
            <w:vAlign w:val="center"/>
          </w:tcPr>
          <w:p>
            <w:pPr>
              <w:snapToGrid w:val="0"/>
              <w:jc w:val="lef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（1）</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项目经理</w:t>
            </w:r>
          </w:p>
          <w:p>
            <w:pPr>
              <w:snapToGrid w:val="0"/>
              <w:jc w:val="center"/>
              <w:rPr>
                <w:rFonts w:hint="eastAsia" w:ascii="宋体" w:hAnsi="宋体"/>
                <w:color w:val="auto"/>
                <w:szCs w:val="21"/>
              </w:rPr>
            </w:pPr>
            <w:r>
              <w:rPr>
                <w:rFonts w:hint="eastAsia" w:ascii="宋体" w:hAnsi="宋体"/>
                <w:color w:val="auto"/>
                <w:szCs w:val="21"/>
              </w:rPr>
              <w:t>任职资格与业绩</w:t>
            </w:r>
          </w:p>
          <w:p>
            <w:pPr>
              <w:snapToGrid w:val="0"/>
              <w:jc w:val="center"/>
              <w:rPr>
                <w:rFonts w:hint="eastAsia" w:ascii="宋体" w:hAnsi="宋体"/>
                <w:color w:val="auto"/>
                <w:szCs w:val="21"/>
              </w:rPr>
            </w:pPr>
            <w:r>
              <w:rPr>
                <w:rFonts w:hint="eastAsia" w:ascii="宋体" w:hAnsi="宋体"/>
                <w:color w:val="auto"/>
                <w:szCs w:val="21"/>
              </w:rPr>
              <w:t>（0～3分）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①具有水利工程类专业中级及以上技术职称的得1分，其他情况得0分；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②近五年每担任过1个同类工程项目经理的得1分，最多得2分；每担任过1个类似工程项目经理的得0.5分，最多得1分；此项累计得分不超过2分。</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注：①项目经理业绩经历指履行工程项目经理时间大于合同工期一半的经历，否则视为无效项目经理业绩；</w:t>
            </w:r>
          </w:p>
          <w:p>
            <w:pPr>
              <w:snapToGrid w:val="0"/>
              <w:ind w:left="210" w:leftChars="100" w:firstLine="105" w:firstLineChars="50"/>
              <w:jc w:val="left"/>
              <w:rPr>
                <w:rFonts w:hint="eastAsia" w:ascii="宋体" w:hAnsi="宋体"/>
                <w:color w:val="auto"/>
                <w:szCs w:val="21"/>
              </w:rPr>
            </w:pPr>
            <w:r>
              <w:rPr>
                <w:rFonts w:hint="eastAsia" w:ascii="宋体" w:hAnsi="宋体"/>
                <w:color w:val="auto"/>
                <w:szCs w:val="21"/>
              </w:rPr>
              <w:t>②项目经理业绩年限从投标截止日往前推算，以合同签订的日期为准；业绩证明以湖北省水利建设市场主体信用信息平台证明材料（包括业绩汇总表以及中标通知书、合同等附件）为准。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项目经理获奖（0～2分）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按下列标准之一评分：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①近三年获地市（州）级及以上（限水利，下同）优秀项目经理奖励的得2分；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②近三年获县（市、区）优秀项目经理奖励的得1分；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③其他情况得0分。</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注：项目经理获奖年限从投标截止日往前推算，以奖励证书（或文件）发出日期为准。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（3）</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项目技术负责人</w:t>
            </w:r>
          </w:p>
          <w:p>
            <w:pPr>
              <w:snapToGrid w:val="0"/>
              <w:jc w:val="center"/>
              <w:rPr>
                <w:rFonts w:hint="eastAsia" w:ascii="宋体" w:hAnsi="宋体"/>
                <w:color w:val="auto"/>
                <w:szCs w:val="21"/>
              </w:rPr>
            </w:pPr>
            <w:r>
              <w:rPr>
                <w:rFonts w:hint="eastAsia" w:ascii="宋体" w:hAnsi="宋体"/>
                <w:color w:val="auto"/>
                <w:szCs w:val="21"/>
              </w:rPr>
              <w:t>任职资格与业绩（0～2分）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按下列标准累计评分（最多得2分）：</w:t>
            </w:r>
          </w:p>
          <w:p>
            <w:pPr>
              <w:snapToGrid w:val="0"/>
              <w:ind w:left="210" w:hanging="210" w:hangingChars="100"/>
              <w:jc w:val="left"/>
              <w:rPr>
                <w:rFonts w:hint="eastAsia" w:ascii="宋体" w:hAnsi="宋体"/>
                <w:color w:val="auto"/>
                <w:szCs w:val="21"/>
              </w:rPr>
            </w:pPr>
            <w:r>
              <w:rPr>
                <w:rFonts w:hint="eastAsia" w:ascii="宋体" w:hAnsi="宋体"/>
                <w:color w:val="auto"/>
                <w:szCs w:val="21"/>
              </w:rPr>
              <w:t xml:space="preserve">①具有水利工程类专业中级及以上技术职称的得1分，其他情况得0分； </w:t>
            </w:r>
          </w:p>
          <w:p>
            <w:pPr>
              <w:snapToGrid w:val="0"/>
              <w:ind w:left="210" w:hanging="210" w:hangingChars="100"/>
              <w:jc w:val="left"/>
              <w:rPr>
                <w:rFonts w:hint="eastAsia" w:ascii="宋体" w:hAnsi="宋体"/>
                <w:color w:val="auto"/>
                <w:szCs w:val="21"/>
              </w:rPr>
            </w:pPr>
            <w:r>
              <w:rPr>
                <w:rFonts w:hint="eastAsia" w:ascii="宋体" w:hAnsi="宋体"/>
                <w:color w:val="auto"/>
                <w:szCs w:val="21"/>
              </w:rPr>
              <w:t>②近五年每担任过1个同类工程技术负责人（或项目经理）的得1分，最高得2分；每担任过1个类似工程技术负责人（或项目经理）的得0.5分，最高得1分；此项累计得分不超过2分。</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注：①项目技术负责人业绩经历指履行工程项目技术负责人（或项目经理）时间大于合同工期一半的经历，否则视为无效项目技术负责人业绩；</w:t>
            </w:r>
          </w:p>
          <w:p>
            <w:pPr>
              <w:snapToGrid w:val="0"/>
              <w:ind w:left="210" w:leftChars="100" w:firstLine="105" w:firstLineChars="50"/>
              <w:jc w:val="left"/>
              <w:rPr>
                <w:rFonts w:hint="eastAsia" w:ascii="宋体" w:hAnsi="宋体"/>
                <w:color w:val="auto"/>
                <w:szCs w:val="21"/>
              </w:rPr>
            </w:pPr>
            <w:r>
              <w:rPr>
                <w:rFonts w:hint="eastAsia" w:ascii="宋体" w:hAnsi="宋体"/>
                <w:color w:val="auto"/>
                <w:szCs w:val="21"/>
              </w:rPr>
              <w:t>②项目技术负责人业绩年限从投标截止日往前推算，以合同签订的日期为准；业绩证明以湖北省水利建设市场主体信用信息平台证明材料（包括业绩汇总表以及合同、业主证明等附件）为准。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（4）</w:t>
            </w:r>
          </w:p>
        </w:tc>
        <w:tc>
          <w:tcPr>
            <w:tcW w:w="1764"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其他管理人员（0～2分）</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rPr>
            </w:pPr>
            <w:r>
              <w:rPr>
                <w:rFonts w:hint="eastAsia" w:ascii="宋体" w:hAnsi="宋体"/>
                <w:color w:val="auto"/>
                <w:szCs w:val="21"/>
              </w:rPr>
              <w:t>管理人员（此处不包括项目经理和技术负责人）包括五大员（安全员、施工员、质量员、材料员、资料员，下同）且不限于项目副经理、工程技术部负责人、合同管理人员、安全管理人员、财务人员等。  根据以上管理人员的工作经验、具备的相应资格证书、技术职称等综合打分，满足工程需求的得2分，否则在大于或等于0且小于2分之间得分。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2.2.4（3）</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投标报价</w:t>
            </w:r>
          </w:p>
          <w:p>
            <w:pPr>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-5</w:t>
            </w:r>
            <w:r>
              <w:rPr>
                <w:rFonts w:hint="eastAsia" w:ascii="宋体" w:hAnsi="宋体"/>
                <w:color w:val="auto"/>
                <w:szCs w:val="21"/>
              </w:rPr>
              <w:t>～55分）</w:t>
            </w:r>
          </w:p>
        </w:tc>
        <w:tc>
          <w:tcPr>
            <w:tcW w:w="6420" w:type="dxa"/>
            <w:noWrap w:val="0"/>
            <w:tcMar>
              <w:top w:w="28" w:type="dxa"/>
              <w:bottom w:w="28" w:type="dxa"/>
            </w:tcMar>
            <w:vAlign w:val="center"/>
          </w:tcPr>
          <w:p>
            <w:pPr>
              <w:snapToGrid w:val="0"/>
              <w:jc w:val="lef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（1）</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投标报价得分</w:t>
            </w:r>
          </w:p>
          <w:p>
            <w:pPr>
              <w:snapToGrid w:val="0"/>
              <w:jc w:val="center"/>
              <w:rPr>
                <w:rFonts w:hint="eastAsia" w:ascii="宋体" w:hAnsi="宋体"/>
                <w:color w:val="auto"/>
                <w:szCs w:val="21"/>
              </w:rPr>
            </w:pPr>
            <w:r>
              <w:rPr>
                <w:rFonts w:hint="eastAsia" w:ascii="宋体" w:hAnsi="宋体"/>
                <w:color w:val="auto"/>
                <w:szCs w:val="21"/>
              </w:rPr>
              <w:t>（0～55分）</w:t>
            </w:r>
          </w:p>
        </w:tc>
        <w:tc>
          <w:tcPr>
            <w:tcW w:w="6420" w:type="dxa"/>
            <w:noWrap w:val="0"/>
            <w:tcMar>
              <w:top w:w="28" w:type="dxa"/>
              <w:bottom w:w="28" w:type="dxa"/>
            </w:tcMar>
            <w:vAlign w:val="center"/>
          </w:tcPr>
          <w:p>
            <w:pPr>
              <w:snapToGrid w:val="0"/>
              <w:jc w:val="left"/>
              <w:rPr>
                <w:rFonts w:ascii="宋体" w:hAnsi="宋体"/>
                <w:color w:val="auto"/>
                <w:szCs w:val="21"/>
              </w:rPr>
            </w:pPr>
            <w:r>
              <w:rPr>
                <w:rFonts w:hint="eastAsia" w:ascii="宋体" w:hAnsi="宋体"/>
                <w:color w:val="auto"/>
                <w:szCs w:val="21"/>
              </w:rPr>
              <w:t>投标报价得分按下列公式计算：</w:t>
            </w:r>
          </w:p>
          <w:p>
            <w:pPr>
              <w:snapToGrid w:val="0"/>
              <w:jc w:val="left"/>
              <w:rPr>
                <w:rFonts w:hint="eastAsia" w:ascii="宋体" w:hAnsi="宋体"/>
                <w:color w:val="auto"/>
                <w:szCs w:val="21"/>
              </w:rPr>
            </w:pPr>
          </w:p>
          <w:p>
            <w:pPr>
              <w:snapToGrid w:val="0"/>
              <w:jc w:val="left"/>
              <w:rPr>
                <w:rFonts w:hint="eastAsia"/>
                <w:color w:val="auto"/>
              </w:rPr>
            </w:pPr>
            <w:r>
              <w:rPr>
                <w:color w:val="auto"/>
                <w:position w:val="-62"/>
              </w:rPr>
              <w:object>
                <v:shape id="_x0000_i1027" o:spt="75" type="#_x0000_t75" style="height:53.25pt;width:300.75pt;" o:ole="t" filled="f" o:preferrelative="t" stroked="f" coordsize="21600,21600">
                  <v:path/>
                  <v:fill on="f" alignshape="1" focussize="0,0"/>
                  <v:stroke on="f"/>
                  <v:imagedata r:id="rId27" o:title=""/>
                  <o:lock v:ext="edit" aspectratio="t"/>
                  <w10:wrap type="none"/>
                  <w10:anchorlock/>
                </v:shape>
                <o:OLEObject Type="Embed" ProgID="Equation.3" ShapeID="_x0000_i1027" DrawAspect="Content" ObjectID="_1468075727" r:id="rId26">
                  <o:LockedField>false</o:LockedField>
                </o:OLEObject>
              </w:object>
            </w:r>
          </w:p>
          <w:p>
            <w:pPr>
              <w:snapToGrid w:val="0"/>
              <w:jc w:val="left"/>
              <w:rPr>
                <w:rFonts w:ascii="宋体" w:hAnsi="宋体"/>
                <w:color w:val="auto"/>
                <w:szCs w:val="21"/>
              </w:rPr>
            </w:pPr>
          </w:p>
          <w:p>
            <w:pPr>
              <w:snapToGrid w:val="0"/>
              <w:jc w:val="left"/>
              <w:rPr>
                <w:rFonts w:hint="eastAsia" w:ascii="宋体" w:hAnsi="宋体"/>
                <w:color w:val="auto"/>
                <w:szCs w:val="21"/>
              </w:rPr>
            </w:pPr>
            <w:r>
              <w:rPr>
                <w:rFonts w:hint="eastAsia" w:ascii="宋体" w:hAnsi="宋体"/>
                <w:color w:val="auto"/>
                <w:szCs w:val="21"/>
              </w:rPr>
              <w:t>式中:</w:t>
            </w:r>
          </w:p>
          <w:p>
            <w:pPr>
              <w:snapToGrid w:val="0"/>
              <w:ind w:left="420" w:hanging="420" w:hangingChars="200"/>
              <w:jc w:val="left"/>
              <w:rPr>
                <w:rFonts w:hint="eastAsia" w:ascii="宋体" w:hAnsi="宋体"/>
                <w:color w:val="auto"/>
                <w:szCs w:val="21"/>
              </w:rPr>
            </w:pPr>
            <w:r>
              <w:rPr>
                <w:rFonts w:hint="eastAsia" w:ascii="宋体" w:hAnsi="宋体"/>
                <w:color w:val="auto"/>
                <w:szCs w:val="21"/>
              </w:rPr>
              <w:t>Fi—第i个投标人的报价得分（保留两位小数，小数点后第三位四舍五入），如果得分计算后小于或等于0分，则按0分计；</w:t>
            </w:r>
          </w:p>
          <w:p>
            <w:pPr>
              <w:snapToGrid w:val="0"/>
              <w:ind w:left="420" w:hanging="420" w:hangingChars="200"/>
              <w:jc w:val="left"/>
              <w:rPr>
                <w:rFonts w:hint="eastAsia" w:ascii="宋体" w:hAnsi="宋体"/>
                <w:color w:val="auto"/>
                <w:szCs w:val="21"/>
              </w:rPr>
            </w:pPr>
            <w:r>
              <w:rPr>
                <w:rFonts w:hint="eastAsia" w:ascii="宋体" w:hAnsi="宋体"/>
                <w:color w:val="auto"/>
                <w:szCs w:val="21"/>
              </w:rPr>
              <w:t>Bi—第i个投标人的报价（所有初步评审合格投标文件的报价，包括低于90%A的报价）；</w:t>
            </w:r>
          </w:p>
          <w:p>
            <w:pPr>
              <w:snapToGrid w:val="0"/>
              <w:jc w:val="left"/>
              <w:rPr>
                <w:rFonts w:hint="eastAsia" w:ascii="宋体" w:hAnsi="宋体"/>
                <w:color w:val="auto"/>
                <w:szCs w:val="21"/>
              </w:rPr>
            </w:pPr>
            <w:r>
              <w:rPr>
                <w:rFonts w:hint="eastAsia" w:ascii="宋体" w:hAnsi="宋体"/>
                <w:color w:val="auto"/>
                <w:szCs w:val="21"/>
              </w:rPr>
              <w:t>C—评标基准价；</w:t>
            </w:r>
          </w:p>
          <w:p>
            <w:pPr>
              <w:snapToGrid w:val="0"/>
              <w:jc w:val="left"/>
              <w:rPr>
                <w:rFonts w:hint="eastAsia" w:ascii="宋体" w:hAnsi="宋体"/>
                <w:color w:val="auto"/>
                <w:szCs w:val="21"/>
              </w:rPr>
            </w:pPr>
            <w:r>
              <w:rPr>
                <w:rFonts w:hint="eastAsia" w:ascii="宋体" w:hAnsi="宋体"/>
                <w:color w:val="auto"/>
                <w:szCs w:val="21"/>
              </w:rPr>
              <w:t>A—最高限价。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投标单价的一致性（扣分制）</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rPr>
            </w:pPr>
            <w:r>
              <w:rPr>
                <w:rFonts w:hint="eastAsia" w:ascii="宋体" w:hAnsi="宋体"/>
                <w:color w:val="auto"/>
                <w:szCs w:val="21"/>
              </w:rPr>
              <w:t>单价分析表中的单价与投标报价汇总表中对应的单价每一处不一致的扣0.5分，最多扣2分。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highlight w:val="yellow"/>
              </w:rPr>
            </w:pPr>
            <w:r>
              <w:rPr>
                <w:rFonts w:hint="eastAsia" w:ascii="宋体" w:hAnsi="宋体"/>
                <w:color w:val="auto"/>
                <w:szCs w:val="21"/>
                <w:highlight w:val="yellow"/>
              </w:rPr>
              <w:t>（3）</w:t>
            </w:r>
          </w:p>
        </w:tc>
        <w:tc>
          <w:tcPr>
            <w:tcW w:w="1764" w:type="dxa"/>
            <w:noWrap w:val="0"/>
            <w:tcMar>
              <w:top w:w="28" w:type="dxa"/>
              <w:bottom w:w="28" w:type="dxa"/>
            </w:tcMar>
            <w:vAlign w:val="center"/>
          </w:tcPr>
          <w:p>
            <w:pPr>
              <w:snapToGrid w:val="0"/>
              <w:jc w:val="center"/>
              <w:rPr>
                <w:rFonts w:hint="eastAsia" w:ascii="宋体" w:hAnsi="宋体"/>
                <w:color w:val="auto"/>
                <w:szCs w:val="21"/>
                <w:highlight w:val="yellow"/>
              </w:rPr>
            </w:pPr>
            <w:r>
              <w:rPr>
                <w:rFonts w:hint="eastAsia" w:ascii="宋体" w:hAnsi="宋体"/>
                <w:color w:val="auto"/>
                <w:szCs w:val="21"/>
                <w:highlight w:val="yellow"/>
              </w:rPr>
              <w:t>投标报价的合理性（扣分制）</w:t>
            </w:r>
          </w:p>
        </w:tc>
        <w:tc>
          <w:tcPr>
            <w:tcW w:w="6420" w:type="dxa"/>
            <w:noWrap w:val="0"/>
            <w:tcMar>
              <w:top w:w="28" w:type="dxa"/>
              <w:bottom w:w="28" w:type="dxa"/>
            </w:tcMar>
            <w:vAlign w:val="center"/>
          </w:tcPr>
          <w:p>
            <w:pPr>
              <w:snapToGrid w:val="0"/>
              <w:jc w:val="left"/>
              <w:rPr>
                <w:rFonts w:hint="eastAsia" w:ascii="宋体" w:hAnsi="宋体"/>
                <w:color w:val="auto"/>
                <w:szCs w:val="21"/>
                <w:highlight w:val="yellow"/>
              </w:rPr>
            </w:pPr>
            <w:r>
              <w:rPr>
                <w:rFonts w:hint="eastAsia" w:ascii="宋体" w:hAnsi="宋体"/>
                <w:color w:val="auto"/>
                <w:szCs w:val="21"/>
                <w:highlight w:val="yellow"/>
              </w:rPr>
              <w:t>按下列标准累计扣分（最多扣3分）：</w:t>
            </w:r>
          </w:p>
          <w:p>
            <w:pPr>
              <w:snapToGrid w:val="0"/>
              <w:jc w:val="left"/>
              <w:rPr>
                <w:rFonts w:hint="eastAsia" w:ascii="宋体" w:hAnsi="宋体"/>
                <w:color w:val="auto"/>
                <w:szCs w:val="21"/>
                <w:highlight w:val="yellow"/>
              </w:rPr>
            </w:pPr>
            <w:r>
              <w:rPr>
                <w:rFonts w:hint="eastAsia" w:ascii="宋体" w:hAnsi="宋体"/>
                <w:color w:val="auto"/>
                <w:szCs w:val="21"/>
                <w:highlight w:val="yellow"/>
              </w:rPr>
              <w:t>①投标报价中每出现一处漏项或并量的扣1分；</w:t>
            </w:r>
          </w:p>
          <w:p>
            <w:pPr>
              <w:snapToGrid w:val="0"/>
              <w:ind w:left="210" w:hanging="210" w:hangingChars="100"/>
              <w:jc w:val="left"/>
              <w:rPr>
                <w:rFonts w:hint="eastAsia" w:ascii="宋体" w:hAnsi="宋体"/>
                <w:color w:val="auto"/>
                <w:szCs w:val="21"/>
                <w:highlight w:val="yellow"/>
              </w:rPr>
            </w:pPr>
            <w:r>
              <w:rPr>
                <w:rFonts w:hint="eastAsia" w:ascii="宋体" w:hAnsi="宋体"/>
                <w:color w:val="auto"/>
                <w:szCs w:val="21"/>
                <w:highlight w:val="yellow"/>
              </w:rPr>
              <w:t>②单价分析表中，单价每出现一处单价明显偏高或偏低的扣0.5分；</w:t>
            </w:r>
          </w:p>
          <w:p>
            <w:pPr>
              <w:snapToGrid w:val="0"/>
              <w:ind w:left="210" w:hanging="210" w:hangingChars="100"/>
              <w:jc w:val="left"/>
              <w:rPr>
                <w:rFonts w:ascii="宋体" w:hAnsi="宋体"/>
                <w:color w:val="auto"/>
                <w:szCs w:val="21"/>
                <w:highlight w:val="yellow"/>
              </w:rPr>
            </w:pPr>
            <w:r>
              <w:rPr>
                <w:rFonts w:hint="eastAsia" w:ascii="宋体" w:hAnsi="宋体"/>
                <w:color w:val="auto"/>
                <w:szCs w:val="21"/>
                <w:highlight w:val="yellow"/>
              </w:rPr>
              <w:t>③投标报价中，未对安全措施费单独报价，或安全生产措施费的分项报价不合理的扣1分。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2.2.4（4）</w:t>
            </w:r>
          </w:p>
        </w:tc>
        <w:tc>
          <w:tcPr>
            <w:tcW w:w="1764" w:type="dxa"/>
            <w:noWrap w:val="0"/>
            <w:tcMar>
              <w:top w:w="28" w:type="dxa"/>
              <w:bottom w:w="28" w:type="dxa"/>
            </w:tcMar>
            <w:vAlign w:val="center"/>
          </w:tcPr>
          <w:p>
            <w:pPr>
              <w:snapToGrid w:val="0"/>
              <w:jc w:val="center"/>
              <w:rPr>
                <w:rFonts w:hint="eastAsia" w:ascii="宋体" w:hAnsi="宋体"/>
                <w:color w:val="auto"/>
                <w:szCs w:val="21"/>
                <w:highlight w:val="yellow"/>
              </w:rPr>
            </w:pPr>
            <w:r>
              <w:rPr>
                <w:rFonts w:hint="eastAsia" w:ascii="宋体" w:hAnsi="宋体"/>
                <w:color w:val="auto"/>
                <w:szCs w:val="21"/>
                <w:highlight w:val="yellow"/>
              </w:rPr>
              <w:t>市场信誉与</w:t>
            </w:r>
            <w:r>
              <w:rPr>
                <w:rFonts w:ascii="宋体" w:hAnsi="宋体"/>
                <w:color w:val="auto"/>
                <w:szCs w:val="21"/>
                <w:highlight w:val="yellow"/>
              </w:rPr>
              <w:t>业绩</w:t>
            </w:r>
          </w:p>
          <w:p>
            <w:pPr>
              <w:snapToGrid w:val="0"/>
              <w:jc w:val="center"/>
              <w:rPr>
                <w:rFonts w:hint="eastAsia" w:ascii="宋体" w:hAnsi="宋体"/>
                <w:color w:val="auto"/>
                <w:szCs w:val="21"/>
              </w:rPr>
            </w:pPr>
            <w:r>
              <w:rPr>
                <w:rFonts w:hint="eastAsia" w:ascii="宋体" w:hAnsi="宋体"/>
                <w:color w:val="auto"/>
                <w:szCs w:val="21"/>
                <w:highlight w:val="yellow"/>
              </w:rPr>
              <w:t>（上限</w:t>
            </w:r>
            <w:r>
              <w:rPr>
                <w:rFonts w:ascii="宋体" w:hAnsi="宋体"/>
                <w:color w:val="auto"/>
                <w:szCs w:val="21"/>
                <w:highlight w:val="yellow"/>
              </w:rPr>
              <w:t>1</w:t>
            </w:r>
            <w:r>
              <w:rPr>
                <w:rFonts w:hint="eastAsia" w:ascii="宋体" w:hAnsi="宋体"/>
                <w:color w:val="auto"/>
                <w:szCs w:val="21"/>
                <w:highlight w:val="yellow"/>
                <w:lang w:val="en-US" w:eastAsia="zh"/>
              </w:rPr>
              <w:t>1</w:t>
            </w:r>
            <w:r>
              <w:rPr>
                <w:rFonts w:hint="eastAsia" w:ascii="宋体" w:hAnsi="宋体"/>
                <w:color w:val="auto"/>
                <w:szCs w:val="21"/>
                <w:highlight w:val="yellow"/>
              </w:rPr>
              <w:t>分）</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rPr>
            </w:pPr>
            <w:r>
              <w:rPr>
                <w:rFonts w:hint="eastAsia" w:ascii="宋体" w:hAnsi="宋体"/>
                <w:color w:val="auto"/>
                <w:szCs w:val="21"/>
              </w:rPr>
              <w:t>针对安全生产标准化、获得奖励等评分项，评标委员会根据相应的评审标准进行评审。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安全生产标准化（0～2分）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按下列标准之一评分：</w:t>
            </w:r>
          </w:p>
          <w:p>
            <w:pPr>
              <w:snapToGrid w:val="0"/>
              <w:jc w:val="left"/>
              <w:rPr>
                <w:rFonts w:hint="eastAsia" w:ascii="宋体" w:hAnsi="宋体"/>
                <w:color w:val="auto"/>
                <w:szCs w:val="21"/>
              </w:rPr>
            </w:pPr>
            <w:r>
              <w:rPr>
                <w:rFonts w:hint="eastAsia" w:ascii="宋体" w:hAnsi="宋体"/>
                <w:color w:val="auto"/>
                <w:szCs w:val="21"/>
              </w:rPr>
              <w:t>①施工企业为水利安全生产标准化二级及</w:t>
            </w:r>
            <w:r>
              <w:rPr>
                <w:rFonts w:ascii="宋体" w:hAnsi="宋体"/>
                <w:color w:val="auto"/>
                <w:szCs w:val="21"/>
              </w:rPr>
              <w:t>以上</w:t>
            </w:r>
            <w:r>
              <w:rPr>
                <w:rFonts w:hint="eastAsia" w:ascii="宋体" w:hAnsi="宋体"/>
                <w:color w:val="auto"/>
                <w:szCs w:val="21"/>
              </w:rPr>
              <w:t>企业的得2分；</w:t>
            </w:r>
          </w:p>
          <w:p>
            <w:pPr>
              <w:snapToGrid w:val="0"/>
              <w:jc w:val="left"/>
              <w:rPr>
                <w:rFonts w:hint="eastAsia" w:ascii="宋体" w:hAnsi="宋体"/>
                <w:color w:val="auto"/>
                <w:szCs w:val="21"/>
              </w:rPr>
            </w:pPr>
            <w:r>
              <w:rPr>
                <w:rFonts w:hint="eastAsia" w:ascii="宋体" w:hAnsi="宋体"/>
                <w:color w:val="auto"/>
                <w:szCs w:val="21"/>
              </w:rPr>
              <w:t>②施工企业为水利安全生产标准化三级企业的得1分；</w:t>
            </w:r>
          </w:p>
          <w:p>
            <w:pPr>
              <w:snapToGrid w:val="0"/>
              <w:jc w:val="left"/>
              <w:rPr>
                <w:rFonts w:hint="eastAsia" w:ascii="宋体" w:hAnsi="宋体"/>
                <w:color w:val="auto"/>
                <w:szCs w:val="21"/>
              </w:rPr>
            </w:pPr>
            <w:r>
              <w:rPr>
                <w:rFonts w:hint="eastAsia" w:ascii="宋体" w:hAnsi="宋体"/>
                <w:color w:val="auto"/>
                <w:szCs w:val="21"/>
              </w:rPr>
              <w:t>③其他情况得0分。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611" w:type="dxa"/>
            <w:gridSpan w:val="2"/>
            <w:noWrap w:val="0"/>
            <w:tcMar>
              <w:top w:w="28" w:type="dxa"/>
              <w:bottom w:w="28" w:type="dxa"/>
            </w:tcMar>
            <w:vAlign w:val="center"/>
          </w:tcPr>
          <w:p>
            <w:pPr>
              <w:adjustRightInd w:val="0"/>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highlight w:val="yellow"/>
              </w:rPr>
            </w:pPr>
            <w:r>
              <w:rPr>
                <w:rFonts w:hint="eastAsia" w:ascii="宋体" w:hAnsi="宋体"/>
                <w:color w:val="auto"/>
                <w:szCs w:val="21"/>
                <w:highlight w:val="yellow"/>
              </w:rPr>
              <w:t>获得奖励</w:t>
            </w:r>
          </w:p>
          <w:p>
            <w:pPr>
              <w:snapToGrid w:val="0"/>
              <w:jc w:val="center"/>
              <w:rPr>
                <w:rFonts w:hint="eastAsia" w:ascii="宋体" w:hAnsi="宋体"/>
                <w:color w:val="auto"/>
                <w:szCs w:val="21"/>
              </w:rPr>
            </w:pPr>
            <w:r>
              <w:rPr>
                <w:rFonts w:hint="eastAsia" w:ascii="宋体" w:hAnsi="宋体"/>
                <w:color w:val="auto"/>
                <w:szCs w:val="21"/>
                <w:highlight w:val="yellow"/>
              </w:rPr>
              <w:t>（0～</w:t>
            </w:r>
            <w:r>
              <w:rPr>
                <w:rFonts w:hint="eastAsia" w:ascii="宋体" w:hAnsi="宋体"/>
                <w:color w:val="auto"/>
                <w:szCs w:val="21"/>
                <w:highlight w:val="yellow"/>
                <w:lang w:val="en-US" w:eastAsia="zh"/>
              </w:rPr>
              <w:t>2</w:t>
            </w:r>
            <w:r>
              <w:rPr>
                <w:rFonts w:hint="eastAsia" w:ascii="宋体" w:hAnsi="宋体"/>
                <w:color w:val="auto"/>
                <w:szCs w:val="21"/>
                <w:highlight w:val="yellow"/>
              </w:rPr>
              <w:t>分）</w:t>
            </w:r>
          </w:p>
        </w:tc>
        <w:tc>
          <w:tcPr>
            <w:tcW w:w="6420" w:type="dxa"/>
            <w:noWrap w:val="0"/>
            <w:tcMar>
              <w:top w:w="28" w:type="dxa"/>
              <w:bottom w:w="28" w:type="dxa"/>
            </w:tcMar>
            <w:vAlign w:val="center"/>
          </w:tcPr>
          <w:p>
            <w:pPr>
              <w:snapToGrid w:val="0"/>
              <w:spacing w:after="120" w:afterLines="50"/>
              <w:jc w:val="left"/>
              <w:rPr>
                <w:rFonts w:hint="eastAsia" w:ascii="宋体" w:hAnsi="宋体"/>
                <w:color w:val="auto"/>
                <w:szCs w:val="21"/>
              </w:rPr>
            </w:pPr>
            <w:r>
              <w:rPr>
                <w:rFonts w:hint="eastAsia" w:ascii="宋体" w:hAnsi="宋体"/>
                <w:color w:val="auto"/>
                <w:szCs w:val="21"/>
              </w:rPr>
              <w:t>按下列标准累计评分：</w:t>
            </w:r>
          </w:p>
          <w:p>
            <w:pPr>
              <w:snapToGrid w:val="0"/>
              <w:jc w:val="left"/>
              <w:rPr>
                <w:rFonts w:hint="eastAsia" w:ascii="宋体" w:hAnsi="宋体"/>
                <w:color w:val="auto"/>
                <w:szCs w:val="21"/>
                <w:highlight w:val="none"/>
              </w:rPr>
            </w:pPr>
            <w:r>
              <w:rPr>
                <w:rFonts w:hint="eastAsia" w:ascii="宋体" w:hAnsi="宋体"/>
                <w:color w:val="auto"/>
                <w:szCs w:val="21"/>
                <w:highlight w:val="none"/>
              </w:rPr>
              <w:t>①施工的水利工程近三年获得省级及</w:t>
            </w:r>
            <w:r>
              <w:rPr>
                <w:rFonts w:ascii="宋体" w:hAnsi="宋体"/>
                <w:color w:val="auto"/>
                <w:szCs w:val="21"/>
                <w:highlight w:val="none"/>
              </w:rPr>
              <w:t>以上</w:t>
            </w:r>
            <w:r>
              <w:rPr>
                <w:rFonts w:hint="eastAsia" w:ascii="宋体" w:hAnsi="宋体"/>
                <w:color w:val="auto"/>
                <w:szCs w:val="21"/>
                <w:highlight w:val="none"/>
              </w:rPr>
              <w:t>（如大禹奖、鲁班奖、</w:t>
            </w:r>
            <w:r>
              <w:rPr>
                <w:rFonts w:ascii="宋体" w:hAnsi="宋体"/>
                <w:color w:val="auto"/>
                <w:szCs w:val="21"/>
                <w:highlight w:val="none"/>
              </w:rPr>
              <w:t>江汉杯、楚天杯</w:t>
            </w:r>
            <w:r>
              <w:rPr>
                <w:rFonts w:hint="eastAsia" w:ascii="宋体" w:hAnsi="宋体"/>
                <w:color w:val="auto"/>
                <w:szCs w:val="21"/>
                <w:highlight w:val="none"/>
              </w:rPr>
              <w:t>）优质工程奖的得2分(最多</w:t>
            </w:r>
            <w:r>
              <w:rPr>
                <w:rFonts w:ascii="宋体" w:hAnsi="宋体"/>
                <w:color w:val="auto"/>
                <w:szCs w:val="21"/>
                <w:highlight w:val="none"/>
              </w:rPr>
              <w:t>得</w:t>
            </w:r>
            <w:r>
              <w:rPr>
                <w:rFonts w:hint="eastAsia" w:ascii="宋体" w:hAnsi="宋体"/>
                <w:color w:val="auto"/>
                <w:szCs w:val="21"/>
                <w:highlight w:val="none"/>
              </w:rPr>
              <w:t>2分)；</w:t>
            </w:r>
          </w:p>
          <w:p>
            <w:pPr>
              <w:snapToGrid w:val="0"/>
              <w:jc w:val="left"/>
              <w:rPr>
                <w:rFonts w:hint="eastAsia" w:ascii="宋体" w:hAnsi="宋体"/>
                <w:color w:val="auto"/>
                <w:szCs w:val="21"/>
              </w:rPr>
            </w:pPr>
            <w:r>
              <w:rPr>
                <w:rFonts w:hint="eastAsia" w:ascii="宋体" w:hAnsi="宋体"/>
                <w:color w:val="auto"/>
                <w:szCs w:val="21"/>
                <w:highlight w:val="yellow"/>
              </w:rPr>
              <w:t>②其他情况得0分</w:t>
            </w:r>
            <w:r>
              <w:rPr>
                <w:rFonts w:hint="eastAsia" w:ascii="宋体" w:hAnsi="宋体"/>
                <w:color w:val="auto"/>
                <w:szCs w:val="21"/>
              </w:rPr>
              <w:t>。</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注：①获得奖励的年限从投标截止日往前推算，以获奖证书或称号发出日期为准；</w:t>
            </w:r>
          </w:p>
          <w:p>
            <w:pPr>
              <w:snapToGrid w:val="0"/>
              <w:spacing w:before="120" w:beforeLines="50"/>
              <w:ind w:left="210" w:leftChars="100" w:firstLine="105" w:firstLineChars="50"/>
              <w:jc w:val="left"/>
              <w:rPr>
                <w:rFonts w:hint="eastAsia" w:ascii="宋体" w:hAnsi="宋体"/>
                <w:color w:val="auto"/>
                <w:szCs w:val="21"/>
              </w:rPr>
            </w:pPr>
            <w:r>
              <w:rPr>
                <w:rFonts w:hint="eastAsia" w:ascii="宋体" w:hAnsi="宋体"/>
                <w:color w:val="auto"/>
                <w:szCs w:val="21"/>
              </w:rPr>
              <w:t>②同一工程获得多个奖项的，仅选择得分较高的一个奖项参与评分，同一级别的奖项只取一项。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611" w:type="dxa"/>
            <w:gridSpan w:val="2"/>
            <w:noWrap w:val="0"/>
            <w:tcMar>
              <w:top w:w="28" w:type="dxa"/>
              <w:bottom w:w="28" w:type="dxa"/>
            </w:tcMar>
            <w:vAlign w:val="center"/>
          </w:tcPr>
          <w:p>
            <w:pPr>
              <w:snapToGrid w:val="0"/>
              <w:jc w:val="center"/>
              <w:rPr>
                <w:rFonts w:hint="eastAsia" w:ascii="宋体" w:hAnsi="宋体"/>
                <w:color w:val="auto"/>
                <w:szCs w:val="21"/>
                <w:highlight w:val="yellow"/>
              </w:rPr>
            </w:pPr>
            <w:r>
              <w:rPr>
                <w:rFonts w:hint="eastAsia" w:ascii="宋体" w:hAnsi="宋体"/>
                <w:color w:val="auto"/>
                <w:szCs w:val="21"/>
                <w:highlight w:val="yellow"/>
              </w:rPr>
              <w:t>（</w:t>
            </w:r>
            <w:r>
              <w:rPr>
                <w:rFonts w:ascii="宋体" w:hAnsi="宋体"/>
                <w:color w:val="auto"/>
                <w:szCs w:val="21"/>
                <w:highlight w:val="yellow"/>
              </w:rPr>
              <w:t>3</w:t>
            </w:r>
            <w:r>
              <w:rPr>
                <w:rFonts w:hint="eastAsia" w:ascii="宋体" w:hAnsi="宋体"/>
                <w:color w:val="auto"/>
                <w:szCs w:val="21"/>
                <w:highlight w:val="yellow"/>
              </w:rPr>
              <w:t>）</w:t>
            </w:r>
          </w:p>
        </w:tc>
        <w:tc>
          <w:tcPr>
            <w:tcW w:w="1764" w:type="dxa"/>
            <w:noWrap w:val="0"/>
            <w:tcMar>
              <w:top w:w="28" w:type="dxa"/>
              <w:bottom w:w="28" w:type="dxa"/>
            </w:tcMar>
            <w:vAlign w:val="center"/>
          </w:tcPr>
          <w:p>
            <w:pPr>
              <w:snapToGrid w:val="0"/>
              <w:jc w:val="center"/>
              <w:rPr>
                <w:rFonts w:hint="eastAsia" w:ascii="宋体" w:hAnsi="宋体"/>
                <w:color w:val="auto"/>
                <w:szCs w:val="21"/>
                <w:highlight w:val="yellow"/>
              </w:rPr>
            </w:pPr>
            <w:r>
              <w:rPr>
                <w:rFonts w:hint="eastAsia" w:ascii="宋体" w:hAnsi="宋体"/>
                <w:color w:val="auto"/>
                <w:szCs w:val="21"/>
                <w:highlight w:val="yellow"/>
              </w:rPr>
              <w:t>管理体系认证</w:t>
            </w:r>
          </w:p>
          <w:p>
            <w:pPr>
              <w:snapToGrid w:val="0"/>
              <w:jc w:val="center"/>
              <w:rPr>
                <w:rFonts w:hint="eastAsia" w:ascii="宋体" w:hAnsi="宋体"/>
                <w:color w:val="auto"/>
                <w:szCs w:val="21"/>
                <w:highlight w:val="yellow"/>
              </w:rPr>
            </w:pPr>
            <w:r>
              <w:rPr>
                <w:rFonts w:hint="eastAsia" w:ascii="宋体" w:hAnsi="宋体"/>
                <w:color w:val="auto"/>
                <w:szCs w:val="21"/>
                <w:highlight w:val="yellow"/>
              </w:rPr>
              <w:t>（0～</w:t>
            </w:r>
            <w:r>
              <w:rPr>
                <w:rFonts w:ascii="宋体" w:hAnsi="宋体"/>
                <w:color w:val="auto"/>
                <w:szCs w:val="21"/>
                <w:highlight w:val="yellow"/>
              </w:rPr>
              <w:t>1</w:t>
            </w:r>
            <w:r>
              <w:rPr>
                <w:rFonts w:hint="eastAsia" w:ascii="宋体" w:hAnsi="宋体"/>
                <w:color w:val="auto"/>
                <w:szCs w:val="21"/>
                <w:highlight w:val="yellow"/>
              </w:rPr>
              <w:t>分）</w:t>
            </w:r>
          </w:p>
        </w:tc>
        <w:tc>
          <w:tcPr>
            <w:tcW w:w="6420" w:type="dxa"/>
            <w:noWrap w:val="0"/>
            <w:tcMar>
              <w:top w:w="28" w:type="dxa"/>
              <w:bottom w:w="28" w:type="dxa"/>
            </w:tcMar>
            <w:vAlign w:val="center"/>
          </w:tcPr>
          <w:p>
            <w:pPr>
              <w:snapToGrid w:val="0"/>
              <w:ind w:firstLine="315" w:firstLineChars="150"/>
              <w:jc w:val="left"/>
              <w:rPr>
                <w:rFonts w:hint="eastAsia" w:ascii="宋体" w:hAnsi="宋体"/>
                <w:color w:val="auto"/>
                <w:szCs w:val="21"/>
                <w:highlight w:val="yellow"/>
              </w:rPr>
            </w:pPr>
            <w:r>
              <w:rPr>
                <w:rFonts w:hint="eastAsia" w:ascii="宋体" w:hAnsi="宋体"/>
                <w:color w:val="auto"/>
                <w:szCs w:val="21"/>
                <w:highlight w:val="yellow"/>
              </w:rPr>
              <w:t>同时通过IS09001质量管理体系认证、IS014001环境管理体系认证、IS045001或OHSAS18001职业健康安全管理体系认证且开标之日在有效期内的得1分，否则得0分。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611" w:type="dxa"/>
            <w:gridSpan w:val="2"/>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4</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守合同</w:t>
            </w:r>
          </w:p>
          <w:p>
            <w:pPr>
              <w:snapToGrid w:val="0"/>
              <w:jc w:val="center"/>
              <w:rPr>
                <w:rFonts w:hint="eastAsia" w:ascii="宋体" w:hAnsi="宋体"/>
                <w:color w:val="auto"/>
                <w:szCs w:val="21"/>
              </w:rPr>
            </w:pPr>
            <w:r>
              <w:rPr>
                <w:rFonts w:hint="eastAsia" w:ascii="宋体" w:hAnsi="宋体"/>
                <w:color w:val="auto"/>
                <w:szCs w:val="21"/>
              </w:rPr>
              <w:t>重信用证书</w:t>
            </w:r>
          </w:p>
          <w:p>
            <w:pPr>
              <w:snapToGrid w:val="0"/>
              <w:jc w:val="center"/>
              <w:rPr>
                <w:rFonts w:hint="eastAsia" w:ascii="宋体" w:hAnsi="宋体"/>
                <w:color w:val="auto"/>
                <w:szCs w:val="21"/>
              </w:rPr>
            </w:pPr>
            <w:r>
              <w:rPr>
                <w:rFonts w:hint="eastAsia" w:ascii="宋体" w:hAnsi="宋体"/>
                <w:color w:val="auto"/>
                <w:szCs w:val="21"/>
              </w:rPr>
              <w:t>（0～1分）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按下列标准之一评分：</w:t>
            </w:r>
          </w:p>
          <w:p>
            <w:pPr>
              <w:snapToGrid w:val="0"/>
              <w:jc w:val="left"/>
              <w:rPr>
                <w:rFonts w:ascii="宋体" w:hAnsi="宋体"/>
                <w:color w:val="auto"/>
                <w:szCs w:val="21"/>
              </w:rPr>
            </w:pPr>
            <w:r>
              <w:rPr>
                <w:rFonts w:hint="eastAsia" w:ascii="宋体" w:hAnsi="宋体"/>
                <w:color w:val="auto"/>
                <w:szCs w:val="21"/>
              </w:rPr>
              <w:t>①近三年（从投标截止日往前推算，下同）获得省级</w:t>
            </w:r>
            <w:r>
              <w:rPr>
                <w:rFonts w:ascii="宋体" w:hAnsi="宋体"/>
                <w:color w:val="auto"/>
                <w:szCs w:val="21"/>
              </w:rPr>
              <w:t>及以上</w:t>
            </w:r>
            <w:r>
              <w:rPr>
                <w:rFonts w:hint="eastAsia" w:ascii="宋体" w:hAnsi="宋体"/>
                <w:color w:val="auto"/>
                <w:szCs w:val="21"/>
              </w:rPr>
              <w:t>工商行政管理部门（市场监管部门）或人民政府或</w:t>
            </w:r>
            <w:r>
              <w:rPr>
                <w:rFonts w:ascii="宋体" w:hAnsi="宋体"/>
                <w:color w:val="auto"/>
                <w:szCs w:val="21"/>
              </w:rPr>
              <w:t>省级及以上</w:t>
            </w:r>
            <w:r>
              <w:rPr>
                <w:rFonts w:hint="eastAsia" w:ascii="宋体" w:hAnsi="宋体"/>
                <w:color w:val="auto"/>
                <w:szCs w:val="21"/>
              </w:rPr>
              <w:t>工商行政管理部门（市场监管部门）与相关行业协会共同颁发的守合同重信用证书（且开标之日在有效期内的，下同）的得1分；</w:t>
            </w:r>
          </w:p>
          <w:p>
            <w:pPr>
              <w:snapToGrid w:val="0"/>
              <w:jc w:val="left"/>
              <w:rPr>
                <w:rFonts w:hint="eastAsia" w:ascii="宋体" w:hAnsi="宋体"/>
                <w:color w:val="auto"/>
                <w:szCs w:val="21"/>
              </w:rPr>
            </w:pPr>
            <w:r>
              <w:rPr>
                <w:rFonts w:hint="eastAsia" w:ascii="宋体" w:hAnsi="宋体"/>
                <w:color w:val="auto"/>
                <w:szCs w:val="21"/>
              </w:rPr>
              <w:t>②近三年获得市工商行政管理部门（市场监管部门）或市工商行政管理部门（市场监管部门）与相关行业协会共同颁发的守合同重信用证书的得</w:t>
            </w:r>
            <w:r>
              <w:rPr>
                <w:rFonts w:ascii="宋体" w:hAnsi="宋体"/>
                <w:color w:val="auto"/>
                <w:szCs w:val="21"/>
              </w:rPr>
              <w:t>0.5</w:t>
            </w:r>
            <w:r>
              <w:rPr>
                <w:rFonts w:hint="eastAsia" w:ascii="宋体" w:hAnsi="宋体"/>
                <w:color w:val="auto"/>
                <w:szCs w:val="21"/>
              </w:rPr>
              <w:t>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③其他情况得0分。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611" w:type="dxa"/>
            <w:gridSpan w:val="2"/>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5</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投标人业绩</w:t>
            </w:r>
          </w:p>
          <w:p>
            <w:pPr>
              <w:snapToGrid w:val="0"/>
              <w:jc w:val="center"/>
              <w:rPr>
                <w:rFonts w:hint="eastAsia" w:ascii="宋体" w:hAnsi="宋体"/>
                <w:color w:val="auto"/>
                <w:szCs w:val="21"/>
              </w:rPr>
            </w:pPr>
            <w:r>
              <w:rPr>
                <w:rFonts w:hint="eastAsia" w:ascii="宋体" w:hAnsi="宋体"/>
                <w:color w:val="auto"/>
                <w:szCs w:val="21"/>
              </w:rPr>
              <w:t>（0～</w:t>
            </w:r>
            <w:r>
              <w:rPr>
                <w:rFonts w:ascii="宋体" w:hAnsi="宋体"/>
                <w:color w:val="auto"/>
                <w:szCs w:val="21"/>
              </w:rPr>
              <w:t>4</w:t>
            </w:r>
            <w:r>
              <w:rPr>
                <w:rFonts w:hint="eastAsia" w:ascii="宋体" w:hAnsi="宋体"/>
                <w:color w:val="auto"/>
                <w:szCs w:val="21"/>
              </w:rPr>
              <w:t>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按下列标准累计评分（最多得</w:t>
            </w:r>
            <w:r>
              <w:rPr>
                <w:rFonts w:ascii="宋体" w:hAnsi="宋体"/>
                <w:color w:val="auto"/>
                <w:szCs w:val="21"/>
              </w:rPr>
              <w:t>4</w:t>
            </w:r>
            <w:r>
              <w:rPr>
                <w:rFonts w:hint="eastAsia" w:ascii="宋体" w:hAnsi="宋体"/>
                <w:color w:val="auto"/>
                <w:szCs w:val="21"/>
              </w:rPr>
              <w:t>分）：</w:t>
            </w:r>
          </w:p>
          <w:p>
            <w:pPr>
              <w:snapToGrid w:val="0"/>
              <w:jc w:val="left"/>
              <w:rPr>
                <w:rFonts w:hint="eastAsia" w:ascii="宋体" w:hAnsi="宋体"/>
                <w:color w:val="auto"/>
                <w:szCs w:val="21"/>
              </w:rPr>
            </w:pPr>
            <w:r>
              <w:rPr>
                <w:rFonts w:hint="eastAsia" w:ascii="宋体" w:hAnsi="宋体"/>
                <w:color w:val="auto"/>
                <w:szCs w:val="21"/>
              </w:rPr>
              <w:t>①近五年每承接过1个同类工程的得2分，最多得</w:t>
            </w:r>
            <w:r>
              <w:rPr>
                <w:rFonts w:ascii="宋体" w:hAnsi="宋体"/>
                <w:color w:val="auto"/>
                <w:szCs w:val="21"/>
              </w:rPr>
              <w:t>4</w:t>
            </w:r>
            <w:r>
              <w:rPr>
                <w:rFonts w:hint="eastAsia" w:ascii="宋体" w:hAnsi="宋体"/>
                <w:color w:val="auto"/>
                <w:szCs w:val="21"/>
              </w:rPr>
              <w:t>分；</w:t>
            </w:r>
          </w:p>
          <w:p>
            <w:pPr>
              <w:snapToGrid w:val="0"/>
              <w:jc w:val="left"/>
              <w:rPr>
                <w:rFonts w:hint="eastAsia" w:ascii="宋体" w:hAnsi="宋体"/>
                <w:color w:val="auto"/>
                <w:szCs w:val="21"/>
              </w:rPr>
            </w:pPr>
            <w:r>
              <w:rPr>
                <w:rFonts w:hint="eastAsia" w:ascii="宋体" w:hAnsi="宋体"/>
                <w:color w:val="auto"/>
                <w:szCs w:val="21"/>
              </w:rPr>
              <w:t>②近五年每承接过1个类似工程的得1分，最多得</w:t>
            </w:r>
            <w:r>
              <w:rPr>
                <w:rFonts w:ascii="宋体" w:hAnsi="宋体"/>
                <w:color w:val="auto"/>
                <w:szCs w:val="21"/>
              </w:rPr>
              <w:t>2</w:t>
            </w:r>
            <w:r>
              <w:rPr>
                <w:rFonts w:hint="eastAsia" w:ascii="宋体" w:hAnsi="宋体"/>
                <w:color w:val="auto"/>
                <w:szCs w:val="21"/>
              </w:rPr>
              <w:t>分。</w:t>
            </w:r>
          </w:p>
          <w:p>
            <w:pPr>
              <w:pStyle w:val="13"/>
              <w:rPr>
                <w:rFonts w:hint="eastAsia" w:ascii="宋体" w:hAnsi="宋体"/>
                <w:color w:val="auto"/>
                <w:szCs w:val="21"/>
              </w:rPr>
            </w:pPr>
            <w:r>
              <w:rPr>
                <w:rFonts w:hint="eastAsia" w:ascii="宋体" w:hAnsi="宋体"/>
                <w:color w:val="auto"/>
                <w:szCs w:val="21"/>
              </w:rPr>
              <w:t>注：投标人业绩年限从投标截止日往前推算，以合同签订的日期为准；业绩证明以湖北省水利建设市场主体信用信息平台证明材料（包括业绩汇总表以及中标通知书、合同等附件）为准；评标委员会只对投标人提交的业绩汇总表中前二个同类、类似业绩进行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611" w:type="dxa"/>
            <w:gridSpan w:val="2"/>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6</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承诺</w:t>
            </w:r>
          </w:p>
          <w:p>
            <w:pPr>
              <w:snapToGrid w:val="0"/>
              <w:jc w:val="center"/>
              <w:rPr>
                <w:rFonts w:hint="eastAsia" w:ascii="宋体" w:hAnsi="宋体"/>
                <w:color w:val="auto"/>
                <w:szCs w:val="21"/>
              </w:rPr>
            </w:pPr>
            <w:r>
              <w:rPr>
                <w:rFonts w:hint="eastAsia" w:ascii="宋体" w:hAnsi="宋体"/>
                <w:color w:val="auto"/>
                <w:szCs w:val="21"/>
              </w:rPr>
              <w:t>（0～1分）</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按下列标准累计评分：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①承诺施工过程中保障施工人员权益（包括但不限于为施工人员办理相关保险、不拖欠施工人员工资、保障施工人员福利等）的得0.5分，否则得0分；</w:t>
            </w:r>
          </w:p>
          <w:p>
            <w:pPr>
              <w:snapToGrid w:val="0"/>
              <w:spacing w:before="120" w:beforeLines="50"/>
              <w:ind w:left="210" w:hanging="210" w:hangingChars="100"/>
              <w:jc w:val="left"/>
              <w:rPr>
                <w:rFonts w:ascii="宋体" w:hAnsi="宋体"/>
                <w:color w:val="auto"/>
                <w:szCs w:val="21"/>
              </w:rPr>
            </w:pPr>
            <w:r>
              <w:rPr>
                <w:rFonts w:hint="eastAsia" w:ascii="宋体" w:hAnsi="宋体"/>
                <w:color w:val="auto"/>
                <w:szCs w:val="21"/>
              </w:rPr>
              <w:t>②承诺施工过程中保证项目经理和技术负责人月驻工地时间、不随意更换项目经理和技术负责人的得0.5分，否则得0分。</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注：①、②所述承诺须具有具体的违约处罚措施（不得低于招标文件专用合同条款的要求）才得分，否则得0分。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611" w:type="dxa"/>
            <w:gridSpan w:val="2"/>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w:t>
            </w:r>
            <w:r>
              <w:rPr>
                <w:rFonts w:ascii="宋体" w:hAnsi="宋体"/>
                <w:color w:val="auto"/>
                <w:szCs w:val="21"/>
              </w:rPr>
              <w:t>7</w:t>
            </w:r>
            <w:r>
              <w:rPr>
                <w:rFonts w:hint="eastAsia" w:ascii="宋体" w:hAnsi="宋体"/>
                <w:color w:val="auto"/>
                <w:szCs w:val="21"/>
              </w:rPr>
              <w:t>）</w:t>
            </w:r>
          </w:p>
        </w:tc>
        <w:tc>
          <w:tcPr>
            <w:tcW w:w="1764" w:type="dxa"/>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不良行为处罚及质量或安全事故（扣分制）</w:t>
            </w:r>
          </w:p>
        </w:tc>
        <w:tc>
          <w:tcPr>
            <w:tcW w:w="6420" w:type="dxa"/>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按下列标准累计扣分，扣分不设下限：</w:t>
            </w:r>
          </w:p>
          <w:p>
            <w:pPr>
              <w:snapToGrid w:val="0"/>
              <w:jc w:val="left"/>
              <w:rPr>
                <w:rFonts w:hint="eastAsia" w:ascii="宋体" w:hAnsi="宋体"/>
                <w:color w:val="auto"/>
                <w:szCs w:val="21"/>
              </w:rPr>
            </w:pPr>
            <w:r>
              <w:rPr>
                <w:rFonts w:hint="eastAsia" w:ascii="宋体" w:hAnsi="宋体"/>
                <w:color w:val="auto"/>
                <w:szCs w:val="21"/>
              </w:rPr>
              <w:t>①投标人或拟任项目经理、拟任技术负责人因不良行为受到县级及以上行政监督管理部门的处罚或不良行为记录（含不良行为通报批评，下同），投标截止后仍在处罚期限内的，每出现一次扣</w:t>
            </w:r>
            <w:r>
              <w:rPr>
                <w:rFonts w:ascii="宋体" w:hAnsi="宋体"/>
                <w:color w:val="auto"/>
                <w:szCs w:val="21"/>
              </w:rPr>
              <w:t>2</w:t>
            </w:r>
            <w:r>
              <w:rPr>
                <w:rFonts w:hint="eastAsia" w:ascii="宋体" w:hAnsi="宋体"/>
                <w:color w:val="auto"/>
                <w:szCs w:val="21"/>
              </w:rPr>
              <w:t>分。</w:t>
            </w:r>
          </w:p>
          <w:p>
            <w:pPr>
              <w:snapToGrid w:val="0"/>
              <w:ind w:left="210" w:hanging="210" w:hangingChars="100"/>
              <w:jc w:val="left"/>
              <w:rPr>
                <w:rFonts w:hint="eastAsia" w:ascii="宋体" w:hAnsi="宋体"/>
                <w:color w:val="auto"/>
                <w:szCs w:val="21"/>
              </w:rPr>
            </w:pPr>
            <w:r>
              <w:rPr>
                <w:rFonts w:hint="eastAsia" w:ascii="宋体" w:hAnsi="宋体"/>
                <w:color w:val="auto"/>
                <w:szCs w:val="21"/>
              </w:rPr>
              <w:t>②投标人近三年（从投标截止日往前推算）承建的项目发生过较大安全生产事故或较大质量事故的扣3分，发生过一般安全生产事故或一般质量事故的扣2分。</w:t>
            </w:r>
          </w:p>
          <w:p>
            <w:pPr>
              <w:snapToGrid w:val="0"/>
              <w:spacing w:before="120" w:beforeLines="50"/>
              <w:ind w:left="210" w:hanging="210" w:hangingChars="100"/>
              <w:jc w:val="left"/>
              <w:rPr>
                <w:rFonts w:hint="eastAsia" w:ascii="宋体" w:hAnsi="宋体"/>
                <w:color w:val="auto"/>
                <w:szCs w:val="21"/>
              </w:rPr>
            </w:pPr>
            <w:r>
              <w:rPr>
                <w:rFonts w:hint="eastAsia" w:ascii="宋体" w:hAnsi="宋体"/>
                <w:color w:val="auto"/>
                <w:szCs w:val="21"/>
              </w:rPr>
              <w:t>注：①不良行为记录及处罚等情况，评标委员会可委托招标代理机构查询并提供评标委员会统一讨论认可；</w:t>
            </w:r>
          </w:p>
          <w:p>
            <w:pPr>
              <w:snapToGrid w:val="0"/>
              <w:ind w:left="210" w:leftChars="100" w:firstLine="105" w:firstLineChars="50"/>
              <w:jc w:val="left"/>
              <w:rPr>
                <w:rFonts w:hint="eastAsia" w:ascii="宋体" w:hAnsi="宋体"/>
                <w:color w:val="auto"/>
                <w:sz w:val="24"/>
              </w:rPr>
            </w:pPr>
            <w:r>
              <w:rPr>
                <w:rFonts w:hint="eastAsia" w:ascii="宋体" w:hAnsi="宋体"/>
                <w:color w:val="auto"/>
                <w:szCs w:val="21"/>
              </w:rPr>
              <w:t>②行政主管部门的处罚或不良行为记录等未注明处罚期限的，处罚期限按自不良行为公布之日起6个月算。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611"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bookmarkStart w:id="714" w:name="_Toc222030999"/>
            <w:bookmarkStart w:id="715" w:name="_Toc144974567"/>
            <w:bookmarkStart w:id="716" w:name="_Toc168475715"/>
            <w:bookmarkStart w:id="717" w:name="_Toc168476118"/>
            <w:bookmarkStart w:id="718" w:name="_Toc221950468"/>
            <w:bookmarkStart w:id="719" w:name="_Toc222029497"/>
            <w:bookmarkStart w:id="720" w:name="_Toc222033848"/>
            <w:bookmarkStart w:id="721" w:name="_Toc229305357"/>
            <w:bookmarkStart w:id="722" w:name="_Toc387753575"/>
            <w:bookmarkStart w:id="723" w:name="_Toc491089718"/>
            <w:bookmarkStart w:id="724" w:name="_Toc222032666"/>
            <w:r>
              <w:rPr>
                <w:rFonts w:hint="eastAsia" w:ascii="宋体" w:hAnsi="宋体"/>
                <w:color w:val="auto"/>
                <w:szCs w:val="21"/>
              </w:rPr>
              <w:t>2.2.4（5）</w:t>
            </w:r>
          </w:p>
        </w:tc>
        <w:tc>
          <w:tcPr>
            <w:tcW w:w="1764"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市场信用（上限12分）</w:t>
            </w:r>
          </w:p>
        </w:tc>
        <w:tc>
          <w:tcPr>
            <w:tcW w:w="6420"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lef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611"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（1）</w:t>
            </w:r>
          </w:p>
        </w:tc>
        <w:tc>
          <w:tcPr>
            <w:tcW w:w="1764"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rPr>
            </w:pPr>
            <w:r>
              <w:rPr>
                <w:rFonts w:hint="eastAsia" w:ascii="宋体" w:hAnsi="宋体"/>
                <w:color w:val="auto"/>
                <w:szCs w:val="21"/>
              </w:rPr>
              <w:t>水利建设市场主  体信用等级（0～2分）</w:t>
            </w:r>
          </w:p>
        </w:tc>
        <w:tc>
          <w:tcPr>
            <w:tcW w:w="6420"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left"/>
              <w:rPr>
                <w:rFonts w:hint="eastAsia" w:ascii="宋体" w:hAnsi="宋体"/>
                <w:color w:val="auto"/>
                <w:szCs w:val="21"/>
              </w:rPr>
            </w:pPr>
            <w:r>
              <w:rPr>
                <w:rFonts w:hint="eastAsia" w:ascii="宋体" w:hAnsi="宋体"/>
                <w:color w:val="auto"/>
                <w:szCs w:val="21"/>
              </w:rPr>
              <w:t>①经中国水利工程协会认定为施工类AAA级（且开标之日在有效期内的，下同）的得2分；经中国水利工程协会认定为施工类AA级的得1.5分；经中国水利工程协会认定为施工类A级的得1分；</w:t>
            </w:r>
          </w:p>
          <w:p>
            <w:pPr>
              <w:snapToGrid w:val="0"/>
              <w:jc w:val="left"/>
              <w:rPr>
                <w:rFonts w:ascii="宋体" w:hAnsi="宋体"/>
                <w:color w:val="auto"/>
                <w:szCs w:val="21"/>
              </w:rPr>
            </w:pPr>
            <w:r>
              <w:rPr>
                <w:rFonts w:hint="eastAsia" w:ascii="宋体" w:hAnsi="宋体"/>
                <w:color w:val="auto"/>
                <w:szCs w:val="21"/>
              </w:rPr>
              <w:t>②其他情况得0分。</w:t>
            </w:r>
          </w:p>
          <w:p>
            <w:pPr>
              <w:snapToGrid w:val="0"/>
              <w:jc w:val="left"/>
              <w:rPr>
                <w:rFonts w:hint="eastAsia" w:ascii="宋体" w:hAnsi="宋体"/>
                <w:color w:val="auto"/>
                <w:szCs w:val="21"/>
              </w:rPr>
            </w:pPr>
            <w:r>
              <w:rPr>
                <w:rFonts w:hint="eastAsia" w:ascii="宋体" w:hAnsi="宋体"/>
                <w:color w:val="auto"/>
                <w:szCs w:val="21"/>
              </w:rPr>
              <w:t>注：获得的市场信用等级应以水利部网站公告的等级且以湖北省水利建设市场主体信用信息平台证明材料（包括信息表以及证书等附件）进行认定。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1611" w:type="dxa"/>
            <w:gridSpan w:val="2"/>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highlight w:val="none"/>
              </w:rPr>
            </w:pPr>
            <w:r>
              <w:rPr>
                <w:rFonts w:hint="eastAsia" w:ascii="宋体" w:hAnsi="宋体"/>
                <w:color w:val="auto"/>
                <w:szCs w:val="21"/>
                <w:highlight w:val="none"/>
              </w:rPr>
              <w:t>（2）</w:t>
            </w:r>
          </w:p>
        </w:tc>
        <w:tc>
          <w:tcPr>
            <w:tcW w:w="1764"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snapToGrid w:val="0"/>
              <w:jc w:val="center"/>
              <w:rPr>
                <w:rFonts w:hint="eastAsia" w:ascii="宋体" w:hAnsi="宋体"/>
                <w:color w:val="auto"/>
                <w:szCs w:val="21"/>
                <w:highlight w:val="none"/>
              </w:rPr>
            </w:pPr>
            <w:r>
              <w:rPr>
                <w:rFonts w:hint="eastAsia" w:ascii="宋体" w:hAnsi="宋体"/>
                <w:color w:val="auto"/>
                <w:szCs w:val="21"/>
                <w:highlight w:val="yellow"/>
              </w:rPr>
              <w:t>襄阳市招标投标信用综合评价（0～10分</w:t>
            </w:r>
            <w:r>
              <w:rPr>
                <w:rFonts w:hint="eastAsia" w:ascii="宋体" w:hAnsi="宋体"/>
                <w:color w:val="auto"/>
                <w:szCs w:val="21"/>
                <w:highlight w:val="none"/>
              </w:rPr>
              <w:t>）</w:t>
            </w:r>
          </w:p>
        </w:tc>
        <w:tc>
          <w:tcPr>
            <w:tcW w:w="6420" w:type="dxa"/>
            <w:tcBorders>
              <w:top w:val="single" w:color="auto" w:sz="4" w:space="0"/>
              <w:left w:val="single" w:color="auto" w:sz="4" w:space="0"/>
              <w:bottom w:val="single" w:color="auto" w:sz="4" w:space="0"/>
              <w:right w:val="single" w:color="auto" w:sz="4" w:space="0"/>
            </w:tcBorders>
            <w:noWrap w:val="0"/>
            <w:tcMar>
              <w:top w:w="28" w:type="dxa"/>
              <w:bottom w:w="28" w:type="dxa"/>
            </w:tcMar>
            <w:vAlign w:val="center"/>
          </w:tcPr>
          <w:p>
            <w:pPr>
              <w:rPr>
                <w:rFonts w:ascii="Times New Roman" w:hAnsi="Times New Roman" w:eastAsia="宋体" w:cs="Times New Roman"/>
                <w:sz w:val="18"/>
                <w:szCs w:val="18"/>
              </w:rPr>
            </w:pPr>
            <w:r>
              <w:rPr>
                <w:rFonts w:hint="eastAsia" w:ascii="宋体" w:hAnsi="宋体"/>
                <w:color w:val="auto"/>
                <w:szCs w:val="21"/>
                <w:highlight w:val="none"/>
              </w:rPr>
              <w:t xml:space="preserve">   </w:t>
            </w:r>
            <w:r>
              <w:rPr>
                <w:rFonts w:hint="eastAsia" w:ascii="宋体" w:hAnsi="宋体" w:eastAsia="宋体"/>
                <w:color w:val="auto"/>
                <w:szCs w:val="21"/>
                <w:highlight w:val="none"/>
                <w:lang w:val="en-US" w:eastAsia="zh-CN"/>
              </w:rPr>
              <w:t xml:space="preserve"> </w:t>
            </w:r>
            <w:r>
              <w:rPr>
                <w:rFonts w:hint="eastAsia" w:ascii="宋体" w:hAnsi="宋体" w:eastAsia="宋体"/>
                <w:color w:val="auto"/>
                <w:szCs w:val="21"/>
                <w:highlight w:val="yellow"/>
                <w:lang w:val="en-US" w:eastAsia="zh-CN"/>
              </w:rPr>
              <w:t>根据《襄阳市工程建设招标投标信用评价细则》第六条规定</w:t>
            </w:r>
            <w:r>
              <w:rPr>
                <w:rFonts w:hint="eastAsia" w:ascii="宋体" w:hAnsi="宋体" w:eastAsia="宋体"/>
                <w:color w:val="auto"/>
                <w:szCs w:val="21"/>
                <w:highlight w:val="yellow"/>
                <w:lang w:val="en-US" w:eastAsia="zh"/>
              </w:rPr>
              <w:t>,</w:t>
            </w:r>
            <w:r>
              <w:rPr>
                <w:rFonts w:hint="eastAsia" w:ascii="宋体" w:hAnsi="宋体"/>
                <w:color w:val="auto"/>
                <w:szCs w:val="21"/>
                <w:highlight w:val="yellow"/>
              </w:rPr>
              <w:t xml:space="preserve">     </w:t>
            </w:r>
            <w:r>
              <w:rPr>
                <w:rFonts w:hint="eastAsia" w:ascii="宋体" w:hAnsi="宋体" w:eastAsia="宋体"/>
                <w:color w:val="auto"/>
                <w:szCs w:val="21"/>
                <w:highlight w:val="yellow"/>
                <w:lang w:val="en-US" w:eastAsia="zh-CN"/>
              </w:rPr>
              <w:t>信用评价分值在招投标活动中的应用标准：评价对象信用得分=评价对象招标投标信用综合评价分/通过初步评审的评价对象的招标投标信用综合评价最高得分*10。其中：（1）投标人的信用分得分以通过初步评审的投标人的招标投标信用综合评价得分最高的为 10 分，其他投标人的得分为其招标投标信用综合评价得分除以最高的招标投标信用综合评价得分乘以10；（2）未在评价信息系统建立信用档案的企业，其信用综合评价分为零分；（3）联合体参与投标的，</w:t>
            </w:r>
            <w:r>
              <w:rPr>
                <w:rFonts w:hint="eastAsia" w:ascii="Times New Roman" w:hAnsi="Times New Roman" w:eastAsia="宋体" w:cs="Times New Roman"/>
                <w:color w:val="FF0000"/>
                <w:sz w:val="21"/>
                <w:szCs w:val="21"/>
              </w:rPr>
              <w:t>其招标投标信用综合评价结果按联合体牵头单位对应项目类别的信用综合评价得分认定。</w:t>
            </w:r>
          </w:p>
          <w:p>
            <w:pPr>
              <w:snapToGrid w:val="0"/>
              <w:jc w:val="left"/>
              <w:rPr>
                <w:rFonts w:hint="eastAsia" w:ascii="宋体" w:hAnsi="宋体" w:eastAsia="宋体"/>
                <w:color w:val="auto"/>
                <w:szCs w:val="21"/>
                <w:highlight w:val="yellow"/>
                <w:lang w:val="en-US" w:eastAsia="zh-CN"/>
              </w:rPr>
            </w:pPr>
            <w:r>
              <w:rPr>
                <w:rFonts w:hint="eastAsia" w:ascii="宋体" w:hAnsi="宋体" w:eastAsia="宋体"/>
                <w:color w:val="auto"/>
                <w:szCs w:val="21"/>
                <w:highlight w:val="yellow"/>
                <w:lang w:val="en-US" w:eastAsia="zh-CN"/>
              </w:rPr>
              <w:t>；非联合体投标的，按投标时对应的项目类别的信用综合评价得分认定。</w:t>
            </w:r>
          </w:p>
          <w:p>
            <w:pPr>
              <w:snapToGrid w:val="0"/>
              <w:jc w:val="left"/>
              <w:rPr>
                <w:rFonts w:hint="eastAsia" w:ascii="宋体" w:hAnsi="宋体" w:eastAsia="宋体"/>
                <w:color w:val="auto"/>
                <w:szCs w:val="21"/>
                <w:highlight w:val="yellow"/>
                <w:lang w:val="en-US" w:eastAsia="zh-CN"/>
              </w:rPr>
            </w:pPr>
            <w:r>
              <w:rPr>
                <w:rFonts w:hint="eastAsia" w:ascii="宋体" w:hAnsi="宋体" w:eastAsia="宋体"/>
                <w:color w:val="auto"/>
                <w:szCs w:val="21"/>
                <w:highlight w:val="yellow"/>
                <w:lang w:val="en-US" w:eastAsia="zh-CN"/>
              </w:rPr>
              <w:t>注：信用综合评价分应以招标文件中递交投标文件截止时间“襄阳市招标投标信用综合评价信息网”（网址http://58.19.239.238:7003/web/index）公布的分数为准。</w:t>
            </w:r>
          </w:p>
          <w:p>
            <w:pPr>
              <w:snapToGrid w:val="0"/>
              <w:jc w:val="left"/>
              <w:rPr>
                <w:rFonts w:hint="eastAsia" w:ascii="宋体" w:hAnsi="宋体"/>
                <w:color w:val="auto"/>
                <w:szCs w:val="21"/>
                <w:highlight w:val="none"/>
              </w:rPr>
            </w:pPr>
          </w:p>
        </w:tc>
      </w:tr>
    </w:tbl>
    <w:p>
      <w:pPr>
        <w:snapToGrid w:val="0"/>
        <w:spacing w:before="120" w:beforeLines="5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snapToGrid w:val="0"/>
        <w:spacing w:before="120" w:beforeLines="50"/>
        <w:ind w:left="210" w:hanging="210" w:hangingChars="100"/>
        <w:jc w:val="left"/>
        <w:rPr>
          <w:rFonts w:hint="eastAsia"/>
          <w:color w:val="auto"/>
        </w:rPr>
      </w:pPr>
    </w:p>
    <w:p>
      <w:pPr>
        <w:pStyle w:val="80"/>
        <w:spacing w:before="120" w:after="120" w:afterLines="50"/>
        <w:rPr>
          <w:rFonts w:hint="eastAsia"/>
          <w:color w:val="auto"/>
        </w:rPr>
      </w:pPr>
      <w:bookmarkStart w:id="725" w:name="_Toc18476"/>
    </w:p>
    <w:p>
      <w:pPr>
        <w:pStyle w:val="80"/>
        <w:spacing w:before="120" w:after="120" w:afterLines="50"/>
        <w:rPr>
          <w:rFonts w:hint="eastAsia"/>
          <w:color w:val="auto"/>
        </w:rPr>
      </w:pPr>
    </w:p>
    <w:p>
      <w:pPr>
        <w:pStyle w:val="80"/>
        <w:spacing w:before="120" w:after="120" w:afterLines="50"/>
        <w:rPr>
          <w:rFonts w:hint="eastAsia"/>
          <w:color w:val="auto"/>
        </w:rPr>
      </w:pPr>
    </w:p>
    <w:p>
      <w:pPr>
        <w:pStyle w:val="80"/>
        <w:spacing w:before="120" w:after="120" w:afterLines="50"/>
        <w:rPr>
          <w:rFonts w:hint="eastAsia"/>
          <w:color w:val="auto"/>
        </w:rPr>
      </w:pPr>
    </w:p>
    <w:p>
      <w:pPr>
        <w:pStyle w:val="80"/>
        <w:spacing w:before="120" w:after="120" w:afterLines="50"/>
        <w:rPr>
          <w:rFonts w:hint="eastAsia"/>
          <w:color w:val="auto"/>
        </w:rPr>
      </w:pPr>
    </w:p>
    <w:p>
      <w:pPr>
        <w:pStyle w:val="80"/>
        <w:spacing w:before="120" w:after="120" w:afterLines="50"/>
        <w:rPr>
          <w:rFonts w:hint="eastAsia"/>
          <w:color w:val="auto"/>
        </w:rPr>
      </w:pPr>
    </w:p>
    <w:p>
      <w:pPr>
        <w:pStyle w:val="80"/>
        <w:spacing w:before="120" w:after="120" w:afterLines="50"/>
        <w:rPr>
          <w:rFonts w:hint="eastAsia"/>
          <w:color w:val="auto"/>
        </w:rPr>
      </w:pPr>
    </w:p>
    <w:p>
      <w:pPr>
        <w:pStyle w:val="80"/>
        <w:spacing w:before="120" w:after="120" w:afterLines="50"/>
        <w:rPr>
          <w:rFonts w:hint="eastAsia"/>
          <w:color w:val="auto"/>
        </w:rPr>
      </w:pPr>
      <w:r>
        <w:rPr>
          <w:rFonts w:hint="eastAsia"/>
          <w:color w:val="auto"/>
        </w:rPr>
        <w:t>1. 评标方法</w:t>
      </w:r>
      <w:bookmarkEnd w:id="714"/>
      <w:bookmarkEnd w:id="715"/>
      <w:bookmarkEnd w:id="716"/>
      <w:bookmarkEnd w:id="717"/>
      <w:bookmarkEnd w:id="718"/>
      <w:bookmarkEnd w:id="719"/>
      <w:bookmarkEnd w:id="720"/>
      <w:bookmarkEnd w:id="721"/>
      <w:bookmarkEnd w:id="722"/>
      <w:bookmarkEnd w:id="723"/>
      <w:bookmarkEnd w:id="724"/>
      <w:bookmarkEnd w:id="725"/>
    </w:p>
    <w:p>
      <w:pPr>
        <w:spacing w:line="400" w:lineRule="exact"/>
        <w:ind w:firstLine="420" w:firstLineChars="200"/>
        <w:rPr>
          <w:rFonts w:hint="eastAsia"/>
          <w:color w:val="auto"/>
        </w:rPr>
      </w:pPr>
      <w:bookmarkStart w:id="726" w:name="_Toc168475716"/>
      <w:bookmarkStart w:id="727" w:name="_Toc222032667"/>
      <w:bookmarkStart w:id="728" w:name="_Toc168476119"/>
      <w:bookmarkStart w:id="729" w:name="_Toc222031000"/>
      <w:bookmarkStart w:id="730" w:name="_Toc229305358"/>
      <w:bookmarkStart w:id="731" w:name="_Toc222033849"/>
      <w:bookmarkStart w:id="732" w:name="_Toc222029498"/>
      <w:bookmarkStart w:id="733" w:name="_Toc144974568"/>
      <w:bookmarkStart w:id="734" w:name="_Toc221950470"/>
      <w:r>
        <w:rPr>
          <w:rFonts w:hint="eastAsia"/>
          <w:color w:val="auto"/>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自行确定。</w:t>
      </w:r>
    </w:p>
    <w:p>
      <w:pPr>
        <w:pStyle w:val="80"/>
        <w:spacing w:before="120" w:after="120" w:afterLines="50"/>
        <w:rPr>
          <w:rFonts w:hint="eastAsia"/>
          <w:color w:val="auto"/>
        </w:rPr>
      </w:pPr>
      <w:bookmarkStart w:id="735" w:name="_Toc491089719"/>
      <w:bookmarkStart w:id="736" w:name="_Toc387753576"/>
      <w:bookmarkStart w:id="737" w:name="_Toc23699"/>
      <w:r>
        <w:rPr>
          <w:rFonts w:hint="eastAsia"/>
          <w:color w:val="auto"/>
        </w:rPr>
        <w:t>2. 评审标准</w:t>
      </w:r>
      <w:bookmarkEnd w:id="726"/>
      <w:bookmarkEnd w:id="727"/>
      <w:bookmarkEnd w:id="728"/>
      <w:bookmarkEnd w:id="729"/>
      <w:bookmarkEnd w:id="730"/>
      <w:bookmarkEnd w:id="731"/>
      <w:bookmarkEnd w:id="732"/>
      <w:bookmarkEnd w:id="733"/>
      <w:bookmarkEnd w:id="734"/>
      <w:bookmarkEnd w:id="735"/>
      <w:bookmarkEnd w:id="736"/>
      <w:bookmarkEnd w:id="737"/>
    </w:p>
    <w:p>
      <w:pPr>
        <w:keepNext/>
        <w:keepLines/>
        <w:spacing w:line="400" w:lineRule="exact"/>
        <w:outlineLvl w:val="2"/>
        <w:rPr>
          <w:rFonts w:hint="eastAsia" w:eastAsia="黑体"/>
          <w:color w:val="auto"/>
          <w:sz w:val="24"/>
          <w:szCs w:val="20"/>
        </w:rPr>
      </w:pPr>
      <w:bookmarkStart w:id="738" w:name="_Toc491089720"/>
      <w:bookmarkStart w:id="739" w:name="_Toc30860"/>
      <w:bookmarkStart w:id="740" w:name="_Toc168476121"/>
      <w:bookmarkStart w:id="741" w:name="_Toc168475718"/>
      <w:bookmarkStart w:id="742" w:name="_Toc144974570"/>
      <w:bookmarkStart w:id="743" w:name="_Toc221950490"/>
      <w:r>
        <w:rPr>
          <w:rFonts w:hint="eastAsia" w:eastAsia="黑体"/>
          <w:color w:val="auto"/>
          <w:sz w:val="24"/>
          <w:szCs w:val="20"/>
        </w:rPr>
        <w:t>2.1 初步评审标准</w:t>
      </w:r>
      <w:bookmarkEnd w:id="738"/>
      <w:bookmarkEnd w:id="739"/>
    </w:p>
    <w:p>
      <w:pPr>
        <w:spacing w:line="400" w:lineRule="exact"/>
        <w:ind w:firstLine="420" w:firstLineChars="200"/>
        <w:rPr>
          <w:rFonts w:hint="eastAsia"/>
          <w:color w:val="auto"/>
        </w:rPr>
      </w:pPr>
      <w:r>
        <w:rPr>
          <w:rFonts w:hint="eastAsia"/>
          <w:color w:val="auto"/>
          <w:szCs w:val="21"/>
        </w:rPr>
        <w:t>2.1.1形式评审标准：</w:t>
      </w:r>
      <w:r>
        <w:rPr>
          <w:rFonts w:hint="eastAsia"/>
          <w:color w:val="auto"/>
        </w:rPr>
        <w:t>见评标办法前附表。</w:t>
      </w:r>
    </w:p>
    <w:p>
      <w:pPr>
        <w:spacing w:line="400" w:lineRule="exact"/>
        <w:ind w:firstLine="420" w:firstLineChars="200"/>
        <w:rPr>
          <w:rFonts w:hint="eastAsia"/>
          <w:color w:val="auto"/>
        </w:rPr>
      </w:pPr>
      <w:r>
        <w:rPr>
          <w:rFonts w:hint="eastAsia"/>
          <w:color w:val="auto"/>
        </w:rPr>
        <w:t>2.1.2资格评审标准：见评标办法前附表。</w:t>
      </w:r>
    </w:p>
    <w:p>
      <w:pPr>
        <w:spacing w:line="400" w:lineRule="exact"/>
        <w:ind w:firstLine="420" w:firstLineChars="200"/>
        <w:rPr>
          <w:rFonts w:hint="eastAsia"/>
          <w:color w:val="auto"/>
        </w:rPr>
      </w:pPr>
      <w:r>
        <w:rPr>
          <w:rFonts w:hint="eastAsia"/>
          <w:color w:val="auto"/>
        </w:rPr>
        <w:t>2.1.3响应性评审标准：见评标办法前附表。</w:t>
      </w:r>
    </w:p>
    <w:p>
      <w:pPr>
        <w:keepNext/>
        <w:keepLines/>
        <w:spacing w:line="400" w:lineRule="exact"/>
        <w:outlineLvl w:val="2"/>
        <w:rPr>
          <w:rFonts w:hint="eastAsia" w:eastAsia="黑体"/>
          <w:color w:val="auto"/>
          <w:sz w:val="24"/>
          <w:szCs w:val="20"/>
        </w:rPr>
      </w:pPr>
      <w:bookmarkStart w:id="744" w:name="_Toc18757"/>
      <w:bookmarkStart w:id="745" w:name="_Toc491089721"/>
      <w:r>
        <w:rPr>
          <w:rFonts w:hint="eastAsia" w:eastAsia="黑体"/>
          <w:color w:val="auto"/>
          <w:sz w:val="24"/>
          <w:szCs w:val="20"/>
        </w:rPr>
        <w:t>2.2 分值构成与评分标准</w:t>
      </w:r>
      <w:bookmarkEnd w:id="744"/>
      <w:bookmarkEnd w:id="745"/>
    </w:p>
    <w:bookmarkEnd w:id="740"/>
    <w:bookmarkEnd w:id="741"/>
    <w:bookmarkEnd w:id="742"/>
    <w:bookmarkEnd w:id="743"/>
    <w:p>
      <w:pPr>
        <w:spacing w:line="400" w:lineRule="exact"/>
        <w:ind w:firstLine="525" w:firstLineChars="250"/>
        <w:rPr>
          <w:rFonts w:hint="eastAsia"/>
          <w:color w:val="auto"/>
        </w:rPr>
      </w:pPr>
      <w:bookmarkStart w:id="746" w:name="_Toc221950492"/>
      <w:r>
        <w:rPr>
          <w:rFonts w:hint="eastAsia"/>
          <w:color w:val="auto"/>
        </w:rPr>
        <w:t>2.2.1 分值构成</w:t>
      </w:r>
    </w:p>
    <w:p>
      <w:pPr>
        <w:spacing w:line="400" w:lineRule="exact"/>
        <w:ind w:firstLine="718" w:firstLineChars="342"/>
        <w:rPr>
          <w:rFonts w:hint="eastAsia"/>
          <w:color w:val="auto"/>
        </w:rPr>
      </w:pPr>
      <w:r>
        <w:rPr>
          <w:rFonts w:hint="eastAsia"/>
          <w:color w:val="auto"/>
        </w:rPr>
        <w:t>（1）施工组织设计：见评标办法前附表；</w:t>
      </w:r>
    </w:p>
    <w:p>
      <w:pPr>
        <w:spacing w:line="400" w:lineRule="exact"/>
        <w:ind w:firstLine="718" w:firstLineChars="342"/>
        <w:rPr>
          <w:rFonts w:hint="eastAsia"/>
          <w:color w:val="auto"/>
        </w:rPr>
      </w:pPr>
      <w:r>
        <w:rPr>
          <w:rFonts w:hint="eastAsia"/>
          <w:color w:val="auto"/>
        </w:rPr>
        <w:t>（2）项目管理机构：见评标办法前附表；</w:t>
      </w:r>
    </w:p>
    <w:p>
      <w:pPr>
        <w:spacing w:line="400" w:lineRule="exact"/>
        <w:ind w:firstLine="718" w:firstLineChars="342"/>
        <w:rPr>
          <w:rFonts w:hint="eastAsia"/>
          <w:color w:val="auto"/>
        </w:rPr>
      </w:pPr>
      <w:r>
        <w:rPr>
          <w:rFonts w:hint="eastAsia"/>
          <w:color w:val="auto"/>
        </w:rPr>
        <w:t>（3）投标报价：见评标办法前附表；</w:t>
      </w:r>
    </w:p>
    <w:p>
      <w:pPr>
        <w:spacing w:line="400" w:lineRule="exact"/>
        <w:ind w:firstLine="735" w:firstLineChars="350"/>
        <w:rPr>
          <w:color w:val="auto"/>
        </w:rPr>
      </w:pPr>
      <w:r>
        <w:rPr>
          <w:rFonts w:hint="eastAsia"/>
          <w:color w:val="auto"/>
        </w:rPr>
        <w:t>（</w:t>
      </w:r>
      <w:r>
        <w:rPr>
          <w:rFonts w:hint="eastAsia" w:ascii="宋体" w:hAnsi="宋体"/>
          <w:color w:val="auto"/>
          <w:szCs w:val="21"/>
        </w:rPr>
        <w:t>4）市场信誉与</w:t>
      </w:r>
      <w:r>
        <w:rPr>
          <w:rFonts w:ascii="宋体" w:hAnsi="宋体"/>
          <w:color w:val="auto"/>
          <w:szCs w:val="21"/>
        </w:rPr>
        <w:t>业绩</w:t>
      </w:r>
      <w:r>
        <w:rPr>
          <w:rFonts w:hint="eastAsia"/>
          <w:color w:val="auto"/>
        </w:rPr>
        <w:t>：见评标办法前附表。</w:t>
      </w:r>
    </w:p>
    <w:p>
      <w:pPr>
        <w:spacing w:line="400" w:lineRule="exact"/>
        <w:ind w:firstLine="735" w:firstLineChars="350"/>
        <w:rPr>
          <w:rFonts w:hint="eastAsia" w:ascii="宋体" w:hAnsi="宋体"/>
          <w:color w:val="auto"/>
          <w:szCs w:val="21"/>
        </w:rPr>
      </w:pPr>
      <w:r>
        <w:rPr>
          <w:rFonts w:hint="eastAsia" w:ascii="宋体" w:hAnsi="宋体"/>
          <w:color w:val="auto"/>
          <w:szCs w:val="21"/>
        </w:rPr>
        <w:t>（5）市场信用：见评标办法前附表。</w:t>
      </w:r>
    </w:p>
    <w:bookmarkEnd w:id="746"/>
    <w:p>
      <w:pPr>
        <w:spacing w:line="400" w:lineRule="exact"/>
        <w:ind w:firstLine="525" w:firstLineChars="250"/>
        <w:rPr>
          <w:color w:val="auto"/>
        </w:rPr>
      </w:pPr>
      <w:bookmarkStart w:id="747" w:name="_Toc222029499"/>
      <w:bookmarkStart w:id="748" w:name="_Toc168475719"/>
      <w:bookmarkStart w:id="749" w:name="_Toc222032668"/>
      <w:bookmarkStart w:id="750" w:name="_Toc222031001"/>
      <w:bookmarkStart w:id="751" w:name="_Toc144974571"/>
      <w:bookmarkStart w:id="752" w:name="_Toc222033850"/>
      <w:bookmarkStart w:id="753" w:name="_Toc168476122"/>
      <w:bookmarkStart w:id="754" w:name="_Toc229305359"/>
      <w:bookmarkStart w:id="755" w:name="_Toc221950505"/>
      <w:bookmarkStart w:id="756" w:name="_Toc387753577"/>
      <w:r>
        <w:rPr>
          <w:rFonts w:hint="eastAsia"/>
          <w:color w:val="auto"/>
        </w:rPr>
        <w:t>2.2.2评标基准价计算：见评标办法前附表。</w:t>
      </w:r>
    </w:p>
    <w:p>
      <w:pPr>
        <w:spacing w:line="400" w:lineRule="exact"/>
        <w:ind w:firstLine="525" w:firstLineChars="250"/>
        <w:rPr>
          <w:color w:val="auto"/>
        </w:rPr>
      </w:pPr>
      <w:r>
        <w:rPr>
          <w:rFonts w:hint="eastAsia"/>
          <w:color w:val="auto"/>
        </w:rPr>
        <w:t>2.2.3投标报价的偏差率计算方法：见评标办法前附表。</w:t>
      </w:r>
    </w:p>
    <w:p>
      <w:pPr>
        <w:spacing w:line="400" w:lineRule="exact"/>
        <w:ind w:firstLine="525" w:firstLineChars="250"/>
        <w:rPr>
          <w:color w:val="auto"/>
        </w:rPr>
      </w:pPr>
      <w:r>
        <w:rPr>
          <w:rFonts w:hint="eastAsia"/>
          <w:color w:val="auto"/>
        </w:rPr>
        <w:t>2.2.4评分标准</w:t>
      </w:r>
    </w:p>
    <w:p>
      <w:pPr>
        <w:spacing w:line="400" w:lineRule="exact"/>
        <w:ind w:firstLine="718" w:firstLineChars="342"/>
        <w:rPr>
          <w:rFonts w:hint="eastAsia"/>
          <w:color w:val="auto"/>
        </w:rPr>
      </w:pPr>
      <w:r>
        <w:rPr>
          <w:rFonts w:hint="eastAsia"/>
          <w:color w:val="auto"/>
        </w:rPr>
        <w:t>（1）施工组织设计评分标准：见评标办法前附表；</w:t>
      </w:r>
    </w:p>
    <w:p>
      <w:pPr>
        <w:spacing w:line="400" w:lineRule="exact"/>
        <w:ind w:firstLine="718" w:firstLineChars="342"/>
        <w:rPr>
          <w:rFonts w:hint="eastAsia"/>
          <w:color w:val="auto"/>
        </w:rPr>
      </w:pPr>
      <w:r>
        <w:rPr>
          <w:rFonts w:hint="eastAsia"/>
          <w:color w:val="auto"/>
        </w:rPr>
        <w:t>（2）项目管理机构评分标准：见评标办法前附表；</w:t>
      </w:r>
    </w:p>
    <w:p>
      <w:pPr>
        <w:spacing w:line="400" w:lineRule="exact"/>
        <w:ind w:firstLine="718" w:firstLineChars="342"/>
        <w:rPr>
          <w:rFonts w:hint="eastAsia"/>
          <w:color w:val="auto"/>
        </w:rPr>
      </w:pPr>
      <w:r>
        <w:rPr>
          <w:rFonts w:hint="eastAsia"/>
          <w:color w:val="auto"/>
        </w:rPr>
        <w:t>（3）投标报价评分标准：见评标办法前附表；</w:t>
      </w:r>
    </w:p>
    <w:p>
      <w:pPr>
        <w:spacing w:line="400" w:lineRule="exact"/>
        <w:ind w:firstLine="718" w:firstLineChars="342"/>
        <w:rPr>
          <w:color w:val="auto"/>
        </w:rPr>
      </w:pPr>
      <w:r>
        <w:rPr>
          <w:rFonts w:hint="eastAsia"/>
          <w:color w:val="auto"/>
        </w:rPr>
        <w:t>（4</w:t>
      </w:r>
      <w:r>
        <w:rPr>
          <w:rFonts w:hint="eastAsia" w:ascii="宋体" w:hAnsi="宋体"/>
          <w:color w:val="auto"/>
          <w:szCs w:val="21"/>
        </w:rPr>
        <w:t>）市场信誉与</w:t>
      </w:r>
      <w:r>
        <w:rPr>
          <w:rFonts w:ascii="宋体" w:hAnsi="宋体"/>
          <w:color w:val="auto"/>
          <w:szCs w:val="21"/>
        </w:rPr>
        <w:t>业绩</w:t>
      </w:r>
      <w:r>
        <w:rPr>
          <w:rFonts w:hint="eastAsia" w:ascii="宋体" w:hAnsi="宋体"/>
          <w:color w:val="auto"/>
          <w:szCs w:val="21"/>
        </w:rPr>
        <w:t>评分标准：</w:t>
      </w:r>
      <w:r>
        <w:rPr>
          <w:rFonts w:hint="eastAsia"/>
          <w:color w:val="auto"/>
        </w:rPr>
        <w:t>见评标办法前附表。</w:t>
      </w:r>
    </w:p>
    <w:p>
      <w:pPr>
        <w:spacing w:line="400" w:lineRule="exact"/>
        <w:ind w:firstLine="735" w:firstLineChars="350"/>
        <w:rPr>
          <w:rFonts w:hint="eastAsia" w:ascii="宋体" w:hAnsi="宋体"/>
          <w:color w:val="auto"/>
          <w:szCs w:val="21"/>
        </w:rPr>
      </w:pPr>
      <w:r>
        <w:rPr>
          <w:rFonts w:hint="eastAsia" w:ascii="宋体" w:hAnsi="宋体"/>
          <w:color w:val="auto"/>
          <w:szCs w:val="21"/>
        </w:rPr>
        <w:t>（5）市场信用评分标准：见评标办法前附表。</w:t>
      </w:r>
    </w:p>
    <w:p>
      <w:pPr>
        <w:pStyle w:val="80"/>
        <w:spacing w:before="120" w:after="120" w:afterLines="50"/>
        <w:rPr>
          <w:rFonts w:hint="eastAsia"/>
          <w:color w:val="auto"/>
        </w:rPr>
      </w:pPr>
      <w:bookmarkStart w:id="757" w:name="_Toc6298"/>
      <w:bookmarkStart w:id="758" w:name="_Toc491089722"/>
      <w:r>
        <w:rPr>
          <w:rFonts w:hint="eastAsia"/>
          <w:color w:val="auto"/>
        </w:rPr>
        <w:t>3. 评标程序</w:t>
      </w:r>
      <w:bookmarkEnd w:id="747"/>
      <w:bookmarkEnd w:id="748"/>
      <w:bookmarkEnd w:id="749"/>
      <w:bookmarkEnd w:id="750"/>
      <w:bookmarkEnd w:id="751"/>
      <w:bookmarkEnd w:id="752"/>
      <w:bookmarkEnd w:id="753"/>
      <w:bookmarkEnd w:id="754"/>
      <w:bookmarkEnd w:id="755"/>
      <w:bookmarkEnd w:id="756"/>
      <w:bookmarkEnd w:id="757"/>
      <w:bookmarkEnd w:id="758"/>
    </w:p>
    <w:p>
      <w:pPr>
        <w:keepNext/>
        <w:keepLines/>
        <w:spacing w:line="400" w:lineRule="exact"/>
        <w:outlineLvl w:val="2"/>
        <w:rPr>
          <w:rFonts w:hint="eastAsia" w:eastAsia="黑体"/>
          <w:color w:val="auto"/>
          <w:sz w:val="24"/>
          <w:szCs w:val="20"/>
        </w:rPr>
      </w:pPr>
      <w:bookmarkStart w:id="759" w:name="_Toc144974572"/>
      <w:bookmarkStart w:id="760" w:name="_Toc152042382"/>
      <w:bookmarkStart w:id="761" w:name="_Toc152045605"/>
      <w:bookmarkStart w:id="762" w:name="_Toc6089"/>
      <w:bookmarkStart w:id="763" w:name="_Toc179632623"/>
      <w:bookmarkStart w:id="764" w:name="_Toc491089723"/>
      <w:bookmarkStart w:id="765" w:name="_Toc221950513"/>
      <w:r>
        <w:rPr>
          <w:rFonts w:hint="eastAsia" w:eastAsia="黑体"/>
          <w:color w:val="auto"/>
          <w:sz w:val="24"/>
          <w:szCs w:val="20"/>
        </w:rPr>
        <w:t>3.1 初步评审</w:t>
      </w:r>
      <w:bookmarkEnd w:id="759"/>
      <w:bookmarkEnd w:id="760"/>
      <w:bookmarkEnd w:id="761"/>
      <w:bookmarkEnd w:id="762"/>
      <w:bookmarkEnd w:id="763"/>
      <w:bookmarkEnd w:id="764"/>
    </w:p>
    <w:p>
      <w:pPr>
        <w:spacing w:line="400" w:lineRule="exact"/>
        <w:ind w:firstLine="420" w:firstLineChars="200"/>
        <w:rPr>
          <w:rFonts w:hint="eastAsia"/>
          <w:color w:val="auto"/>
        </w:rPr>
      </w:pPr>
      <w:r>
        <w:rPr>
          <w:rFonts w:hint="eastAsia"/>
          <w:color w:val="auto"/>
        </w:rPr>
        <w:t>3.1.1 评标委员会可以要求投标人提交第二章“投标人须知”第3.5.1项规定的有关证明和证件的原件，以便核验。评标委员会依据本章第2.1款规定的标准对投标文件进行初步评审。有一项不符合评审标准的，其投标被否决。</w:t>
      </w:r>
    </w:p>
    <w:p>
      <w:pPr>
        <w:spacing w:line="400" w:lineRule="exact"/>
        <w:ind w:firstLine="420" w:firstLineChars="200"/>
        <w:rPr>
          <w:rFonts w:hint="eastAsia"/>
          <w:color w:val="auto"/>
        </w:rPr>
      </w:pPr>
      <w:r>
        <w:rPr>
          <w:rFonts w:hint="eastAsia"/>
          <w:color w:val="auto"/>
        </w:rPr>
        <w:t>3.1.2 投标人有以下情形之一的，其投标被否决：</w:t>
      </w:r>
    </w:p>
    <w:p>
      <w:pPr>
        <w:spacing w:line="400" w:lineRule="exact"/>
        <w:ind w:firstLine="718" w:firstLineChars="342"/>
        <w:rPr>
          <w:rFonts w:hint="eastAsia"/>
          <w:color w:val="auto"/>
        </w:rPr>
      </w:pPr>
      <w:r>
        <w:rPr>
          <w:rFonts w:hint="eastAsia"/>
          <w:color w:val="auto"/>
        </w:rPr>
        <w:t>（1）第二章“投标人须知”</w:t>
      </w:r>
      <w:r>
        <w:rPr>
          <w:rFonts w:hint="eastAsia" w:ascii="宋体" w:hAnsi="宋体"/>
          <w:color w:val="auto"/>
        </w:rPr>
        <w:t>第1.4.3</w:t>
      </w:r>
      <w:r>
        <w:rPr>
          <w:rFonts w:hint="eastAsia"/>
          <w:color w:val="auto"/>
        </w:rPr>
        <w:t>项</w:t>
      </w:r>
      <w:r>
        <w:rPr>
          <w:rFonts w:hint="eastAsia" w:ascii="宋体" w:hAnsi="宋体"/>
          <w:color w:val="auto"/>
        </w:rPr>
        <w:t>、第1.4.4</w:t>
      </w:r>
      <w:r>
        <w:rPr>
          <w:rFonts w:hint="eastAsia"/>
          <w:color w:val="auto"/>
        </w:rPr>
        <w:t>项规定的任何一种情形的；</w:t>
      </w:r>
    </w:p>
    <w:p>
      <w:pPr>
        <w:spacing w:line="360" w:lineRule="atLeast"/>
        <w:ind w:firstLine="718" w:firstLineChars="342"/>
        <w:rPr>
          <w:rFonts w:hint="eastAsia"/>
          <w:color w:val="auto"/>
        </w:rPr>
      </w:pPr>
      <w:r>
        <w:rPr>
          <w:rFonts w:hint="eastAsia"/>
          <w:color w:val="auto"/>
        </w:rPr>
        <w:t>（2）串通投标、弄虚作假、行贿或有其他违法行为的；</w:t>
      </w:r>
    </w:p>
    <w:p>
      <w:pPr>
        <w:spacing w:line="360" w:lineRule="atLeast"/>
        <w:ind w:firstLine="718" w:firstLineChars="342"/>
        <w:rPr>
          <w:rFonts w:hint="eastAsia"/>
          <w:color w:val="auto"/>
        </w:rPr>
      </w:pPr>
      <w:r>
        <w:rPr>
          <w:rFonts w:hint="eastAsia"/>
          <w:color w:val="auto"/>
        </w:rPr>
        <w:t>（3）不按评标委员会要求澄清、说明或补正的。</w:t>
      </w:r>
    </w:p>
    <w:p>
      <w:pPr>
        <w:spacing w:line="360" w:lineRule="atLeast"/>
        <w:ind w:firstLine="420" w:firstLineChars="200"/>
        <w:rPr>
          <w:rFonts w:hint="eastAsia"/>
          <w:color w:val="auto"/>
        </w:rPr>
      </w:pPr>
      <w:r>
        <w:rPr>
          <w:rFonts w:hint="eastAsia"/>
          <w:color w:val="auto"/>
        </w:rPr>
        <w:t>3.1.3投标报价有算术错误的，评标委员会按以下原则对投标报价进行修正，修正的价格经投标人书面确认后具有约束力。投标人不接受修正价格的，</w:t>
      </w:r>
      <w:r>
        <w:rPr>
          <w:rFonts w:hint="eastAsia" w:ascii="宋体" w:hAnsi="宋体"/>
          <w:color w:val="auto"/>
        </w:rPr>
        <w:t>其投标将被否决</w:t>
      </w:r>
      <w:r>
        <w:rPr>
          <w:rFonts w:hint="eastAsia"/>
          <w:color w:val="auto"/>
        </w:rPr>
        <w:t>。</w:t>
      </w:r>
    </w:p>
    <w:p>
      <w:pPr>
        <w:spacing w:line="360" w:lineRule="atLeast"/>
        <w:ind w:firstLine="718" w:firstLineChars="342"/>
        <w:rPr>
          <w:rFonts w:hint="eastAsia"/>
          <w:color w:val="auto"/>
        </w:rPr>
      </w:pPr>
      <w:bookmarkStart w:id="766" w:name="_Toc152042383"/>
      <w:r>
        <w:rPr>
          <w:rFonts w:hint="eastAsia"/>
          <w:color w:val="auto"/>
        </w:rPr>
        <w:t>（1）投标文件中的大写金额与小写金额不一致的，以大写金额为准；</w:t>
      </w:r>
      <w:bookmarkEnd w:id="766"/>
    </w:p>
    <w:p>
      <w:pPr>
        <w:spacing w:line="360" w:lineRule="atLeast"/>
        <w:ind w:firstLine="718" w:firstLineChars="342"/>
        <w:rPr>
          <w:rFonts w:hint="eastAsia"/>
          <w:color w:val="auto"/>
        </w:rPr>
      </w:pPr>
      <w:r>
        <w:rPr>
          <w:rFonts w:hint="eastAsia"/>
          <w:color w:val="auto"/>
        </w:rPr>
        <w:t>（2）总价金额与依据单价计算出的结果不一致的，以单价金额为准修正总价，但单价金额小数点有明显错误的除外。</w:t>
      </w:r>
    </w:p>
    <w:p>
      <w:pPr>
        <w:spacing w:line="360" w:lineRule="atLeast"/>
        <w:ind w:firstLine="420" w:firstLineChars="200"/>
        <w:rPr>
          <w:rFonts w:hint="eastAsia"/>
          <w:color w:val="auto"/>
        </w:rPr>
      </w:pPr>
      <w:r>
        <w:rPr>
          <w:rFonts w:hint="eastAsia"/>
          <w:color w:val="auto"/>
        </w:rPr>
        <w:t>3.1.4 评标委员会发现投标人的报价明显低于其他投标报价，使得其投标报价可能低于其个别成本的，应当要求该投标人作出书面说明并提供相应的证明材料。投标人不能合理说明或者不能提供相应证明材料的，由评标委员会认定该投标人以低于成本报价竞标，其投标被否决。</w:t>
      </w:r>
    </w:p>
    <w:p>
      <w:pPr>
        <w:keepNext/>
        <w:keepLines/>
        <w:spacing w:line="360" w:lineRule="atLeast"/>
        <w:outlineLvl w:val="2"/>
        <w:rPr>
          <w:rFonts w:hint="eastAsia" w:eastAsia="黑体"/>
          <w:color w:val="auto"/>
          <w:sz w:val="24"/>
          <w:szCs w:val="20"/>
        </w:rPr>
      </w:pPr>
      <w:bookmarkStart w:id="767" w:name="_Toc32163"/>
      <w:bookmarkStart w:id="768" w:name="_Toc179632624"/>
      <w:bookmarkStart w:id="769" w:name="_Toc491089724"/>
      <w:bookmarkStart w:id="770" w:name="_Toc152042384"/>
      <w:bookmarkStart w:id="771" w:name="_Toc152045606"/>
      <w:bookmarkStart w:id="772" w:name="_Toc144974573"/>
      <w:r>
        <w:rPr>
          <w:rFonts w:hint="eastAsia" w:eastAsia="黑体"/>
          <w:color w:val="auto"/>
          <w:sz w:val="24"/>
          <w:szCs w:val="20"/>
        </w:rPr>
        <w:t>3.2 详细评审</w:t>
      </w:r>
      <w:bookmarkEnd w:id="767"/>
      <w:bookmarkEnd w:id="768"/>
      <w:bookmarkEnd w:id="769"/>
      <w:bookmarkEnd w:id="770"/>
      <w:bookmarkEnd w:id="771"/>
      <w:bookmarkEnd w:id="772"/>
    </w:p>
    <w:p>
      <w:pPr>
        <w:spacing w:line="360" w:lineRule="atLeast"/>
        <w:ind w:firstLine="420" w:firstLineChars="200"/>
        <w:rPr>
          <w:rFonts w:hint="eastAsia"/>
          <w:color w:val="auto"/>
        </w:rPr>
      </w:pPr>
      <w:r>
        <w:rPr>
          <w:rFonts w:hint="eastAsia"/>
          <w:color w:val="auto"/>
        </w:rPr>
        <w:t>3.2.1 评标委员会按本章第2.2款规定的量化因素和分值进行打分，并计算出综合评估得分。</w:t>
      </w:r>
    </w:p>
    <w:p>
      <w:pPr>
        <w:spacing w:line="360" w:lineRule="atLeast"/>
        <w:ind w:firstLine="420" w:firstLineChars="200"/>
        <w:rPr>
          <w:rFonts w:hint="eastAsia"/>
          <w:color w:val="auto"/>
          <w:highlight w:val="yellow"/>
        </w:rPr>
      </w:pPr>
      <w:r>
        <w:rPr>
          <w:rFonts w:hint="eastAsia"/>
          <w:color w:val="auto"/>
          <w:highlight w:val="yellow"/>
        </w:rPr>
        <w:t>（1）按本章第2.2.4（1）目规定的评审因素和分值对施工组织设计独立进行评分，投标人的施工组织设计得分为各评委评分中去掉一个最高分和一个最低分后的算术平均值A；</w:t>
      </w:r>
    </w:p>
    <w:p>
      <w:pPr>
        <w:spacing w:line="360" w:lineRule="atLeast"/>
        <w:ind w:firstLine="420" w:firstLineChars="200"/>
        <w:rPr>
          <w:rFonts w:hint="eastAsia"/>
          <w:color w:val="auto"/>
          <w:highlight w:val="yellow"/>
        </w:rPr>
      </w:pPr>
      <w:r>
        <w:rPr>
          <w:rFonts w:hint="eastAsia"/>
          <w:color w:val="auto"/>
          <w:highlight w:val="yellow"/>
        </w:rPr>
        <w:t>（2）按本章第2.2.4（2）目规定的评审因素和分值对项目管理机构独立进行评分，投标人的项目管理机构得分为各评委评分中去掉一个最高分和一个最低分后的算术平均值B；</w:t>
      </w:r>
    </w:p>
    <w:p>
      <w:pPr>
        <w:spacing w:line="360" w:lineRule="atLeast"/>
        <w:ind w:firstLine="420" w:firstLineChars="200"/>
        <w:rPr>
          <w:rFonts w:hint="eastAsia"/>
          <w:color w:val="auto"/>
          <w:highlight w:val="yellow"/>
        </w:rPr>
      </w:pPr>
      <w:r>
        <w:rPr>
          <w:rFonts w:hint="eastAsia"/>
          <w:color w:val="auto"/>
          <w:highlight w:val="yellow"/>
        </w:rPr>
        <w:t>（3）按本章第2.2.4（3）目规定的评审因素和分值对投标报价独立进行评分，投标人的投标报价得分为各评委评分中去掉一个最高分和一个最低分后的算术平均值C；</w:t>
      </w:r>
    </w:p>
    <w:p>
      <w:pPr>
        <w:spacing w:line="360" w:lineRule="atLeast"/>
        <w:ind w:firstLine="420" w:firstLineChars="200"/>
        <w:rPr>
          <w:rFonts w:hint="eastAsia"/>
          <w:color w:val="auto"/>
          <w:highlight w:val="yellow"/>
        </w:rPr>
      </w:pPr>
      <w:r>
        <w:rPr>
          <w:rFonts w:hint="eastAsia"/>
          <w:color w:val="auto"/>
          <w:highlight w:val="yellow"/>
        </w:rPr>
        <w:t>（4）按本章第2.2.4（4）目规定的评审因素和分值对市场信誉与业绩独立进行评分，投标人的市场信誉与业绩得分为各评委评分中去掉一个最高分和一个最低分后的算术平均值D；</w:t>
      </w:r>
    </w:p>
    <w:p>
      <w:pPr>
        <w:spacing w:line="360" w:lineRule="atLeast"/>
        <w:ind w:firstLine="420" w:firstLineChars="200"/>
        <w:rPr>
          <w:rFonts w:hint="eastAsia"/>
          <w:color w:val="auto"/>
          <w:highlight w:val="yellow"/>
        </w:rPr>
      </w:pPr>
      <w:r>
        <w:rPr>
          <w:rFonts w:hint="eastAsia"/>
          <w:color w:val="auto"/>
          <w:highlight w:val="yellow"/>
        </w:rPr>
        <w:t>（5）按本章第2.2.4（5）目规定的评审因素和分值对市场信用独立进行评分，投标人的市场信用得分为各评委评分中去掉一个最高分和一个最低分后的算术平均值E。</w:t>
      </w:r>
    </w:p>
    <w:p>
      <w:pPr>
        <w:spacing w:line="360" w:lineRule="atLeast"/>
        <w:ind w:firstLine="420" w:firstLineChars="200"/>
        <w:rPr>
          <w:color w:val="auto"/>
          <w:highlight w:val="none"/>
        </w:rPr>
      </w:pPr>
      <w:r>
        <w:rPr>
          <w:rFonts w:hint="eastAsia"/>
          <w:color w:val="auto"/>
          <w:highlight w:val="none"/>
        </w:rPr>
        <w:t>3.2.2</w:t>
      </w:r>
      <w:r>
        <w:rPr>
          <w:rFonts w:hint="eastAsia" w:ascii="宋体" w:hAnsi="宋体"/>
          <w:color w:val="auto"/>
          <w:highlight w:val="none"/>
        </w:rPr>
        <w:t>评分分值计算保留小数点后两位，小数点后第三位“四舍五入”。</w:t>
      </w:r>
    </w:p>
    <w:p>
      <w:pPr>
        <w:spacing w:line="360" w:lineRule="atLeast"/>
        <w:ind w:firstLine="420" w:firstLineChars="200"/>
        <w:rPr>
          <w:rFonts w:hint="eastAsia"/>
          <w:color w:val="auto"/>
        </w:rPr>
      </w:pPr>
      <w:r>
        <w:rPr>
          <w:rFonts w:hint="eastAsia"/>
          <w:color w:val="auto"/>
        </w:rPr>
        <w:t>3.2.3</w:t>
      </w:r>
      <w:r>
        <w:rPr>
          <w:rFonts w:hint="eastAsia" w:ascii="宋体" w:hAnsi="宋体"/>
          <w:color w:val="auto"/>
        </w:rPr>
        <w:t>评标委员会成员</w:t>
      </w:r>
      <w:r>
        <w:rPr>
          <w:rFonts w:ascii="宋体" w:hAnsi="宋体"/>
          <w:color w:val="auto"/>
        </w:rPr>
        <w:t>对各投标人的综合评分为其各分项得分之和</w:t>
      </w:r>
      <w:r>
        <w:rPr>
          <w:rFonts w:hint="eastAsia" w:ascii="宋体" w:hAnsi="宋体"/>
          <w:color w:val="auto"/>
        </w:rPr>
        <w:t>，即</w:t>
      </w:r>
      <w:r>
        <w:rPr>
          <w:rFonts w:hint="eastAsia"/>
          <w:color w:val="auto"/>
        </w:rPr>
        <w:t>投标人得分=A+B+C+D+E。</w:t>
      </w:r>
    </w:p>
    <w:p>
      <w:pPr>
        <w:spacing w:line="360" w:lineRule="atLeast"/>
        <w:ind w:firstLine="420" w:firstLineChars="200"/>
        <w:rPr>
          <w:rFonts w:hint="eastAsia" w:eastAsia="宋体"/>
          <w:color w:val="auto"/>
          <w:lang w:val="en-US" w:eastAsia="zh-CN"/>
        </w:rPr>
      </w:pPr>
      <w:r>
        <w:rPr>
          <w:rFonts w:hint="eastAsia"/>
          <w:color w:val="auto"/>
          <w:lang w:val="en-US" w:eastAsia="zh-CN"/>
        </w:rPr>
        <w:t xml:space="preserve">3.2.4 </w:t>
      </w:r>
      <w:bookmarkStart w:id="773" w:name="_Toc144974575"/>
      <w:bookmarkStart w:id="774" w:name="_Toc152045607"/>
      <w:bookmarkStart w:id="775" w:name="_Toc179632625"/>
      <w:bookmarkStart w:id="776" w:name="_Toc152042385"/>
      <w:bookmarkStart w:id="777" w:name="_Toc491089725"/>
      <w:r>
        <w:rPr>
          <w:rFonts w:hint="eastAsia"/>
          <w:color w:val="auto"/>
          <w:lang w:val="en-US" w:eastAsia="zh-CN"/>
        </w:rPr>
        <w:t>投标人的最终得分计算方法见评标须知前附表。</w:t>
      </w:r>
    </w:p>
    <w:p>
      <w:pPr>
        <w:spacing w:line="360" w:lineRule="atLeast"/>
        <w:ind w:firstLine="480" w:firstLineChars="200"/>
        <w:rPr>
          <w:rFonts w:hint="eastAsia" w:eastAsia="黑体"/>
          <w:color w:val="auto"/>
          <w:sz w:val="24"/>
          <w:szCs w:val="20"/>
        </w:rPr>
      </w:pPr>
      <w:r>
        <w:rPr>
          <w:rFonts w:hint="eastAsia" w:eastAsia="黑体"/>
          <w:color w:val="auto"/>
          <w:sz w:val="24"/>
          <w:szCs w:val="20"/>
        </w:rPr>
        <w:t>3.3 投标文件的澄清</w:t>
      </w:r>
      <w:bookmarkEnd w:id="773"/>
      <w:r>
        <w:rPr>
          <w:rFonts w:hint="eastAsia" w:eastAsia="黑体"/>
          <w:color w:val="auto"/>
          <w:sz w:val="24"/>
          <w:szCs w:val="20"/>
        </w:rPr>
        <w:t>和补正</w:t>
      </w:r>
      <w:bookmarkEnd w:id="774"/>
      <w:bookmarkEnd w:id="775"/>
      <w:bookmarkEnd w:id="776"/>
      <w:bookmarkEnd w:id="777"/>
    </w:p>
    <w:p>
      <w:pPr>
        <w:spacing w:line="360" w:lineRule="atLeast"/>
        <w:ind w:firstLine="420" w:firstLineChars="200"/>
        <w:rPr>
          <w:rFonts w:hint="eastAsia"/>
          <w:color w:val="auto"/>
        </w:rPr>
      </w:pPr>
      <w:r>
        <w:rPr>
          <w:rFonts w:hint="eastAsia"/>
          <w:color w:val="auto"/>
        </w:rPr>
        <w:t>3.3.1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spacing w:line="360" w:lineRule="atLeast"/>
        <w:ind w:firstLine="420" w:firstLineChars="200"/>
        <w:rPr>
          <w:rFonts w:hint="eastAsia"/>
          <w:color w:val="auto"/>
        </w:rPr>
      </w:pPr>
      <w:r>
        <w:rPr>
          <w:rFonts w:hint="eastAsia"/>
          <w:color w:val="auto"/>
        </w:rPr>
        <w:t>3.3.2 澄清、说明和补正不得超出投标文件的范围且不得改变投标文件的实质性内容（算术性错误修正的除外）。投标人的书面澄清、说明和补正属于投标文件的组成部分。</w:t>
      </w:r>
    </w:p>
    <w:p>
      <w:pPr>
        <w:spacing w:line="360" w:lineRule="atLeast"/>
        <w:ind w:firstLine="420" w:firstLineChars="200"/>
        <w:rPr>
          <w:color w:val="auto"/>
        </w:rPr>
      </w:pPr>
      <w:r>
        <w:rPr>
          <w:rFonts w:hint="eastAsia"/>
          <w:color w:val="auto"/>
        </w:rPr>
        <w:t>3.3.3 评标委员会对投标人提交的澄清、说明或补正有疑问的，可以要求投标人进一步澄清、说明或补正，直至满足评标委员会的要求。</w:t>
      </w:r>
    </w:p>
    <w:p>
      <w:pPr>
        <w:spacing w:line="360" w:lineRule="atLeast"/>
        <w:ind w:firstLine="420" w:firstLineChars="200"/>
        <w:rPr>
          <w:rFonts w:hint="eastAsia"/>
          <w:color w:val="auto"/>
        </w:rPr>
      </w:pPr>
      <w:r>
        <w:rPr>
          <w:rFonts w:hint="eastAsia"/>
          <w:color w:val="auto"/>
        </w:rPr>
        <w:t>3.3.4评标委员会要求投标人对投标文件问题澄清的通知，以及投标人对投标文件的澄清应通过“电子交易平台”“投标文件澄清”菜单以书面形式进行。</w:t>
      </w:r>
    </w:p>
    <w:bookmarkEnd w:id="765"/>
    <w:p>
      <w:pPr>
        <w:keepNext/>
        <w:keepLines/>
        <w:spacing w:line="360" w:lineRule="atLeast"/>
        <w:outlineLvl w:val="2"/>
        <w:rPr>
          <w:rFonts w:hint="eastAsia" w:eastAsia="黑体"/>
          <w:color w:val="auto"/>
          <w:sz w:val="24"/>
          <w:szCs w:val="20"/>
        </w:rPr>
      </w:pPr>
      <w:bookmarkStart w:id="778" w:name="_Toc24851"/>
      <w:bookmarkStart w:id="779" w:name="_Toc491089726"/>
      <w:bookmarkStart w:id="780" w:name="_Toc221950514"/>
      <w:r>
        <w:rPr>
          <w:rFonts w:hint="eastAsia" w:eastAsia="黑体"/>
          <w:color w:val="auto"/>
          <w:sz w:val="24"/>
          <w:szCs w:val="20"/>
        </w:rPr>
        <w:t>3.4 评标结果</w:t>
      </w:r>
      <w:bookmarkEnd w:id="778"/>
      <w:bookmarkEnd w:id="779"/>
    </w:p>
    <w:p>
      <w:pPr>
        <w:spacing w:line="360" w:lineRule="atLeast"/>
        <w:ind w:firstLine="420" w:firstLineChars="200"/>
        <w:rPr>
          <w:rFonts w:hint="eastAsia"/>
          <w:color w:val="auto"/>
        </w:rPr>
      </w:pPr>
      <w:r>
        <w:rPr>
          <w:rFonts w:hint="eastAsia"/>
          <w:color w:val="auto"/>
        </w:rPr>
        <w:t>3.4.1</w:t>
      </w:r>
      <w:bookmarkEnd w:id="780"/>
      <w:r>
        <w:rPr>
          <w:rFonts w:hint="eastAsia"/>
          <w:color w:val="auto"/>
        </w:rPr>
        <w:t xml:space="preserve"> 评标委员会</w:t>
      </w:r>
      <w:r>
        <w:rPr>
          <w:rFonts w:hint="eastAsia" w:ascii="宋体" w:hAnsi="宋体"/>
          <w:color w:val="auto"/>
        </w:rPr>
        <w:t>按照</w:t>
      </w:r>
      <w:r>
        <w:rPr>
          <w:rFonts w:ascii="宋体" w:hAnsi="宋体"/>
          <w:color w:val="auto"/>
        </w:rPr>
        <w:t>投标人的</w:t>
      </w:r>
      <w:r>
        <w:rPr>
          <w:rFonts w:hint="eastAsia" w:ascii="宋体" w:hAnsi="宋体"/>
          <w:color w:val="auto"/>
        </w:rPr>
        <w:t>最终</w:t>
      </w:r>
      <w:r>
        <w:rPr>
          <w:rFonts w:hint="eastAsia"/>
          <w:color w:val="auto"/>
        </w:rPr>
        <w:t>得分由高到低的顺序，按第二章投标人须知前附表第7.1款的规定确定中标人或推荐中标候选人。</w:t>
      </w:r>
    </w:p>
    <w:p>
      <w:pPr>
        <w:spacing w:line="360" w:lineRule="atLeast"/>
        <w:ind w:firstLine="420" w:firstLineChars="200"/>
        <w:rPr>
          <w:rFonts w:hint="eastAsia"/>
          <w:color w:val="auto"/>
        </w:rPr>
      </w:pPr>
      <w:r>
        <w:rPr>
          <w:rFonts w:hint="eastAsia"/>
          <w:color w:val="auto"/>
        </w:rPr>
        <w:t>3.4.2 招标文件允许多标段投标、多标段中标的，各标段中标候选人的推荐按第二章“投标人须知”第10.3款规定执行，对某些标段由此产生的空缺由排序在后的投标人依次替补。</w:t>
      </w:r>
    </w:p>
    <w:p>
      <w:pPr>
        <w:spacing w:line="360" w:lineRule="atLeast"/>
        <w:ind w:firstLine="420" w:firstLineChars="200"/>
        <w:rPr>
          <w:rFonts w:hint="eastAsia"/>
          <w:color w:val="auto"/>
        </w:rPr>
      </w:pPr>
      <w:r>
        <w:rPr>
          <w:rFonts w:hint="eastAsia"/>
          <w:color w:val="auto"/>
        </w:rPr>
        <w:t>3.4.3 评标委员会完成评标后，应当向招标人提交书面评标报告。</w:t>
      </w:r>
    </w:p>
    <w:p>
      <w:pPr>
        <w:pStyle w:val="2"/>
        <w:spacing w:before="120" w:after="120" w:line="400" w:lineRule="exact"/>
        <w:rPr>
          <w:rFonts w:ascii="黑体" w:hAnsi="黑体" w:eastAsia="黑体"/>
          <w:b w:val="0"/>
          <w:bCs w:val="0"/>
          <w:color w:val="auto"/>
          <w:sz w:val="32"/>
        </w:rPr>
        <w:sectPr>
          <w:footerReference r:id="rId9" w:type="first"/>
          <w:pgSz w:w="11906" w:h="16838"/>
          <w:pgMar w:top="1418" w:right="1469" w:bottom="1418" w:left="1418" w:header="851" w:footer="992" w:gutter="0"/>
          <w:cols w:space="720" w:num="1"/>
          <w:titlePg/>
          <w:docGrid w:linePitch="312" w:charSpace="0"/>
        </w:sectPr>
      </w:pPr>
      <w:bookmarkStart w:id="781" w:name="_Toc229305360"/>
      <w:bookmarkStart w:id="782" w:name="_Toc222033851"/>
      <w:bookmarkStart w:id="783" w:name="_Toc221950660"/>
      <w:bookmarkStart w:id="784" w:name="_Toc168475724"/>
      <w:bookmarkStart w:id="785" w:name="_Toc387753581"/>
      <w:bookmarkStart w:id="786" w:name="_Toc491089727"/>
      <w:bookmarkStart w:id="787" w:name="_Toc168476127"/>
      <w:bookmarkStart w:id="788" w:name="_Toc144974577"/>
      <w:bookmarkStart w:id="789" w:name="_Toc222029500"/>
      <w:bookmarkStart w:id="790" w:name="_Toc222031002"/>
      <w:bookmarkStart w:id="791" w:name="_Toc222032669"/>
    </w:p>
    <w:p/>
    <w:p>
      <w:pPr>
        <w:pStyle w:val="2"/>
        <w:spacing w:before="120" w:after="120" w:line="400" w:lineRule="exact"/>
        <w:rPr>
          <w:rFonts w:hint="eastAsia" w:ascii="黑体" w:hAnsi="黑体" w:eastAsia="黑体"/>
          <w:b w:val="0"/>
          <w:bCs w:val="0"/>
          <w:color w:val="auto"/>
          <w:sz w:val="32"/>
        </w:rPr>
      </w:pPr>
      <w:bookmarkStart w:id="792" w:name="_Toc31290"/>
      <w:r>
        <w:rPr>
          <w:rFonts w:hint="eastAsia" w:ascii="黑体" w:hAnsi="黑体" w:eastAsia="黑体"/>
          <w:b w:val="0"/>
          <w:bCs w:val="0"/>
          <w:color w:val="auto"/>
          <w:sz w:val="32"/>
        </w:rPr>
        <w:t>第四章  合同条款及格式</w:t>
      </w:r>
      <w:bookmarkEnd w:id="781"/>
      <w:bookmarkEnd w:id="782"/>
      <w:bookmarkEnd w:id="783"/>
      <w:bookmarkEnd w:id="784"/>
      <w:bookmarkEnd w:id="785"/>
      <w:bookmarkEnd w:id="786"/>
      <w:bookmarkEnd w:id="787"/>
      <w:bookmarkEnd w:id="788"/>
      <w:bookmarkEnd w:id="789"/>
      <w:bookmarkEnd w:id="790"/>
      <w:bookmarkEnd w:id="791"/>
      <w:bookmarkEnd w:id="792"/>
    </w:p>
    <w:p>
      <w:pPr>
        <w:rPr>
          <w:rFonts w:hint="eastAsia"/>
          <w:color w:val="auto"/>
        </w:rPr>
      </w:pPr>
      <w:r>
        <w:rPr>
          <w:rFonts w:hint="eastAsia"/>
          <w:color w:val="auto"/>
        </w:rPr>
        <w:t xml:space="preserve">                       </w:t>
      </w:r>
    </w:p>
    <w:p>
      <w:pPr>
        <w:pStyle w:val="80"/>
        <w:spacing w:before="120" w:after="120" w:afterLines="50"/>
        <w:jc w:val="center"/>
        <w:rPr>
          <w:color w:val="auto"/>
        </w:rPr>
      </w:pPr>
      <w:bookmarkStart w:id="793" w:name="_Toc222033852"/>
      <w:bookmarkStart w:id="794" w:name="_Toc221950661"/>
      <w:bookmarkStart w:id="795" w:name="_Toc222029501"/>
      <w:bookmarkStart w:id="796" w:name="_Toc229305361"/>
      <w:bookmarkStart w:id="797" w:name="_Toc221948339"/>
      <w:bookmarkStart w:id="798" w:name="_Toc7441"/>
      <w:bookmarkStart w:id="799" w:name="_Toc491089728"/>
      <w:bookmarkStart w:id="800" w:name="_Toc222031003"/>
      <w:bookmarkStart w:id="801" w:name="_Toc387753582"/>
      <w:bookmarkStart w:id="802" w:name="_Toc222032670"/>
      <w:r>
        <w:rPr>
          <w:rFonts w:hint="eastAsia"/>
          <w:color w:val="auto"/>
        </w:rPr>
        <w:t>第1节 通用合同条款</w:t>
      </w:r>
      <w:bookmarkEnd w:id="793"/>
      <w:bookmarkEnd w:id="794"/>
      <w:bookmarkEnd w:id="795"/>
      <w:bookmarkEnd w:id="796"/>
      <w:bookmarkEnd w:id="797"/>
      <w:bookmarkEnd w:id="798"/>
      <w:bookmarkEnd w:id="799"/>
      <w:bookmarkEnd w:id="800"/>
      <w:bookmarkEnd w:id="801"/>
      <w:bookmarkEnd w:id="802"/>
    </w:p>
    <w:p>
      <w:pPr>
        <w:pStyle w:val="80"/>
        <w:spacing w:before="120" w:after="120" w:afterLines="50"/>
        <w:outlineLvl w:val="2"/>
        <w:rPr>
          <w:color w:val="auto"/>
        </w:rPr>
      </w:pPr>
      <w:bookmarkStart w:id="803" w:name="_Toc387753583"/>
      <w:bookmarkStart w:id="804" w:name="_Toc222032671"/>
      <w:bookmarkStart w:id="805" w:name="_Toc491089729"/>
      <w:bookmarkStart w:id="806" w:name="_Toc517172386"/>
      <w:bookmarkStart w:id="807" w:name="_Toc222029502"/>
      <w:bookmarkStart w:id="808" w:name="_Toc222031004"/>
      <w:bookmarkStart w:id="809" w:name="_Toc221950662"/>
      <w:bookmarkStart w:id="810" w:name="_Toc229305362"/>
      <w:bookmarkStart w:id="811" w:name="_Toc32662"/>
      <w:bookmarkStart w:id="812" w:name="_Toc222033853"/>
      <w:r>
        <w:rPr>
          <w:color w:val="auto"/>
        </w:rPr>
        <w:t xml:space="preserve">1. </w:t>
      </w:r>
      <w:r>
        <w:rPr>
          <w:rFonts w:hint="eastAsia"/>
          <w:color w:val="auto"/>
        </w:rPr>
        <w:t>一般约定</w:t>
      </w:r>
      <w:bookmarkEnd w:id="803"/>
      <w:bookmarkEnd w:id="804"/>
      <w:bookmarkEnd w:id="805"/>
      <w:bookmarkEnd w:id="806"/>
      <w:bookmarkEnd w:id="807"/>
      <w:bookmarkEnd w:id="808"/>
      <w:bookmarkEnd w:id="809"/>
      <w:bookmarkEnd w:id="810"/>
      <w:bookmarkEnd w:id="811"/>
      <w:bookmarkEnd w:id="812"/>
    </w:p>
    <w:p>
      <w:pPr>
        <w:keepNext/>
        <w:keepLines/>
        <w:spacing w:line="400" w:lineRule="exact"/>
        <w:outlineLvl w:val="3"/>
        <w:rPr>
          <w:rFonts w:hint="eastAsia" w:eastAsia="黑体"/>
          <w:color w:val="auto"/>
          <w:sz w:val="24"/>
          <w:szCs w:val="20"/>
        </w:rPr>
      </w:pPr>
      <w:bookmarkStart w:id="813" w:name="_Toc29976"/>
      <w:bookmarkStart w:id="814" w:name="_Toc517172387"/>
      <w:bookmarkStart w:id="815" w:name="_Toc221950667"/>
      <w:r>
        <w:rPr>
          <w:rFonts w:hint="eastAsia" w:eastAsia="黑体"/>
          <w:color w:val="auto"/>
          <w:sz w:val="24"/>
          <w:szCs w:val="20"/>
        </w:rPr>
        <w:t>1.1 词语定义</w:t>
      </w:r>
      <w:bookmarkEnd w:id="813"/>
      <w:bookmarkEnd w:id="814"/>
    </w:p>
    <w:p>
      <w:pPr>
        <w:spacing w:line="400" w:lineRule="exact"/>
        <w:ind w:firstLine="420" w:firstLineChars="200"/>
        <w:rPr>
          <w:rFonts w:hint="eastAsia"/>
          <w:color w:val="auto"/>
        </w:rPr>
      </w:pPr>
      <w:r>
        <w:rPr>
          <w:rFonts w:hint="eastAsia"/>
          <w:color w:val="auto"/>
        </w:rPr>
        <w:t>通用合同条款、专用合同条款中的下列词语应具有本款所赋予的含义。</w:t>
      </w:r>
    </w:p>
    <w:p>
      <w:pPr>
        <w:spacing w:line="400" w:lineRule="exact"/>
        <w:ind w:firstLine="420" w:firstLineChars="200"/>
        <w:rPr>
          <w:rFonts w:hint="eastAsia"/>
          <w:color w:val="auto"/>
        </w:rPr>
      </w:pPr>
      <w:r>
        <w:rPr>
          <w:rFonts w:hint="eastAsia"/>
          <w:color w:val="auto"/>
        </w:rPr>
        <w:t xml:space="preserve">1.1.1 </w:t>
      </w:r>
      <w:r>
        <w:rPr>
          <w:rFonts w:hint="eastAsia" w:ascii="黑体" w:eastAsia="黑体"/>
          <w:color w:val="auto"/>
        </w:rPr>
        <w:t>合同</w:t>
      </w:r>
    </w:p>
    <w:p>
      <w:pPr>
        <w:spacing w:line="400" w:lineRule="exact"/>
        <w:ind w:firstLine="718" w:firstLineChars="342"/>
        <w:rPr>
          <w:rFonts w:hint="eastAsia"/>
          <w:color w:val="auto"/>
        </w:rPr>
      </w:pPr>
      <w:r>
        <w:rPr>
          <w:rFonts w:hint="eastAsia"/>
          <w:color w:val="auto"/>
        </w:rPr>
        <w:t>1.1.1.1 合同文件（或称合同）：指合同协议书、中标通知书、投标函及投标函附录、专用合同条款、通用合同条款、技术标准和要求、图纸、已标价工程量清单，以及其他合同文件。</w:t>
      </w:r>
    </w:p>
    <w:p>
      <w:pPr>
        <w:spacing w:line="400" w:lineRule="exact"/>
        <w:ind w:firstLine="718" w:firstLineChars="342"/>
        <w:rPr>
          <w:rFonts w:hint="eastAsia"/>
          <w:color w:val="auto"/>
        </w:rPr>
      </w:pPr>
      <w:r>
        <w:rPr>
          <w:rFonts w:hint="eastAsia"/>
          <w:color w:val="auto"/>
        </w:rPr>
        <w:t>1.1.1.2 合同协议书：指第1.5款所指的合同协议书。</w:t>
      </w:r>
    </w:p>
    <w:p>
      <w:pPr>
        <w:spacing w:line="400" w:lineRule="exact"/>
        <w:ind w:firstLine="718" w:firstLineChars="342"/>
        <w:rPr>
          <w:rFonts w:hint="eastAsia"/>
          <w:color w:val="auto"/>
        </w:rPr>
      </w:pPr>
      <w:r>
        <w:rPr>
          <w:rFonts w:hint="eastAsia"/>
          <w:color w:val="auto"/>
        </w:rPr>
        <w:t>1.1.1.3 中标通知书：指发包人通知承包人中标的函件。中标通知书随附的澄清、说明、补正事项纪要等，是中标通知书的组成部分。</w:t>
      </w:r>
    </w:p>
    <w:p>
      <w:pPr>
        <w:spacing w:line="400" w:lineRule="exact"/>
        <w:ind w:firstLine="718" w:firstLineChars="342"/>
        <w:rPr>
          <w:rFonts w:hint="eastAsia"/>
          <w:dstrike/>
          <w:color w:val="auto"/>
          <w:szCs w:val="21"/>
        </w:rPr>
      </w:pPr>
      <w:r>
        <w:rPr>
          <w:rFonts w:hint="eastAsia"/>
          <w:color w:val="auto"/>
        </w:rPr>
        <w:t>1.1.1.4 投标函：指构成合同文件组成部分的由承包人填写并签署的投标函。</w:t>
      </w:r>
    </w:p>
    <w:p>
      <w:pPr>
        <w:spacing w:line="400" w:lineRule="exact"/>
        <w:ind w:firstLine="718" w:firstLineChars="342"/>
        <w:rPr>
          <w:rFonts w:hint="eastAsia"/>
          <w:color w:val="auto"/>
        </w:rPr>
      </w:pPr>
      <w:r>
        <w:rPr>
          <w:rFonts w:hint="eastAsia"/>
          <w:color w:val="auto"/>
        </w:rPr>
        <w:t>1.1.1.5 投标函附录：指附在投标函后构成合同文件的投标函附录。</w:t>
      </w:r>
    </w:p>
    <w:p>
      <w:pPr>
        <w:spacing w:line="400" w:lineRule="exact"/>
        <w:ind w:firstLine="718" w:firstLineChars="342"/>
        <w:rPr>
          <w:rFonts w:hint="eastAsia"/>
          <w:color w:val="auto"/>
        </w:rPr>
      </w:pPr>
      <w:r>
        <w:rPr>
          <w:rFonts w:hint="eastAsia"/>
          <w:color w:val="auto"/>
        </w:rPr>
        <w:t>1.1.1.6  技术标准和要求：</w:t>
      </w:r>
      <w:bookmarkEnd w:id="815"/>
      <w:r>
        <w:rPr>
          <w:rFonts w:hint="eastAsia"/>
          <w:color w:val="auto"/>
        </w:rPr>
        <w:t>指构成合同文件组成部分的名为技术标准和要求（合同技术条款）的文件，包括合同双方当事人约定对其所做的修改或补充。</w:t>
      </w:r>
    </w:p>
    <w:p>
      <w:pPr>
        <w:spacing w:line="400" w:lineRule="exact"/>
        <w:ind w:firstLine="718" w:firstLineChars="342"/>
        <w:rPr>
          <w:rFonts w:hint="eastAsia"/>
          <w:color w:val="auto"/>
        </w:rPr>
      </w:pPr>
      <w:bookmarkStart w:id="816" w:name="_Toc221950668"/>
      <w:r>
        <w:rPr>
          <w:rFonts w:hint="eastAsia"/>
          <w:color w:val="auto"/>
        </w:rPr>
        <w:t>1.1.1.7  图纸：指列入合同的招标图纸、投标图纸和发包人按合同约定向承包人提供的施工图纸和其他图纸</w:t>
      </w:r>
      <w:r>
        <w:rPr>
          <w:color w:val="auto"/>
        </w:rPr>
        <w:t>(</w:t>
      </w:r>
      <w:r>
        <w:rPr>
          <w:rFonts w:hint="eastAsia"/>
          <w:color w:val="auto"/>
        </w:rPr>
        <w:t>包括配套说明和有关资料</w:t>
      </w:r>
      <w:r>
        <w:rPr>
          <w:color w:val="auto"/>
        </w:rPr>
        <w:t>)</w:t>
      </w:r>
      <w:r>
        <w:rPr>
          <w:rFonts w:hint="eastAsia"/>
          <w:color w:val="auto"/>
        </w:rPr>
        <w:t>。</w:t>
      </w:r>
      <w:bookmarkEnd w:id="816"/>
      <w:r>
        <w:rPr>
          <w:rFonts w:hint="eastAsia"/>
          <w:color w:val="auto"/>
        </w:rPr>
        <w:t>列入合同的招标图纸已成为合同文件的一部分，具有合同效力，主要用于在履行合同过程中作为衡量变更的依据，但不能直接用于施工。经发包人确认进入合同的投标图纸亦成为合同文件的一部分，用于在履行合同中检验承包人是否按其投标时承诺的条件进行施工的依据，亦不能直接用于施工。</w:t>
      </w:r>
    </w:p>
    <w:p>
      <w:pPr>
        <w:spacing w:line="400" w:lineRule="exact"/>
        <w:ind w:firstLine="718" w:firstLineChars="342"/>
        <w:rPr>
          <w:rFonts w:hint="eastAsia"/>
          <w:color w:val="auto"/>
        </w:rPr>
      </w:pPr>
      <w:r>
        <w:rPr>
          <w:rFonts w:hint="eastAsia"/>
          <w:color w:val="auto"/>
        </w:rPr>
        <w:t>1.1.1.8 已标价工程量清单：指构成合同文件组成部分的由承包人按照规定的格式和要求填写并标明价格的工程量清单。</w:t>
      </w:r>
    </w:p>
    <w:p>
      <w:pPr>
        <w:spacing w:line="400" w:lineRule="exact"/>
        <w:ind w:firstLine="718" w:firstLineChars="342"/>
        <w:rPr>
          <w:rFonts w:hint="eastAsia"/>
          <w:color w:val="auto"/>
        </w:rPr>
      </w:pPr>
      <w:r>
        <w:rPr>
          <w:rFonts w:hint="eastAsia"/>
          <w:color w:val="auto"/>
        </w:rPr>
        <w:t>1.1.1.9 其他合同文件：指经合同双方当事人确认构成合同文件的其他文件。</w:t>
      </w:r>
    </w:p>
    <w:p>
      <w:pPr>
        <w:spacing w:line="400" w:lineRule="exact"/>
        <w:ind w:firstLine="718" w:firstLineChars="342"/>
        <w:rPr>
          <w:rFonts w:hint="eastAsia"/>
          <w:color w:val="auto"/>
        </w:rPr>
      </w:pPr>
      <w:bookmarkStart w:id="817" w:name="_Toc221950669"/>
      <w:r>
        <w:rPr>
          <w:color w:val="auto"/>
        </w:rPr>
        <w:t>1.1.2</w:t>
      </w:r>
      <w:bookmarkEnd w:id="817"/>
      <w:r>
        <w:rPr>
          <w:rFonts w:hint="eastAsia"/>
          <w:color w:val="auto"/>
        </w:rPr>
        <w:t xml:space="preserve"> 合同当事人和人员。</w:t>
      </w:r>
    </w:p>
    <w:p>
      <w:pPr>
        <w:spacing w:line="400" w:lineRule="exact"/>
        <w:ind w:firstLine="718" w:firstLineChars="342"/>
        <w:rPr>
          <w:rFonts w:hint="eastAsia"/>
          <w:color w:val="auto"/>
        </w:rPr>
      </w:pPr>
      <w:r>
        <w:rPr>
          <w:rFonts w:hint="eastAsia"/>
          <w:color w:val="auto"/>
        </w:rPr>
        <w:t>1.1.2.1 合同当事人:指发包人和（或）承包人。</w:t>
      </w:r>
    </w:p>
    <w:p>
      <w:pPr>
        <w:spacing w:line="400" w:lineRule="exact"/>
        <w:ind w:firstLine="718" w:firstLineChars="342"/>
        <w:rPr>
          <w:rFonts w:hint="eastAsia"/>
          <w:color w:val="auto"/>
        </w:rPr>
      </w:pPr>
      <w:r>
        <w:rPr>
          <w:rFonts w:hint="eastAsia"/>
          <w:color w:val="auto"/>
        </w:rPr>
        <w:t>1.1.2.2 发包人：指专用合同条款中指明并与承包人在合同协议书中签字的当事人。</w:t>
      </w:r>
    </w:p>
    <w:p>
      <w:pPr>
        <w:autoSpaceDE w:val="0"/>
        <w:autoSpaceDN w:val="0"/>
        <w:adjustRightInd w:val="0"/>
        <w:spacing w:line="400" w:lineRule="exact"/>
        <w:ind w:firstLine="707" w:firstLineChars="337"/>
        <w:jc w:val="left"/>
        <w:rPr>
          <w:rFonts w:hint="eastAsia"/>
          <w:color w:val="auto"/>
        </w:rPr>
      </w:pPr>
      <w:r>
        <w:rPr>
          <w:rFonts w:hint="eastAsia"/>
          <w:color w:val="auto"/>
        </w:rPr>
        <w:t>1.1.2.3 承包人：指专用条款中指明并与发包人在合同协议书中签字的当事人。</w:t>
      </w:r>
    </w:p>
    <w:p>
      <w:pPr>
        <w:spacing w:line="400" w:lineRule="exact"/>
        <w:ind w:firstLine="718" w:firstLineChars="342"/>
        <w:rPr>
          <w:rFonts w:hint="eastAsia"/>
          <w:color w:val="auto"/>
        </w:rPr>
      </w:pPr>
      <w:r>
        <w:rPr>
          <w:rFonts w:hint="eastAsia"/>
          <w:color w:val="auto"/>
        </w:rPr>
        <w:t>1.1.2.4 承包人项目经理：指承包人派驻施工场地的全权负责人。</w:t>
      </w:r>
    </w:p>
    <w:p>
      <w:pPr>
        <w:spacing w:line="400" w:lineRule="exact"/>
        <w:ind w:firstLine="718" w:firstLineChars="342"/>
        <w:rPr>
          <w:rFonts w:hint="eastAsia"/>
          <w:color w:val="auto"/>
        </w:rPr>
      </w:pPr>
      <w:r>
        <w:rPr>
          <w:rFonts w:hint="eastAsia"/>
          <w:color w:val="auto"/>
        </w:rPr>
        <w:t>1.1.2.5 分包人：指专用条款中指明的，从承包人处分包合同中某一部分工程，并与其签订分包合同的分包人。</w:t>
      </w:r>
    </w:p>
    <w:p>
      <w:pPr>
        <w:spacing w:line="400" w:lineRule="exact"/>
        <w:ind w:firstLine="718" w:firstLineChars="342"/>
        <w:rPr>
          <w:rFonts w:hint="eastAsia"/>
          <w:color w:val="auto"/>
        </w:rPr>
      </w:pPr>
      <w:r>
        <w:rPr>
          <w:rFonts w:hint="eastAsia"/>
          <w:color w:val="auto"/>
        </w:rPr>
        <w:t>1.1.2.6 监理人：指在专用合同条款中指明的，受发包人委托对合同履行实施管理的法人或其他组织。</w:t>
      </w:r>
    </w:p>
    <w:p>
      <w:pPr>
        <w:spacing w:line="400" w:lineRule="exact"/>
        <w:ind w:firstLine="718" w:firstLineChars="342"/>
        <w:rPr>
          <w:rFonts w:hint="eastAsia"/>
          <w:color w:val="auto"/>
        </w:rPr>
      </w:pPr>
      <w:r>
        <w:rPr>
          <w:rFonts w:hint="eastAsia"/>
          <w:color w:val="auto"/>
        </w:rPr>
        <w:t>1.1.2.7 总监理工程师（总监）：指由监理人委派常驻施工场地对合同履行实施管理的全权负责人。</w:t>
      </w:r>
    </w:p>
    <w:p>
      <w:pPr>
        <w:spacing w:line="400" w:lineRule="exact"/>
        <w:ind w:firstLine="718" w:firstLineChars="342"/>
        <w:rPr>
          <w:rFonts w:hint="eastAsia"/>
          <w:color w:val="auto"/>
        </w:rPr>
      </w:pPr>
      <w:r>
        <w:rPr>
          <w:rFonts w:hint="eastAsia"/>
          <w:color w:val="auto"/>
        </w:rPr>
        <w:t>1.1.3工程和设备</w:t>
      </w:r>
    </w:p>
    <w:p>
      <w:pPr>
        <w:spacing w:line="400" w:lineRule="exact"/>
        <w:ind w:firstLine="718" w:firstLineChars="342"/>
        <w:rPr>
          <w:rFonts w:hint="eastAsia"/>
          <w:color w:val="auto"/>
        </w:rPr>
      </w:pPr>
      <w:r>
        <w:rPr>
          <w:rFonts w:hint="eastAsia"/>
          <w:color w:val="auto"/>
        </w:rPr>
        <w:t>1.1.3.1 工程：指永久工程和（或）临时工程。</w:t>
      </w:r>
    </w:p>
    <w:p>
      <w:pPr>
        <w:spacing w:line="400" w:lineRule="exact"/>
        <w:ind w:firstLine="718" w:firstLineChars="342"/>
        <w:rPr>
          <w:rFonts w:hint="eastAsia"/>
          <w:color w:val="auto"/>
        </w:rPr>
      </w:pPr>
      <w:r>
        <w:rPr>
          <w:rFonts w:hint="eastAsia"/>
          <w:color w:val="auto"/>
        </w:rPr>
        <w:t>1.1.3.2 永久工程：指按合同约定建造并移交给发包人的工程，包括工程设备。</w:t>
      </w:r>
    </w:p>
    <w:p>
      <w:pPr>
        <w:spacing w:line="400" w:lineRule="exact"/>
        <w:ind w:firstLine="718" w:firstLineChars="342"/>
        <w:rPr>
          <w:rFonts w:hint="eastAsia"/>
          <w:color w:val="auto"/>
        </w:rPr>
      </w:pPr>
      <w:r>
        <w:rPr>
          <w:rFonts w:hint="eastAsia"/>
          <w:color w:val="auto"/>
        </w:rPr>
        <w:t>1.1.3.3 临时工程：指为完成合同约定的永久工程所修建的各类临时性工程，不包括施工设备。</w:t>
      </w:r>
    </w:p>
    <w:p>
      <w:pPr>
        <w:spacing w:line="400" w:lineRule="exact"/>
        <w:ind w:firstLine="718" w:firstLineChars="342"/>
        <w:rPr>
          <w:rFonts w:hint="eastAsia"/>
          <w:color w:val="auto"/>
        </w:rPr>
      </w:pPr>
      <w:r>
        <w:rPr>
          <w:rFonts w:hint="eastAsia"/>
          <w:color w:val="auto"/>
        </w:rPr>
        <w:t>1.1.3.4 单位工程：指专用合同条款中指明特定范围的永久工程。</w:t>
      </w:r>
    </w:p>
    <w:p>
      <w:pPr>
        <w:spacing w:line="400" w:lineRule="exact"/>
        <w:ind w:firstLine="718" w:firstLineChars="342"/>
        <w:rPr>
          <w:rFonts w:hint="eastAsia"/>
          <w:color w:val="auto"/>
        </w:rPr>
      </w:pPr>
      <w:r>
        <w:rPr>
          <w:rFonts w:hint="eastAsia"/>
          <w:color w:val="auto"/>
        </w:rPr>
        <w:t>1.1.3.5 工程设备：指构成或计划构成永久工程一部分的机电设备、金属结构设备、仪器装置及其他类似的设备和装置。</w:t>
      </w:r>
    </w:p>
    <w:p>
      <w:pPr>
        <w:spacing w:line="400" w:lineRule="exact"/>
        <w:ind w:firstLine="718" w:firstLineChars="342"/>
        <w:rPr>
          <w:rFonts w:hint="eastAsia"/>
          <w:color w:val="auto"/>
        </w:rPr>
      </w:pPr>
      <w:r>
        <w:rPr>
          <w:rFonts w:hint="eastAsia"/>
          <w:color w:val="auto"/>
        </w:rPr>
        <w:t>1.1.3.6 施工设备：指为完成合同约定的各项工作所需的设备、器具和其他物品，不包括临时工程和材料。</w:t>
      </w:r>
    </w:p>
    <w:p>
      <w:pPr>
        <w:spacing w:line="400" w:lineRule="exact"/>
        <w:ind w:firstLine="718" w:firstLineChars="342"/>
        <w:rPr>
          <w:rFonts w:hint="eastAsia"/>
          <w:color w:val="auto"/>
        </w:rPr>
      </w:pPr>
      <w:r>
        <w:rPr>
          <w:rFonts w:hint="eastAsia"/>
          <w:color w:val="auto"/>
        </w:rPr>
        <w:t>1.1.3.7 临时设施：指为完成合同约定的各项工作所服务的临时性生产和生活设施。</w:t>
      </w:r>
    </w:p>
    <w:p>
      <w:pPr>
        <w:spacing w:line="400" w:lineRule="exact"/>
        <w:ind w:firstLine="718" w:firstLineChars="342"/>
        <w:rPr>
          <w:rFonts w:hint="eastAsia"/>
          <w:color w:val="auto"/>
        </w:rPr>
      </w:pPr>
      <w:r>
        <w:rPr>
          <w:rFonts w:hint="eastAsia"/>
          <w:color w:val="auto"/>
        </w:rPr>
        <w:t>1.1.3.8 承包人设备：指承包人自带的施工设备。</w:t>
      </w:r>
    </w:p>
    <w:p>
      <w:pPr>
        <w:spacing w:line="400" w:lineRule="exact"/>
        <w:ind w:firstLine="718" w:firstLineChars="342"/>
        <w:rPr>
          <w:rFonts w:hint="eastAsia"/>
          <w:color w:val="auto"/>
        </w:rPr>
      </w:pPr>
      <w:r>
        <w:rPr>
          <w:rFonts w:hint="eastAsia"/>
          <w:color w:val="auto"/>
        </w:rPr>
        <w:t>1.1.3.9 施工场地（或称工地、现场）：指用于合同工程施工的场所，以及在合同中指定作为施工场地组成部分的其他场所，包括永久占地和临时占地。</w:t>
      </w:r>
    </w:p>
    <w:p>
      <w:pPr>
        <w:spacing w:line="360" w:lineRule="auto"/>
        <w:ind w:right="248" w:firstLine="707" w:firstLineChars="337"/>
        <w:rPr>
          <w:rFonts w:hint="eastAsia" w:ascii="宋体"/>
          <w:color w:val="auto"/>
          <w:szCs w:val="21"/>
        </w:rPr>
      </w:pPr>
      <w:bookmarkStart w:id="818" w:name="_Toc221950674"/>
      <w:r>
        <w:rPr>
          <w:rFonts w:hint="eastAsia"/>
          <w:color w:val="auto"/>
        </w:rPr>
        <w:t>1.1.3.10</w:t>
      </w:r>
      <w:r>
        <w:rPr>
          <w:rFonts w:hint="eastAsia" w:ascii="宋体"/>
          <w:color w:val="auto"/>
          <w:szCs w:val="21"/>
        </w:rPr>
        <w:t xml:space="preserve"> 永久占地：指发包人为建设本合同工程永久征用的场地。</w:t>
      </w:r>
      <w:bookmarkEnd w:id="818"/>
    </w:p>
    <w:p>
      <w:pPr>
        <w:autoSpaceDE w:val="0"/>
        <w:autoSpaceDN w:val="0"/>
        <w:adjustRightInd w:val="0"/>
        <w:ind w:firstLine="707" w:firstLineChars="337"/>
        <w:jc w:val="left"/>
        <w:rPr>
          <w:rFonts w:ascii="宋体" w:cs="宋体"/>
          <w:color w:val="auto"/>
          <w:kern w:val="0"/>
          <w:szCs w:val="21"/>
        </w:rPr>
      </w:pPr>
      <w:bookmarkStart w:id="819" w:name="_Toc221950675"/>
      <w:r>
        <w:rPr>
          <w:rFonts w:hint="eastAsia"/>
          <w:color w:val="auto"/>
        </w:rPr>
        <w:t>1.1.3.11</w:t>
      </w:r>
      <w:r>
        <w:rPr>
          <w:rFonts w:hint="eastAsia" w:ascii="宋体"/>
          <w:color w:val="auto"/>
          <w:szCs w:val="21"/>
        </w:rPr>
        <w:t xml:space="preserve"> 临时占地：指发包人为建设本合同工程临时征用，并应在完工后须按合同要求退还的场地</w:t>
      </w:r>
      <w:bookmarkEnd w:id="819"/>
    </w:p>
    <w:p>
      <w:pPr>
        <w:ind w:firstLine="420" w:firstLineChars="200"/>
        <w:rPr>
          <w:rFonts w:hint="eastAsia" w:ascii="宋体"/>
          <w:color w:val="auto"/>
          <w:szCs w:val="21"/>
        </w:rPr>
      </w:pPr>
      <w:bookmarkStart w:id="820" w:name="_Toc221950676"/>
      <w:r>
        <w:rPr>
          <w:color w:val="auto"/>
        </w:rPr>
        <w:t>1.1.4</w:t>
      </w:r>
      <w:r>
        <w:rPr>
          <w:rFonts w:ascii="Arial" w:hAnsi="Arial" w:eastAsia="黑体"/>
          <w:color w:val="auto"/>
          <w:szCs w:val="21"/>
        </w:rPr>
        <w:t xml:space="preserve"> </w:t>
      </w:r>
      <w:bookmarkEnd w:id="820"/>
      <w:r>
        <w:rPr>
          <w:rFonts w:hint="eastAsia" w:ascii="宋体"/>
          <w:color w:val="auto"/>
          <w:szCs w:val="21"/>
        </w:rPr>
        <w:t xml:space="preserve">日期： </w:t>
      </w:r>
    </w:p>
    <w:p>
      <w:pPr>
        <w:spacing w:line="400" w:lineRule="exact"/>
        <w:ind w:firstLine="718" w:firstLineChars="342"/>
        <w:rPr>
          <w:rFonts w:hint="eastAsia"/>
          <w:color w:val="auto"/>
        </w:rPr>
      </w:pPr>
      <w:r>
        <w:rPr>
          <w:rFonts w:hint="eastAsia"/>
          <w:color w:val="auto"/>
        </w:rPr>
        <w:t>1.1.4.1 开工通知：指监理人按第11.1款通知承包人开工的函件。</w:t>
      </w:r>
    </w:p>
    <w:p>
      <w:pPr>
        <w:spacing w:line="400" w:lineRule="exact"/>
        <w:ind w:firstLine="718" w:firstLineChars="342"/>
        <w:rPr>
          <w:rFonts w:hint="eastAsia"/>
          <w:color w:val="auto"/>
        </w:rPr>
      </w:pPr>
      <w:r>
        <w:rPr>
          <w:rFonts w:hint="eastAsia"/>
          <w:color w:val="auto"/>
        </w:rPr>
        <w:t>1.1.4.2 开工日期：指监理人按第11.1款发出的开工通知中写明的开工日期。</w:t>
      </w:r>
    </w:p>
    <w:p>
      <w:pPr>
        <w:spacing w:line="400" w:lineRule="exact"/>
        <w:ind w:firstLine="718" w:firstLineChars="342"/>
        <w:rPr>
          <w:rFonts w:hint="eastAsia"/>
          <w:color w:val="auto"/>
        </w:rPr>
      </w:pPr>
      <w:r>
        <w:rPr>
          <w:rFonts w:hint="eastAsia"/>
          <w:color w:val="auto"/>
        </w:rPr>
        <w:t>1.1.4.3工期：指承包人在投标函中承诺的完成合同工程所需的期限，包括按第11.3款、第11.4款和第11.6款约定所作的变更。</w:t>
      </w:r>
    </w:p>
    <w:p>
      <w:pPr>
        <w:spacing w:line="400" w:lineRule="exact"/>
        <w:ind w:firstLine="718" w:firstLineChars="342"/>
        <w:rPr>
          <w:rFonts w:hint="eastAsia"/>
          <w:color w:val="auto"/>
        </w:rPr>
      </w:pPr>
      <w:r>
        <w:rPr>
          <w:rFonts w:hint="eastAsia"/>
          <w:color w:val="auto"/>
        </w:rPr>
        <w:t>1.1.4.4 竣工日期：即合同工程完工日期，指第1.1.4.3目约定工期届满时的日期。实际完工日期以合同工程完工证书中写明的日期为准。</w:t>
      </w:r>
    </w:p>
    <w:p>
      <w:pPr>
        <w:spacing w:line="400" w:lineRule="exact"/>
        <w:ind w:firstLine="718" w:firstLineChars="342"/>
        <w:rPr>
          <w:rFonts w:hint="eastAsia"/>
          <w:color w:val="auto"/>
        </w:rPr>
      </w:pPr>
      <w:r>
        <w:rPr>
          <w:rFonts w:hint="eastAsia"/>
          <w:color w:val="auto"/>
        </w:rPr>
        <w:t>1.1.4.5 缺陷责任期：即工程质量保修期，指履行第19.2款约定的缺陷责任的期限，包括根据第19.3款约定所作的延长，具体期限由专用合同条款约定。</w:t>
      </w:r>
    </w:p>
    <w:p>
      <w:pPr>
        <w:spacing w:line="400" w:lineRule="exact"/>
        <w:ind w:firstLine="718" w:firstLineChars="342"/>
        <w:rPr>
          <w:rFonts w:hint="eastAsia"/>
          <w:color w:val="auto"/>
        </w:rPr>
      </w:pPr>
      <w:r>
        <w:rPr>
          <w:rFonts w:hint="eastAsia"/>
          <w:color w:val="auto"/>
        </w:rPr>
        <w:t>1.1.4.6 基准日期：指投标截止时间前28天的日期。</w:t>
      </w:r>
    </w:p>
    <w:p>
      <w:pPr>
        <w:spacing w:line="400" w:lineRule="exact"/>
        <w:ind w:firstLine="718" w:firstLineChars="342"/>
        <w:rPr>
          <w:rFonts w:hint="eastAsia"/>
          <w:color w:val="auto"/>
        </w:rPr>
      </w:pPr>
      <w:r>
        <w:rPr>
          <w:rFonts w:hint="eastAsia"/>
          <w:color w:val="auto"/>
        </w:rPr>
        <w:t>1.1.4.7 天：除特别指明外，指日历天。合同中按天计算时间的，开始当天不计入，从次日开始计算。期限最后一天的截止时间为当天24:00。</w:t>
      </w:r>
    </w:p>
    <w:p>
      <w:pPr>
        <w:spacing w:line="400" w:lineRule="exact"/>
        <w:ind w:firstLine="420" w:firstLineChars="200"/>
        <w:rPr>
          <w:rFonts w:hint="eastAsia"/>
          <w:color w:val="auto"/>
        </w:rPr>
      </w:pPr>
      <w:r>
        <w:rPr>
          <w:rFonts w:hint="eastAsia"/>
          <w:color w:val="auto"/>
        </w:rPr>
        <w:t xml:space="preserve">1.1.5 </w:t>
      </w:r>
      <w:r>
        <w:rPr>
          <w:rFonts w:hint="eastAsia" w:ascii="黑体" w:eastAsia="黑体"/>
          <w:color w:val="auto"/>
        </w:rPr>
        <w:t>合同价格和费用</w:t>
      </w:r>
    </w:p>
    <w:p>
      <w:pPr>
        <w:spacing w:line="400" w:lineRule="exact"/>
        <w:ind w:firstLine="718" w:firstLineChars="342"/>
        <w:rPr>
          <w:rFonts w:hint="eastAsia"/>
          <w:color w:val="auto"/>
        </w:rPr>
      </w:pPr>
      <w:r>
        <w:rPr>
          <w:rFonts w:hint="eastAsia"/>
          <w:color w:val="auto"/>
        </w:rPr>
        <w:t>1.1.5.1 签约合同价：指签定合同时合同协议书中写明的，包括了暂列金额、暂估价的合同总金额。</w:t>
      </w:r>
    </w:p>
    <w:p>
      <w:pPr>
        <w:spacing w:line="400" w:lineRule="exact"/>
        <w:ind w:firstLine="718" w:firstLineChars="342"/>
        <w:rPr>
          <w:rFonts w:hint="eastAsia"/>
          <w:color w:val="auto"/>
        </w:rPr>
      </w:pPr>
      <w:r>
        <w:rPr>
          <w:rFonts w:hint="eastAsia"/>
          <w:color w:val="auto"/>
        </w:rPr>
        <w:t>1.1.5.2 合同价格：指承包人按合同约定完成了包括缺陷责任期内的全部承包工作后，发包人应付给承包人的金额，包括在履行合同过程中按合同约定进行的变更和调整。</w:t>
      </w:r>
    </w:p>
    <w:p>
      <w:pPr>
        <w:spacing w:line="400" w:lineRule="exact"/>
        <w:ind w:firstLine="718" w:firstLineChars="342"/>
        <w:rPr>
          <w:rFonts w:hint="eastAsia"/>
          <w:color w:val="auto"/>
        </w:rPr>
      </w:pPr>
      <w:r>
        <w:rPr>
          <w:rFonts w:hint="eastAsia"/>
          <w:color w:val="auto"/>
        </w:rPr>
        <w:t>1.1.5.3 费用：指为履行合同所发生的或将要发生的所有合理开支，包括管理费和应分摊的其他费用，但不包括利润。</w:t>
      </w:r>
    </w:p>
    <w:p>
      <w:pPr>
        <w:spacing w:line="400" w:lineRule="exact"/>
        <w:ind w:firstLine="718" w:firstLineChars="342"/>
        <w:rPr>
          <w:rFonts w:hint="eastAsia"/>
          <w:color w:val="auto"/>
        </w:rPr>
      </w:pPr>
      <w:r>
        <w:rPr>
          <w:rFonts w:hint="eastAsia"/>
          <w:color w:val="auto"/>
        </w:rPr>
        <w:t>1.1.5.4 暂列金额：指已标价工程量清单中所列的暂列金额，用于在签订协议书时尚未确定或不可预见变更的施工及其所需材料、工程设备、服务等的金额，包括以计日工方式支付的金额。</w:t>
      </w:r>
    </w:p>
    <w:p>
      <w:pPr>
        <w:spacing w:line="400" w:lineRule="exact"/>
        <w:ind w:firstLine="718" w:firstLineChars="342"/>
        <w:rPr>
          <w:rFonts w:hint="eastAsia"/>
          <w:color w:val="auto"/>
        </w:rPr>
      </w:pPr>
      <w:r>
        <w:rPr>
          <w:rFonts w:hint="eastAsia"/>
          <w:color w:val="auto"/>
        </w:rPr>
        <w:t>1.1.5.5暂估价：指发包人在工程量清单中给定的用于支付必然发生但暂时不能确定价格的材料、设备以及专业工程的金额。</w:t>
      </w:r>
    </w:p>
    <w:p>
      <w:pPr>
        <w:spacing w:line="400" w:lineRule="exact"/>
        <w:ind w:firstLine="718" w:firstLineChars="342"/>
        <w:rPr>
          <w:rFonts w:hint="eastAsia"/>
          <w:color w:val="auto"/>
        </w:rPr>
      </w:pPr>
      <w:r>
        <w:rPr>
          <w:rFonts w:hint="eastAsia"/>
          <w:color w:val="auto"/>
        </w:rPr>
        <w:t>1.1.5.6 计日工：指对零星工作采取的一种计价方式，按合同中的计日工子目及其单价计价付款。</w:t>
      </w:r>
    </w:p>
    <w:p>
      <w:pPr>
        <w:spacing w:line="400" w:lineRule="exact"/>
        <w:ind w:firstLine="718" w:firstLineChars="342"/>
        <w:rPr>
          <w:rFonts w:hint="eastAsia"/>
          <w:color w:val="auto"/>
        </w:rPr>
      </w:pPr>
      <w:r>
        <w:rPr>
          <w:rFonts w:hint="eastAsia"/>
          <w:color w:val="auto"/>
        </w:rPr>
        <w:t>1.1.5.7 质量保证金（或称保留金）：指按第17.4.1项约定用于保证在缺陷责任期内履行缺陷修复义务的金额。</w:t>
      </w:r>
    </w:p>
    <w:p>
      <w:pPr>
        <w:spacing w:line="400" w:lineRule="exact"/>
        <w:ind w:firstLine="420" w:firstLineChars="200"/>
        <w:rPr>
          <w:rFonts w:hint="eastAsia"/>
          <w:color w:val="auto"/>
        </w:rPr>
      </w:pPr>
      <w:bookmarkStart w:id="821" w:name="_Toc221950693"/>
      <w:r>
        <w:rPr>
          <w:rFonts w:hint="eastAsia"/>
          <w:color w:val="auto"/>
        </w:rPr>
        <w:t xml:space="preserve">1.1.6 </w:t>
      </w:r>
      <w:r>
        <w:rPr>
          <w:rFonts w:hint="eastAsia" w:ascii="黑体" w:eastAsia="黑体"/>
          <w:color w:val="auto"/>
        </w:rPr>
        <w:t>其他</w:t>
      </w:r>
    </w:p>
    <w:p>
      <w:pPr>
        <w:spacing w:line="400" w:lineRule="exact"/>
        <w:ind w:firstLine="718" w:firstLineChars="342"/>
        <w:rPr>
          <w:rFonts w:hint="eastAsia"/>
          <w:color w:val="auto"/>
        </w:rPr>
      </w:pPr>
      <w:r>
        <w:rPr>
          <w:rFonts w:hint="eastAsia"/>
          <w:color w:val="auto"/>
        </w:rPr>
        <w:t>1.1.6.1 书面形式：指合同文件、信函、电报、传真等可以有形地表现所载内容的形式。</w:t>
      </w:r>
    </w:p>
    <w:p>
      <w:pPr>
        <w:keepNext/>
        <w:keepLines/>
        <w:spacing w:line="400" w:lineRule="exact"/>
        <w:outlineLvl w:val="3"/>
        <w:rPr>
          <w:rFonts w:hint="eastAsia" w:eastAsia="黑体"/>
          <w:color w:val="auto"/>
          <w:sz w:val="24"/>
          <w:szCs w:val="20"/>
        </w:rPr>
      </w:pPr>
      <w:bookmarkStart w:id="822" w:name="_Toc152042391"/>
      <w:bookmarkStart w:id="823" w:name="_Toc715"/>
      <w:bookmarkStart w:id="824" w:name="_Toc144974581"/>
      <w:bookmarkStart w:id="825" w:name="_Toc152045613"/>
      <w:bookmarkStart w:id="826" w:name="_Toc179632631"/>
      <w:bookmarkStart w:id="827" w:name="_Toc517172388"/>
      <w:r>
        <w:rPr>
          <w:rFonts w:hint="eastAsia" w:eastAsia="黑体"/>
          <w:color w:val="auto"/>
          <w:sz w:val="24"/>
          <w:szCs w:val="20"/>
        </w:rPr>
        <w:t>1.2 语言文字</w:t>
      </w:r>
      <w:bookmarkEnd w:id="822"/>
      <w:bookmarkEnd w:id="823"/>
      <w:bookmarkEnd w:id="824"/>
      <w:bookmarkEnd w:id="825"/>
      <w:bookmarkEnd w:id="826"/>
      <w:bookmarkEnd w:id="827"/>
    </w:p>
    <w:p>
      <w:pPr>
        <w:spacing w:line="400" w:lineRule="exact"/>
        <w:ind w:firstLine="420" w:firstLineChars="200"/>
        <w:rPr>
          <w:rFonts w:hint="eastAsia"/>
          <w:color w:val="auto"/>
        </w:rPr>
      </w:pPr>
      <w:r>
        <w:rPr>
          <w:rFonts w:hint="eastAsia"/>
          <w:color w:val="auto"/>
        </w:rPr>
        <w:t>除专用术语外，合同使用的语言文字为中文。必要时专用术语应附有中文注释。</w:t>
      </w:r>
    </w:p>
    <w:p>
      <w:pPr>
        <w:keepNext/>
        <w:keepLines/>
        <w:spacing w:line="400" w:lineRule="exact"/>
        <w:outlineLvl w:val="3"/>
        <w:rPr>
          <w:rFonts w:hint="eastAsia" w:eastAsia="黑体"/>
          <w:color w:val="auto"/>
          <w:sz w:val="24"/>
          <w:szCs w:val="20"/>
        </w:rPr>
      </w:pPr>
      <w:bookmarkStart w:id="828" w:name="_Toc144974582"/>
      <w:bookmarkStart w:id="829" w:name="_Toc179632632"/>
      <w:bookmarkStart w:id="830" w:name="_Toc517172389"/>
      <w:bookmarkStart w:id="831" w:name="_Toc152045614"/>
      <w:bookmarkStart w:id="832" w:name="_Toc152042392"/>
      <w:bookmarkStart w:id="833" w:name="_Toc32443"/>
      <w:r>
        <w:rPr>
          <w:rFonts w:hint="eastAsia" w:eastAsia="黑体"/>
          <w:color w:val="auto"/>
          <w:sz w:val="24"/>
          <w:szCs w:val="20"/>
        </w:rPr>
        <w:t>1.3 法律</w:t>
      </w:r>
      <w:bookmarkEnd w:id="828"/>
      <w:bookmarkEnd w:id="829"/>
      <w:bookmarkEnd w:id="830"/>
      <w:bookmarkEnd w:id="831"/>
      <w:bookmarkEnd w:id="832"/>
      <w:bookmarkEnd w:id="833"/>
    </w:p>
    <w:p>
      <w:pPr>
        <w:spacing w:line="400" w:lineRule="exact"/>
        <w:ind w:firstLine="420" w:firstLineChars="200"/>
        <w:rPr>
          <w:rFonts w:hint="eastAsia"/>
          <w:color w:val="auto"/>
        </w:rPr>
      </w:pPr>
      <w:r>
        <w:rPr>
          <w:rFonts w:hint="eastAsia"/>
          <w:color w:val="auto"/>
        </w:rPr>
        <w:t>适用于合同的法律包括中华人民共和国法律、行政法规、部门规章，以及工程所在地的地方法规、自治条例、单行条例和地方政府规章。</w:t>
      </w:r>
    </w:p>
    <w:p>
      <w:pPr>
        <w:keepNext/>
        <w:keepLines/>
        <w:spacing w:line="400" w:lineRule="exact"/>
        <w:outlineLvl w:val="3"/>
        <w:rPr>
          <w:rFonts w:hint="eastAsia" w:eastAsia="黑体"/>
          <w:color w:val="auto"/>
          <w:sz w:val="24"/>
          <w:szCs w:val="20"/>
        </w:rPr>
      </w:pPr>
      <w:bookmarkStart w:id="834" w:name="_Toc3267"/>
      <w:bookmarkStart w:id="835" w:name="_Toc152042393"/>
      <w:bookmarkStart w:id="836" w:name="_Toc179632633"/>
      <w:bookmarkStart w:id="837" w:name="_Toc152045615"/>
      <w:bookmarkStart w:id="838" w:name="_Toc517172390"/>
      <w:bookmarkStart w:id="839" w:name="_Toc144974583"/>
      <w:r>
        <w:rPr>
          <w:rFonts w:hint="eastAsia" w:eastAsia="黑体"/>
          <w:color w:val="auto"/>
          <w:sz w:val="24"/>
          <w:szCs w:val="20"/>
        </w:rPr>
        <w:t>1.4 合同文件的优先顺序</w:t>
      </w:r>
      <w:bookmarkEnd w:id="834"/>
      <w:bookmarkEnd w:id="835"/>
      <w:bookmarkEnd w:id="836"/>
      <w:bookmarkEnd w:id="837"/>
      <w:bookmarkEnd w:id="838"/>
      <w:bookmarkEnd w:id="839"/>
    </w:p>
    <w:p>
      <w:pPr>
        <w:spacing w:line="400" w:lineRule="exact"/>
        <w:ind w:firstLine="420" w:firstLineChars="200"/>
        <w:rPr>
          <w:rFonts w:hint="eastAsia"/>
          <w:color w:val="auto"/>
        </w:rPr>
      </w:pPr>
      <w:r>
        <w:rPr>
          <w:rFonts w:hint="eastAsia"/>
          <w:color w:val="auto"/>
        </w:rPr>
        <w:t>组成合同的各项文件应互相解释，互为说明。除专用合同条款另有约定外，解释合同文件的优先顺序如下：</w:t>
      </w:r>
    </w:p>
    <w:p>
      <w:pPr>
        <w:spacing w:line="400" w:lineRule="exact"/>
        <w:ind w:firstLine="359" w:firstLineChars="171"/>
        <w:rPr>
          <w:rFonts w:hint="eastAsia"/>
          <w:color w:val="auto"/>
        </w:rPr>
      </w:pPr>
      <w:r>
        <w:rPr>
          <w:rFonts w:hint="eastAsia"/>
          <w:color w:val="auto"/>
        </w:rPr>
        <w:t>（1）合同协议书；</w:t>
      </w:r>
    </w:p>
    <w:p>
      <w:pPr>
        <w:spacing w:line="400" w:lineRule="exact"/>
        <w:ind w:firstLine="359" w:firstLineChars="171"/>
        <w:rPr>
          <w:rFonts w:hint="eastAsia"/>
          <w:color w:val="auto"/>
        </w:rPr>
      </w:pPr>
      <w:r>
        <w:rPr>
          <w:rFonts w:hint="eastAsia"/>
          <w:color w:val="auto"/>
        </w:rPr>
        <w:t>（2）中标通知书；</w:t>
      </w:r>
    </w:p>
    <w:p>
      <w:pPr>
        <w:spacing w:line="400" w:lineRule="exact"/>
        <w:ind w:firstLine="359" w:firstLineChars="171"/>
        <w:rPr>
          <w:rFonts w:hint="eastAsia"/>
          <w:color w:val="auto"/>
        </w:rPr>
      </w:pPr>
      <w:r>
        <w:rPr>
          <w:rFonts w:hint="eastAsia"/>
          <w:color w:val="auto"/>
        </w:rPr>
        <w:t>（3）投标函及投标函附录；</w:t>
      </w:r>
    </w:p>
    <w:p>
      <w:pPr>
        <w:spacing w:line="400" w:lineRule="exact"/>
        <w:ind w:firstLine="359" w:firstLineChars="171"/>
        <w:rPr>
          <w:rFonts w:hint="eastAsia"/>
          <w:color w:val="auto"/>
        </w:rPr>
      </w:pPr>
      <w:r>
        <w:rPr>
          <w:rFonts w:hint="eastAsia"/>
          <w:color w:val="auto"/>
        </w:rPr>
        <w:t>（4）专用合同条款；</w:t>
      </w:r>
    </w:p>
    <w:p>
      <w:pPr>
        <w:spacing w:line="400" w:lineRule="exact"/>
        <w:ind w:firstLine="359" w:firstLineChars="171"/>
        <w:rPr>
          <w:rFonts w:hint="eastAsia"/>
          <w:color w:val="auto"/>
        </w:rPr>
      </w:pPr>
      <w:r>
        <w:rPr>
          <w:rFonts w:hint="eastAsia"/>
          <w:color w:val="auto"/>
        </w:rPr>
        <w:t>（5）通用合同条款；</w:t>
      </w:r>
    </w:p>
    <w:p>
      <w:pPr>
        <w:spacing w:line="400" w:lineRule="exact"/>
        <w:ind w:firstLine="359" w:firstLineChars="171"/>
        <w:rPr>
          <w:rFonts w:hint="eastAsia"/>
          <w:color w:val="auto"/>
        </w:rPr>
      </w:pPr>
      <w:r>
        <w:rPr>
          <w:rFonts w:hint="eastAsia"/>
          <w:color w:val="auto"/>
        </w:rPr>
        <w:t>（6）技术标准和要求；</w:t>
      </w:r>
    </w:p>
    <w:p>
      <w:pPr>
        <w:spacing w:line="400" w:lineRule="exact"/>
        <w:ind w:firstLine="359" w:firstLineChars="171"/>
        <w:rPr>
          <w:rFonts w:hint="eastAsia"/>
          <w:color w:val="auto"/>
        </w:rPr>
      </w:pPr>
      <w:r>
        <w:rPr>
          <w:rFonts w:hint="eastAsia"/>
          <w:color w:val="auto"/>
        </w:rPr>
        <w:t>（7）图纸；</w:t>
      </w:r>
    </w:p>
    <w:p>
      <w:pPr>
        <w:spacing w:line="400" w:lineRule="exact"/>
        <w:ind w:firstLine="359" w:firstLineChars="171"/>
        <w:rPr>
          <w:rFonts w:hint="eastAsia"/>
          <w:color w:val="auto"/>
        </w:rPr>
      </w:pPr>
      <w:r>
        <w:rPr>
          <w:rFonts w:hint="eastAsia"/>
          <w:color w:val="auto"/>
        </w:rPr>
        <w:t>（8）已标价工程量清单；</w:t>
      </w:r>
    </w:p>
    <w:p>
      <w:pPr>
        <w:spacing w:line="400" w:lineRule="exact"/>
        <w:ind w:firstLine="359" w:firstLineChars="171"/>
        <w:rPr>
          <w:rFonts w:hint="eastAsia"/>
          <w:color w:val="auto"/>
        </w:rPr>
      </w:pPr>
      <w:r>
        <w:rPr>
          <w:rFonts w:hint="eastAsia"/>
          <w:color w:val="auto"/>
        </w:rPr>
        <w:t>（9）其他合同文件。</w:t>
      </w:r>
    </w:p>
    <w:p>
      <w:pPr>
        <w:keepNext/>
        <w:keepLines/>
        <w:spacing w:line="400" w:lineRule="exact"/>
        <w:outlineLvl w:val="3"/>
        <w:rPr>
          <w:rFonts w:hint="eastAsia" w:eastAsia="黑体"/>
          <w:color w:val="auto"/>
          <w:sz w:val="24"/>
          <w:szCs w:val="20"/>
        </w:rPr>
      </w:pPr>
      <w:bookmarkStart w:id="840" w:name="_Toc179632634"/>
      <w:bookmarkStart w:id="841" w:name="_Toc152045616"/>
      <w:bookmarkStart w:id="842" w:name="_Toc152042394"/>
      <w:bookmarkStart w:id="843" w:name="_Toc144974584"/>
      <w:bookmarkStart w:id="844" w:name="_Toc517172391"/>
      <w:bookmarkStart w:id="845" w:name="_Toc19024"/>
      <w:r>
        <w:rPr>
          <w:rFonts w:hint="eastAsia" w:eastAsia="黑体"/>
          <w:color w:val="auto"/>
          <w:sz w:val="24"/>
          <w:szCs w:val="20"/>
        </w:rPr>
        <w:t>1.5 合同协议书</w:t>
      </w:r>
      <w:bookmarkEnd w:id="840"/>
      <w:bookmarkEnd w:id="841"/>
      <w:bookmarkEnd w:id="842"/>
      <w:bookmarkEnd w:id="843"/>
      <w:bookmarkEnd w:id="844"/>
      <w:bookmarkEnd w:id="845"/>
    </w:p>
    <w:p>
      <w:pPr>
        <w:spacing w:line="400" w:lineRule="exact"/>
        <w:ind w:firstLine="420" w:firstLineChars="200"/>
        <w:rPr>
          <w:rFonts w:hint="eastAsia"/>
          <w:color w:val="auto"/>
        </w:rPr>
      </w:pPr>
      <w:r>
        <w:rPr>
          <w:rFonts w:hint="eastAsia"/>
          <w:color w:val="auto"/>
        </w:rPr>
        <w:t>承包人按中标通知书规定的时间与发包人签订合同协议书。除法律另有规定或合同另有约定外，发包人和承包人的法定代表人或其委托代理人在合同协议书上签字并盖单位章后，合同生效。</w:t>
      </w:r>
    </w:p>
    <w:p>
      <w:pPr>
        <w:keepNext/>
        <w:keepLines/>
        <w:spacing w:line="400" w:lineRule="exact"/>
        <w:outlineLvl w:val="3"/>
        <w:rPr>
          <w:rFonts w:hint="eastAsia" w:eastAsia="黑体"/>
          <w:color w:val="auto"/>
          <w:sz w:val="24"/>
          <w:szCs w:val="20"/>
        </w:rPr>
      </w:pPr>
      <w:bookmarkStart w:id="846" w:name="_Toc21295"/>
      <w:bookmarkStart w:id="847" w:name="_Toc517172392"/>
      <w:r>
        <w:rPr>
          <w:rFonts w:hint="eastAsia" w:eastAsia="黑体"/>
          <w:color w:val="auto"/>
          <w:sz w:val="24"/>
          <w:szCs w:val="20"/>
        </w:rPr>
        <w:t>1.6 图纸和承包人文件</w:t>
      </w:r>
      <w:bookmarkEnd w:id="846"/>
      <w:bookmarkEnd w:id="847"/>
    </w:p>
    <w:bookmarkEnd w:id="821"/>
    <w:p>
      <w:pPr>
        <w:spacing w:line="400" w:lineRule="exact"/>
        <w:ind w:firstLine="420" w:firstLineChars="200"/>
        <w:rPr>
          <w:rFonts w:hint="eastAsia"/>
          <w:color w:val="auto"/>
        </w:rPr>
      </w:pPr>
      <w:bookmarkStart w:id="848" w:name="_Toc221950695"/>
      <w:r>
        <w:rPr>
          <w:rFonts w:hint="eastAsia"/>
          <w:color w:val="auto"/>
        </w:rPr>
        <w:t>1.6.1</w:t>
      </w:r>
      <w:r>
        <w:rPr>
          <w:rFonts w:hint="eastAsia" w:ascii="黑体" w:eastAsia="黑体"/>
          <w:color w:val="auto"/>
        </w:rPr>
        <w:t>图纸的提供</w:t>
      </w:r>
    </w:p>
    <w:p>
      <w:pPr>
        <w:spacing w:line="400" w:lineRule="exact"/>
        <w:ind w:firstLine="420" w:firstLineChars="200"/>
        <w:rPr>
          <w:rFonts w:hint="eastAsia"/>
          <w:color w:val="auto"/>
        </w:rPr>
      </w:pPr>
      <w:r>
        <w:rPr>
          <w:rFonts w:hint="eastAsia"/>
          <w:color w:val="auto"/>
        </w:rPr>
        <w:t>发包人应按技术标准和要求（合同技术条款）约定的期限和数量将施工图纸以及其它图纸（包括配套说明和有关资料）提供给承包人。由于发包人未按时提供图纸造成工期延误的，按第11.3款的约定办理。</w:t>
      </w:r>
    </w:p>
    <w:bookmarkEnd w:id="848"/>
    <w:p>
      <w:pPr>
        <w:spacing w:line="400" w:lineRule="exact"/>
        <w:ind w:firstLine="420" w:firstLineChars="200"/>
        <w:rPr>
          <w:rFonts w:hint="eastAsia"/>
          <w:color w:val="auto"/>
        </w:rPr>
      </w:pPr>
      <w:r>
        <w:rPr>
          <w:rFonts w:hint="eastAsia"/>
          <w:color w:val="auto"/>
        </w:rPr>
        <w:t xml:space="preserve">1.6.2 </w:t>
      </w:r>
      <w:r>
        <w:rPr>
          <w:rFonts w:hint="eastAsia" w:ascii="黑体" w:eastAsia="黑体"/>
          <w:color w:val="auto"/>
        </w:rPr>
        <w:t>承包人提供的文件</w:t>
      </w:r>
    </w:p>
    <w:p>
      <w:pPr>
        <w:spacing w:line="400" w:lineRule="exact"/>
        <w:rPr>
          <w:rFonts w:hint="eastAsia"/>
          <w:color w:val="auto"/>
        </w:rPr>
      </w:pPr>
      <w:r>
        <w:rPr>
          <w:rFonts w:hint="eastAsia"/>
          <w:color w:val="auto"/>
        </w:rPr>
        <w:t>　　承包人提供的文件应按技术标准和要求（合同技术条款）约定的期限和数量提供给监理人。监理人应按技术标准和要求（合同技术条款）约定的期限批复承包人。</w:t>
      </w:r>
    </w:p>
    <w:p>
      <w:pPr>
        <w:spacing w:line="400" w:lineRule="exact"/>
        <w:ind w:firstLine="420" w:firstLineChars="200"/>
        <w:rPr>
          <w:rFonts w:hint="eastAsia"/>
          <w:color w:val="auto"/>
        </w:rPr>
      </w:pPr>
      <w:r>
        <w:rPr>
          <w:rFonts w:hint="eastAsia"/>
          <w:color w:val="auto"/>
        </w:rPr>
        <w:t xml:space="preserve">1.6.3 </w:t>
      </w:r>
      <w:r>
        <w:rPr>
          <w:rFonts w:hint="eastAsia" w:ascii="黑体" w:eastAsia="黑体"/>
          <w:color w:val="auto"/>
        </w:rPr>
        <w:t>图纸的修改</w:t>
      </w:r>
    </w:p>
    <w:p>
      <w:pPr>
        <w:spacing w:line="400" w:lineRule="exact"/>
        <w:ind w:firstLine="420" w:firstLineChars="200"/>
        <w:rPr>
          <w:rFonts w:hint="eastAsia"/>
          <w:color w:val="auto"/>
        </w:rPr>
      </w:pPr>
      <w:r>
        <w:rPr>
          <w:rFonts w:hint="eastAsia"/>
          <w:color w:val="auto"/>
        </w:rPr>
        <w:t>设计人需要对已发给承包人的施工图纸进行修改时，监理人应在技术标准和要求（合同技术条款）约定的期限内签发施工图纸的修改图给承包人。承包人应按技术标准和要求（合同技术条款）的约定编制一份承包人实施计划提交监理人批准后执行。</w:t>
      </w:r>
    </w:p>
    <w:p>
      <w:pPr>
        <w:spacing w:line="400" w:lineRule="exact"/>
        <w:ind w:firstLine="420" w:firstLineChars="200"/>
        <w:rPr>
          <w:rFonts w:hint="eastAsia"/>
          <w:color w:val="auto"/>
        </w:rPr>
      </w:pPr>
      <w:r>
        <w:rPr>
          <w:rFonts w:hint="eastAsia"/>
          <w:color w:val="auto"/>
        </w:rPr>
        <w:t xml:space="preserve">1.6.4 </w:t>
      </w:r>
      <w:r>
        <w:rPr>
          <w:rFonts w:hint="eastAsia" w:ascii="黑体" w:eastAsia="黑体"/>
          <w:color w:val="auto"/>
        </w:rPr>
        <w:t>图纸的错误</w:t>
      </w:r>
    </w:p>
    <w:p>
      <w:pPr>
        <w:spacing w:line="400" w:lineRule="exact"/>
        <w:ind w:firstLine="420" w:firstLineChars="200"/>
        <w:rPr>
          <w:rFonts w:hint="eastAsia"/>
          <w:color w:val="auto"/>
        </w:rPr>
      </w:pPr>
      <w:r>
        <w:rPr>
          <w:rFonts w:hint="eastAsia"/>
          <w:color w:val="auto"/>
        </w:rPr>
        <w:t>承包人发现发包人提供的图纸存在明显错误或疏忽，应及时通知监理人。</w:t>
      </w:r>
    </w:p>
    <w:p>
      <w:pPr>
        <w:spacing w:line="400" w:lineRule="exact"/>
        <w:ind w:firstLine="420" w:firstLineChars="200"/>
        <w:rPr>
          <w:rFonts w:hint="eastAsia"/>
          <w:color w:val="auto"/>
        </w:rPr>
      </w:pPr>
      <w:r>
        <w:rPr>
          <w:rFonts w:hint="eastAsia"/>
          <w:color w:val="auto"/>
        </w:rPr>
        <w:t xml:space="preserve">1.6.5 </w:t>
      </w:r>
      <w:r>
        <w:rPr>
          <w:rFonts w:hint="eastAsia" w:ascii="黑体" w:eastAsia="黑体"/>
          <w:color w:val="auto"/>
        </w:rPr>
        <w:t>图纸和承包人文件的保管</w:t>
      </w:r>
    </w:p>
    <w:p>
      <w:pPr>
        <w:spacing w:line="400" w:lineRule="exact"/>
        <w:ind w:firstLine="420" w:firstLineChars="200"/>
        <w:rPr>
          <w:rFonts w:hint="eastAsia"/>
          <w:color w:val="auto"/>
        </w:rPr>
      </w:pPr>
      <w:r>
        <w:rPr>
          <w:rFonts w:hint="eastAsia"/>
          <w:color w:val="auto"/>
        </w:rPr>
        <w:t>监理人和承包人均应在施工场地各保存一套完整的包含第1.6.1项、第1.6.2项、第1.6.3项约定内容的图纸和承包人文件。</w:t>
      </w:r>
    </w:p>
    <w:p>
      <w:pPr>
        <w:keepNext/>
        <w:keepLines/>
        <w:spacing w:line="400" w:lineRule="exact"/>
        <w:outlineLvl w:val="3"/>
        <w:rPr>
          <w:rFonts w:hint="eastAsia" w:eastAsia="黑体"/>
          <w:color w:val="auto"/>
          <w:sz w:val="24"/>
          <w:szCs w:val="20"/>
        </w:rPr>
      </w:pPr>
      <w:bookmarkStart w:id="849" w:name="_Toc19120"/>
      <w:bookmarkStart w:id="850" w:name="_Toc517172393"/>
      <w:bookmarkStart w:id="851" w:name="_Toc221950701"/>
      <w:r>
        <w:rPr>
          <w:rFonts w:hint="eastAsia" w:eastAsia="黑体"/>
          <w:color w:val="auto"/>
          <w:sz w:val="24"/>
          <w:szCs w:val="20"/>
        </w:rPr>
        <w:t>1.7 联络</w:t>
      </w:r>
      <w:bookmarkEnd w:id="849"/>
      <w:bookmarkEnd w:id="850"/>
    </w:p>
    <w:p>
      <w:pPr>
        <w:spacing w:line="400" w:lineRule="exact"/>
        <w:ind w:firstLine="420" w:firstLineChars="200"/>
        <w:rPr>
          <w:rFonts w:hint="eastAsia"/>
          <w:color w:val="auto"/>
        </w:rPr>
      </w:pPr>
      <w:r>
        <w:rPr>
          <w:rFonts w:hint="eastAsia"/>
          <w:color w:val="auto"/>
        </w:rPr>
        <w:t>1.7.1 与合同有关的通知、批准、证明、证书、指示、要求、请求、同意、意见、确定和决定等，均应采用书面形式。</w:t>
      </w:r>
    </w:p>
    <w:p>
      <w:pPr>
        <w:spacing w:line="400" w:lineRule="exact"/>
        <w:ind w:firstLine="420" w:firstLineChars="200"/>
        <w:rPr>
          <w:rFonts w:hint="eastAsia"/>
          <w:color w:val="auto"/>
        </w:rPr>
      </w:pPr>
      <w:r>
        <w:rPr>
          <w:color w:val="auto"/>
        </w:rPr>
        <w:t>1</w:t>
      </w:r>
      <w:r>
        <w:rPr>
          <w:rFonts w:hint="eastAsia"/>
          <w:color w:val="auto"/>
        </w:rPr>
        <w:t>.</w:t>
      </w:r>
      <w:r>
        <w:rPr>
          <w:color w:val="auto"/>
        </w:rPr>
        <w:t>7</w:t>
      </w:r>
      <w:r>
        <w:rPr>
          <w:rFonts w:hint="eastAsia"/>
          <w:color w:val="auto"/>
        </w:rPr>
        <w:t>.</w:t>
      </w:r>
      <w:r>
        <w:rPr>
          <w:color w:val="auto"/>
        </w:rPr>
        <w:t>2</w:t>
      </w:r>
      <w:r>
        <w:rPr>
          <w:rFonts w:hint="eastAsia"/>
          <w:color w:val="auto"/>
        </w:rPr>
        <w:t xml:space="preserve">  第1.7.1项中的通知、批准、证明、证书、指示、要求、请求、同意、意见、确定和决定等来往函件，均应在合同约定的期限内送达指定地点和接收人，并办理签收手续。来往函件的送期限在技术标准和要求（合同技术条款）中约定，送达地点在专用合同条款中约定。</w:t>
      </w:r>
    </w:p>
    <w:p>
      <w:pPr>
        <w:spacing w:line="400" w:lineRule="exact"/>
        <w:ind w:firstLine="420" w:firstLineChars="200"/>
        <w:rPr>
          <w:rFonts w:hint="eastAsia"/>
          <w:color w:val="auto"/>
        </w:rPr>
      </w:pPr>
      <w:r>
        <w:rPr>
          <w:rFonts w:hint="eastAsia"/>
          <w:color w:val="auto"/>
        </w:rPr>
        <w:t>1.7.3  来往函件均应按合同约定的期限及时发出和答复，不得无故扣压和拖延，亦不得拒收。否则，由此造成的后果由责任方负责。</w:t>
      </w:r>
      <w:bookmarkEnd w:id="851"/>
    </w:p>
    <w:p>
      <w:pPr>
        <w:keepNext/>
        <w:keepLines/>
        <w:spacing w:line="400" w:lineRule="exact"/>
        <w:outlineLvl w:val="3"/>
        <w:rPr>
          <w:rFonts w:hint="eastAsia" w:eastAsia="黑体"/>
          <w:color w:val="auto"/>
          <w:sz w:val="24"/>
          <w:szCs w:val="20"/>
        </w:rPr>
      </w:pPr>
      <w:bookmarkStart w:id="852" w:name="_Toc517172394"/>
      <w:bookmarkStart w:id="853" w:name="_Toc179632637"/>
      <w:bookmarkStart w:id="854" w:name="_Toc152045619"/>
      <w:bookmarkStart w:id="855" w:name="_Toc152042397"/>
      <w:bookmarkStart w:id="856" w:name="_Toc144974587"/>
      <w:bookmarkStart w:id="857" w:name="_Toc27074"/>
      <w:r>
        <w:rPr>
          <w:rFonts w:hint="eastAsia" w:eastAsia="黑体"/>
          <w:color w:val="auto"/>
          <w:sz w:val="24"/>
          <w:szCs w:val="20"/>
        </w:rPr>
        <w:t>1.8 转让</w:t>
      </w:r>
      <w:bookmarkEnd w:id="852"/>
      <w:bookmarkEnd w:id="853"/>
      <w:bookmarkEnd w:id="854"/>
      <w:bookmarkEnd w:id="855"/>
      <w:bookmarkEnd w:id="856"/>
      <w:bookmarkEnd w:id="857"/>
    </w:p>
    <w:p>
      <w:pPr>
        <w:spacing w:line="400" w:lineRule="exact"/>
        <w:ind w:firstLine="420" w:firstLineChars="200"/>
        <w:rPr>
          <w:rFonts w:hint="eastAsia"/>
          <w:color w:val="auto"/>
        </w:rPr>
      </w:pPr>
      <w:r>
        <w:rPr>
          <w:rFonts w:hint="eastAsia"/>
          <w:color w:val="auto"/>
        </w:rPr>
        <w:t>除合同另有约定外，未经对方当事人同意，一方当事人不得将合同权利全部或部分转让给第三人，也不得全部或部分转移合同义务。</w:t>
      </w:r>
    </w:p>
    <w:p>
      <w:pPr>
        <w:keepNext/>
        <w:keepLines/>
        <w:spacing w:line="400" w:lineRule="exact"/>
        <w:outlineLvl w:val="3"/>
        <w:rPr>
          <w:rFonts w:hint="eastAsia" w:eastAsia="黑体"/>
          <w:color w:val="auto"/>
          <w:sz w:val="24"/>
          <w:szCs w:val="20"/>
        </w:rPr>
      </w:pPr>
      <w:bookmarkStart w:id="858" w:name="_Toc179632638"/>
      <w:bookmarkStart w:id="859" w:name="_Toc144974588"/>
      <w:bookmarkStart w:id="860" w:name="_Toc152045620"/>
      <w:bookmarkStart w:id="861" w:name="_Toc152042398"/>
      <w:bookmarkStart w:id="862" w:name="_Toc2043"/>
      <w:bookmarkStart w:id="863" w:name="_Toc517172395"/>
      <w:r>
        <w:rPr>
          <w:rFonts w:hint="eastAsia" w:eastAsia="黑体"/>
          <w:color w:val="auto"/>
          <w:sz w:val="24"/>
          <w:szCs w:val="20"/>
        </w:rPr>
        <w:t>1.9 严禁贿赂</w:t>
      </w:r>
      <w:bookmarkEnd w:id="858"/>
      <w:bookmarkEnd w:id="859"/>
      <w:bookmarkEnd w:id="860"/>
      <w:bookmarkEnd w:id="861"/>
      <w:bookmarkEnd w:id="862"/>
      <w:bookmarkEnd w:id="863"/>
    </w:p>
    <w:p>
      <w:pPr>
        <w:spacing w:line="400" w:lineRule="exact"/>
        <w:ind w:firstLine="420" w:firstLineChars="200"/>
        <w:rPr>
          <w:rFonts w:hint="eastAsia"/>
          <w:color w:val="auto"/>
        </w:rPr>
      </w:pPr>
      <w:r>
        <w:rPr>
          <w:rFonts w:hint="eastAsia"/>
          <w:color w:val="auto"/>
        </w:rPr>
        <w:t>合同双方当事人不得以贿赂或变相贿赂的方式，谋取不当利益或损害对方权益。因贿赂造成对方损失的，行为人应赔偿损失，并承担相应的法律责任。</w:t>
      </w:r>
    </w:p>
    <w:p>
      <w:pPr>
        <w:keepNext/>
        <w:keepLines/>
        <w:spacing w:line="400" w:lineRule="exact"/>
        <w:outlineLvl w:val="3"/>
        <w:rPr>
          <w:rFonts w:hint="eastAsia" w:eastAsia="黑体"/>
          <w:color w:val="auto"/>
          <w:sz w:val="24"/>
          <w:szCs w:val="20"/>
        </w:rPr>
      </w:pPr>
      <w:bookmarkStart w:id="864" w:name="_Toc144974589"/>
      <w:bookmarkStart w:id="865" w:name="_Toc152042399"/>
      <w:bookmarkStart w:id="866" w:name="_Toc152045621"/>
      <w:bookmarkStart w:id="867" w:name="_Toc22129"/>
      <w:bookmarkStart w:id="868" w:name="_Toc517172396"/>
      <w:bookmarkStart w:id="869" w:name="_Toc179632639"/>
      <w:r>
        <w:rPr>
          <w:rFonts w:hint="eastAsia" w:eastAsia="黑体"/>
          <w:color w:val="auto"/>
          <w:sz w:val="24"/>
          <w:szCs w:val="20"/>
        </w:rPr>
        <w:t>1.10 化石、文物</w:t>
      </w:r>
      <w:bookmarkEnd w:id="864"/>
      <w:bookmarkEnd w:id="865"/>
      <w:bookmarkEnd w:id="866"/>
      <w:bookmarkEnd w:id="867"/>
      <w:bookmarkEnd w:id="868"/>
      <w:bookmarkEnd w:id="869"/>
    </w:p>
    <w:p>
      <w:pPr>
        <w:spacing w:line="400" w:lineRule="exact"/>
        <w:ind w:firstLine="420" w:firstLineChars="200"/>
        <w:rPr>
          <w:rFonts w:hint="eastAsia"/>
          <w:color w:val="auto"/>
        </w:rPr>
      </w:pPr>
      <w:r>
        <w:rPr>
          <w:rFonts w:hint="eastAsia"/>
          <w:color w:val="auto"/>
        </w:rPr>
        <w:t>1.10.1 在施工场地发掘的所有文物、古迹以及具有地质研究或考古价值的其他遗迹、化石、钱币或物品属于国家所有。一旦发现上述文物，承包人应采取有效合理的保护措施，防止任何人员移动或损坏上述物品，并立即报告当地文物行政部门，同时通知监理人。发包人、监理人和承包人应按文物行政部门要求采取妥善保护措施，由此导致费用增加和（或）工期延误由发包人承担。</w:t>
      </w:r>
    </w:p>
    <w:p>
      <w:pPr>
        <w:spacing w:line="400" w:lineRule="exact"/>
        <w:ind w:firstLine="420" w:firstLineChars="200"/>
        <w:rPr>
          <w:rFonts w:hint="eastAsia"/>
          <w:color w:val="auto"/>
        </w:rPr>
      </w:pPr>
      <w:r>
        <w:rPr>
          <w:rFonts w:hint="eastAsia"/>
          <w:color w:val="auto"/>
        </w:rPr>
        <w:t>1.10.2 承包人发现文物后不及时报告或隐瞒不报，致使文物丢失或损坏的，应赔偿损失，并承担相应的法律责任。</w:t>
      </w:r>
    </w:p>
    <w:p>
      <w:pPr>
        <w:keepNext/>
        <w:keepLines/>
        <w:spacing w:line="400" w:lineRule="exact"/>
        <w:outlineLvl w:val="3"/>
        <w:rPr>
          <w:rFonts w:hint="eastAsia" w:eastAsia="黑体"/>
          <w:color w:val="auto"/>
          <w:sz w:val="24"/>
          <w:szCs w:val="20"/>
        </w:rPr>
      </w:pPr>
      <w:bookmarkStart w:id="870" w:name="_Toc517172397"/>
      <w:bookmarkStart w:id="871" w:name="_Toc23904"/>
      <w:r>
        <w:rPr>
          <w:rFonts w:hint="eastAsia" w:eastAsia="黑体"/>
          <w:color w:val="auto"/>
          <w:sz w:val="24"/>
          <w:szCs w:val="20"/>
        </w:rPr>
        <w:t>1.11 专利技术</w:t>
      </w:r>
      <w:bookmarkEnd w:id="870"/>
      <w:bookmarkEnd w:id="871"/>
    </w:p>
    <w:p>
      <w:pPr>
        <w:spacing w:line="400" w:lineRule="exact"/>
        <w:ind w:firstLine="420" w:firstLineChars="200"/>
        <w:rPr>
          <w:rFonts w:hint="eastAsia"/>
          <w:color w:val="auto"/>
        </w:rPr>
      </w:pPr>
      <w:r>
        <w:rPr>
          <w:rFonts w:hint="eastAsia"/>
          <w:color w:val="auto"/>
        </w:rPr>
        <w:t>1.11.1 承包人在使用任何材料、承包人设备、工程设备或采用施工工艺时，因侵犯专利权或其他知识产权所引起的责任，由承包人承担，但由于遵照发包人提供的设计或技术标准和要求引起的除外。</w:t>
      </w:r>
    </w:p>
    <w:p>
      <w:pPr>
        <w:spacing w:line="400" w:lineRule="exact"/>
        <w:ind w:firstLine="420" w:firstLineChars="200"/>
        <w:rPr>
          <w:rFonts w:hint="eastAsia"/>
          <w:color w:val="auto"/>
        </w:rPr>
      </w:pPr>
      <w:r>
        <w:rPr>
          <w:rFonts w:hint="eastAsia"/>
          <w:color w:val="auto"/>
        </w:rPr>
        <w:t>1.11.2 承包人在投标文件中采用专利技术的，专利技术的使用费包含在投标报价内。</w:t>
      </w:r>
    </w:p>
    <w:p>
      <w:pPr>
        <w:spacing w:line="400" w:lineRule="exact"/>
        <w:ind w:firstLine="420" w:firstLineChars="200"/>
        <w:rPr>
          <w:rFonts w:hint="eastAsia"/>
          <w:color w:val="auto"/>
        </w:rPr>
      </w:pPr>
      <w:r>
        <w:rPr>
          <w:rFonts w:hint="eastAsia"/>
          <w:color w:val="auto"/>
        </w:rPr>
        <w:t>1.11.3 承包人的技术秘密和声明需要保密的资料和信息，发包人和监理人不得为合同以外的目的泄露给他人。</w:t>
      </w:r>
    </w:p>
    <w:p>
      <w:pPr>
        <w:spacing w:line="400" w:lineRule="exact"/>
        <w:ind w:firstLine="420" w:firstLineChars="200"/>
        <w:rPr>
          <w:rFonts w:hint="eastAsia"/>
          <w:color w:val="auto"/>
        </w:rPr>
      </w:pPr>
      <w:bookmarkStart w:id="872" w:name="_Toc221950710"/>
      <w:r>
        <w:rPr>
          <w:rFonts w:hint="eastAsia"/>
          <w:color w:val="auto"/>
        </w:rPr>
        <w:t>1.11.4  合同实施过程中，发包人要求承包人采用专利技术的，发包人应办理相应的使用手续，承包人应按发包人约定的条件使用，并承担使用专利技术的相关试验工作。所需的费用由发包人承担。</w:t>
      </w:r>
      <w:bookmarkEnd w:id="872"/>
    </w:p>
    <w:p>
      <w:pPr>
        <w:keepNext/>
        <w:keepLines/>
        <w:spacing w:line="400" w:lineRule="exact"/>
        <w:outlineLvl w:val="3"/>
        <w:rPr>
          <w:rFonts w:hint="eastAsia" w:eastAsia="黑体"/>
          <w:color w:val="auto"/>
          <w:sz w:val="24"/>
          <w:szCs w:val="20"/>
        </w:rPr>
      </w:pPr>
      <w:bookmarkStart w:id="873" w:name="_Toc144974591"/>
      <w:bookmarkStart w:id="874" w:name="_Toc152042401"/>
      <w:bookmarkStart w:id="875" w:name="_Toc152045623"/>
      <w:bookmarkStart w:id="876" w:name="_Toc179632641"/>
      <w:bookmarkStart w:id="877" w:name="_Toc517172398"/>
      <w:bookmarkStart w:id="878" w:name="_Toc26768"/>
      <w:r>
        <w:rPr>
          <w:rFonts w:hint="eastAsia" w:eastAsia="黑体"/>
          <w:color w:val="auto"/>
          <w:sz w:val="24"/>
          <w:szCs w:val="20"/>
        </w:rPr>
        <w:t>1.12 图纸和文件的保密</w:t>
      </w:r>
      <w:bookmarkEnd w:id="873"/>
      <w:bookmarkEnd w:id="874"/>
      <w:bookmarkEnd w:id="875"/>
      <w:bookmarkEnd w:id="876"/>
      <w:bookmarkEnd w:id="877"/>
      <w:bookmarkEnd w:id="878"/>
    </w:p>
    <w:p>
      <w:pPr>
        <w:spacing w:line="400" w:lineRule="exact"/>
        <w:ind w:firstLine="420" w:firstLineChars="200"/>
        <w:rPr>
          <w:rFonts w:hint="eastAsia"/>
          <w:color w:val="auto"/>
        </w:rPr>
      </w:pPr>
      <w:r>
        <w:rPr>
          <w:rFonts w:hint="eastAsia"/>
          <w:color w:val="auto"/>
        </w:rPr>
        <w:t>1.12.1 发包人提供的图纸和文件，未经发包人同意，承包人不得为合同以外的目的泄露给他人或公开发表与引用。</w:t>
      </w:r>
    </w:p>
    <w:p>
      <w:pPr>
        <w:spacing w:line="400" w:lineRule="exact"/>
        <w:ind w:firstLine="420" w:firstLineChars="200"/>
        <w:rPr>
          <w:rFonts w:hint="eastAsia"/>
          <w:color w:val="auto"/>
        </w:rPr>
      </w:pPr>
      <w:r>
        <w:rPr>
          <w:rFonts w:hint="eastAsia"/>
          <w:color w:val="auto"/>
        </w:rPr>
        <w:t>1.12.2 承包人提供的文件，未经承包人同意，发包人和监理人不得为合同以外的目的泄露给他人或公开发表与引用。</w:t>
      </w:r>
    </w:p>
    <w:p>
      <w:pPr>
        <w:pStyle w:val="80"/>
        <w:spacing w:before="120" w:after="120" w:afterLines="50"/>
        <w:outlineLvl w:val="2"/>
        <w:rPr>
          <w:rFonts w:hint="eastAsia"/>
          <w:color w:val="auto"/>
        </w:rPr>
      </w:pPr>
      <w:bookmarkStart w:id="879" w:name="_Toc222031005"/>
      <w:bookmarkStart w:id="880" w:name="_Toc221950713"/>
      <w:bookmarkStart w:id="881" w:name="_Toc222029503"/>
      <w:bookmarkStart w:id="882" w:name="_Toc222032672"/>
      <w:bookmarkStart w:id="883" w:name="_Toc222033854"/>
      <w:bookmarkStart w:id="884" w:name="_Toc491089730"/>
      <w:bookmarkStart w:id="885" w:name="_Toc229305363"/>
      <w:bookmarkStart w:id="886" w:name="_Toc387753584"/>
      <w:bookmarkStart w:id="887" w:name="_Toc16952"/>
      <w:bookmarkStart w:id="888" w:name="_Toc517172399"/>
      <w:r>
        <w:rPr>
          <w:color w:val="auto"/>
        </w:rPr>
        <w:t xml:space="preserve">2. </w:t>
      </w:r>
      <w:r>
        <w:rPr>
          <w:rFonts w:hint="eastAsia"/>
          <w:color w:val="auto"/>
        </w:rPr>
        <w:t>发包人义务</w:t>
      </w:r>
      <w:bookmarkEnd w:id="879"/>
      <w:bookmarkEnd w:id="880"/>
      <w:bookmarkEnd w:id="881"/>
      <w:bookmarkEnd w:id="882"/>
      <w:bookmarkEnd w:id="883"/>
      <w:bookmarkEnd w:id="884"/>
      <w:bookmarkEnd w:id="885"/>
      <w:bookmarkEnd w:id="886"/>
      <w:bookmarkEnd w:id="887"/>
      <w:bookmarkEnd w:id="888"/>
      <w:bookmarkStart w:id="889" w:name="_Toc221950720"/>
    </w:p>
    <w:p>
      <w:pPr>
        <w:keepNext/>
        <w:keepLines/>
        <w:spacing w:line="400" w:lineRule="exact"/>
        <w:outlineLvl w:val="3"/>
        <w:rPr>
          <w:rFonts w:hint="eastAsia" w:eastAsia="黑体"/>
          <w:color w:val="auto"/>
          <w:sz w:val="24"/>
          <w:szCs w:val="20"/>
        </w:rPr>
      </w:pPr>
      <w:bookmarkStart w:id="890" w:name="_Toc179632643"/>
      <w:bookmarkStart w:id="891" w:name="_Toc29190"/>
      <w:bookmarkStart w:id="892" w:name="_Toc152045625"/>
      <w:bookmarkStart w:id="893" w:name="_Toc152042403"/>
      <w:bookmarkStart w:id="894" w:name="_Toc144974593"/>
      <w:bookmarkStart w:id="895" w:name="_Toc517172400"/>
      <w:r>
        <w:rPr>
          <w:rFonts w:hint="eastAsia" w:eastAsia="黑体"/>
          <w:color w:val="auto"/>
          <w:sz w:val="24"/>
          <w:szCs w:val="20"/>
        </w:rPr>
        <w:t>2.1 遵守法律</w:t>
      </w:r>
      <w:bookmarkEnd w:id="890"/>
      <w:bookmarkEnd w:id="891"/>
      <w:bookmarkEnd w:id="892"/>
      <w:bookmarkEnd w:id="893"/>
      <w:bookmarkEnd w:id="894"/>
      <w:bookmarkEnd w:id="895"/>
    </w:p>
    <w:p>
      <w:pPr>
        <w:spacing w:line="400" w:lineRule="exact"/>
        <w:ind w:firstLine="420" w:firstLineChars="200"/>
        <w:rPr>
          <w:rFonts w:hint="eastAsia"/>
          <w:color w:val="auto"/>
        </w:rPr>
      </w:pPr>
      <w:r>
        <w:rPr>
          <w:rFonts w:hint="eastAsia"/>
          <w:color w:val="auto"/>
        </w:rPr>
        <w:t>发包人在履行合同过程中应遵守法律，并保证承包人免于承担因发包人违反法律而引起的任何责任。</w:t>
      </w:r>
    </w:p>
    <w:p>
      <w:pPr>
        <w:keepNext/>
        <w:keepLines/>
        <w:spacing w:line="400" w:lineRule="exact"/>
        <w:outlineLvl w:val="3"/>
        <w:rPr>
          <w:rFonts w:hint="eastAsia" w:eastAsia="黑体"/>
          <w:color w:val="auto"/>
          <w:sz w:val="24"/>
          <w:szCs w:val="20"/>
        </w:rPr>
      </w:pPr>
      <w:bookmarkStart w:id="896" w:name="_Toc179632644"/>
      <w:bookmarkStart w:id="897" w:name="_Toc152045626"/>
      <w:bookmarkStart w:id="898" w:name="_Toc517172401"/>
      <w:bookmarkStart w:id="899" w:name="_Toc144974594"/>
      <w:bookmarkStart w:id="900" w:name="_Toc152042404"/>
      <w:bookmarkStart w:id="901" w:name="_Toc24827"/>
      <w:r>
        <w:rPr>
          <w:rFonts w:hint="eastAsia" w:eastAsia="黑体"/>
          <w:color w:val="auto"/>
          <w:sz w:val="24"/>
          <w:szCs w:val="20"/>
        </w:rPr>
        <w:t>2.2 发出开工通知</w:t>
      </w:r>
      <w:bookmarkEnd w:id="896"/>
      <w:bookmarkEnd w:id="897"/>
      <w:bookmarkEnd w:id="898"/>
      <w:bookmarkEnd w:id="899"/>
      <w:bookmarkEnd w:id="900"/>
      <w:bookmarkEnd w:id="901"/>
    </w:p>
    <w:p>
      <w:pPr>
        <w:spacing w:line="400" w:lineRule="exact"/>
        <w:ind w:firstLine="420" w:firstLineChars="200"/>
        <w:rPr>
          <w:rFonts w:hint="eastAsia"/>
          <w:color w:val="auto"/>
        </w:rPr>
      </w:pPr>
      <w:r>
        <w:rPr>
          <w:rFonts w:hint="eastAsia"/>
          <w:color w:val="auto"/>
        </w:rPr>
        <w:t>发包人应委托监理人按第11.1款的约定向承包人发出开工通知。</w:t>
      </w:r>
    </w:p>
    <w:p>
      <w:pPr>
        <w:keepNext/>
        <w:keepLines/>
        <w:spacing w:line="400" w:lineRule="exact"/>
        <w:outlineLvl w:val="3"/>
        <w:rPr>
          <w:rFonts w:hint="eastAsia" w:eastAsia="黑体"/>
          <w:color w:val="auto"/>
          <w:sz w:val="24"/>
          <w:szCs w:val="20"/>
        </w:rPr>
      </w:pPr>
      <w:bookmarkStart w:id="902" w:name="_Toc517172402"/>
      <w:bookmarkStart w:id="903" w:name="_Toc15085"/>
      <w:r>
        <w:rPr>
          <w:rFonts w:hint="eastAsia" w:eastAsia="黑体"/>
          <w:color w:val="auto"/>
          <w:sz w:val="24"/>
          <w:szCs w:val="20"/>
        </w:rPr>
        <w:t>2.3 提供施工场地</w:t>
      </w:r>
      <w:bookmarkEnd w:id="902"/>
      <w:bookmarkEnd w:id="903"/>
    </w:p>
    <w:p>
      <w:pPr>
        <w:spacing w:line="400" w:lineRule="exact"/>
        <w:ind w:firstLine="420" w:firstLineChars="200"/>
        <w:rPr>
          <w:rFonts w:hint="eastAsia"/>
          <w:color w:val="auto"/>
        </w:rPr>
      </w:pPr>
      <w:r>
        <w:rPr>
          <w:rFonts w:hint="eastAsia"/>
          <w:color w:val="auto"/>
        </w:rPr>
        <w:t>2.3.1发包人应在合同双方签定合同协议书后的14天内，将本合同工程的施工场地范围图提交给承包人。发包人提供的施工用地范围图应标明用地范围内永久占地与临时占地的范围和界限，以及指明提供给承包人用于施工场地布置的范围和界限及其有关资料</w:t>
      </w:r>
      <w:bookmarkEnd w:id="889"/>
      <w:r>
        <w:rPr>
          <w:rFonts w:hint="eastAsia"/>
          <w:color w:val="auto"/>
        </w:rPr>
        <w:t xml:space="preserve"> 。</w:t>
      </w:r>
    </w:p>
    <w:p>
      <w:pPr>
        <w:spacing w:line="400" w:lineRule="exact"/>
        <w:ind w:firstLine="420" w:firstLineChars="200"/>
        <w:rPr>
          <w:rFonts w:hint="eastAsia"/>
          <w:color w:val="auto"/>
        </w:rPr>
      </w:pPr>
      <w:r>
        <w:rPr>
          <w:rFonts w:hint="eastAsia"/>
          <w:color w:val="auto"/>
        </w:rPr>
        <w:t>2.3.2发包人提供的施工用地范围在专用合同条款中约定。</w:t>
      </w:r>
    </w:p>
    <w:p>
      <w:pPr>
        <w:spacing w:line="400" w:lineRule="exact"/>
        <w:ind w:firstLine="420" w:firstLineChars="200"/>
        <w:rPr>
          <w:rFonts w:hint="eastAsia" w:ascii="宋体"/>
          <w:color w:val="auto"/>
          <w:szCs w:val="21"/>
        </w:rPr>
      </w:pPr>
      <w:bookmarkStart w:id="904" w:name="_Toc221950721"/>
      <w:r>
        <w:rPr>
          <w:rFonts w:hint="eastAsia"/>
          <w:color w:val="auto"/>
        </w:rPr>
        <w:t>2.3.3除专用合同条款另有约定外，发包人应按技术标准和要求（合同技术条款）的约定，向承包人提供施工场地内的工程地质图纸和报告，以及地下障碍物图纸等施工场地有关资料</w:t>
      </w:r>
      <w:bookmarkEnd w:id="904"/>
      <w:r>
        <w:rPr>
          <w:rFonts w:hint="eastAsia"/>
          <w:color w:val="auto"/>
        </w:rPr>
        <w:t>，并保证资料的真实、准确、完整。</w:t>
      </w:r>
    </w:p>
    <w:p>
      <w:pPr>
        <w:keepNext/>
        <w:keepLines/>
        <w:spacing w:line="400" w:lineRule="exact"/>
        <w:outlineLvl w:val="3"/>
        <w:rPr>
          <w:rFonts w:hint="eastAsia" w:eastAsia="黑体"/>
          <w:color w:val="auto"/>
          <w:sz w:val="24"/>
          <w:szCs w:val="20"/>
        </w:rPr>
      </w:pPr>
      <w:bookmarkStart w:id="905" w:name="_Toc517172403"/>
      <w:bookmarkStart w:id="906" w:name="_Toc152042406"/>
      <w:bookmarkStart w:id="907" w:name="_Toc179632646"/>
      <w:bookmarkStart w:id="908" w:name="_Toc4821"/>
      <w:bookmarkStart w:id="909" w:name="_Toc152045628"/>
      <w:bookmarkStart w:id="910" w:name="_Toc144974596"/>
      <w:r>
        <w:rPr>
          <w:rFonts w:hint="eastAsia" w:eastAsia="黑体"/>
          <w:color w:val="auto"/>
          <w:sz w:val="24"/>
          <w:szCs w:val="20"/>
        </w:rPr>
        <w:t>2.4 协助承包人办理证件和批件</w:t>
      </w:r>
      <w:bookmarkEnd w:id="905"/>
      <w:bookmarkEnd w:id="906"/>
      <w:bookmarkEnd w:id="907"/>
      <w:bookmarkEnd w:id="908"/>
      <w:bookmarkEnd w:id="909"/>
      <w:bookmarkEnd w:id="910"/>
    </w:p>
    <w:p>
      <w:pPr>
        <w:spacing w:line="400" w:lineRule="exact"/>
        <w:ind w:firstLine="420" w:firstLineChars="200"/>
        <w:rPr>
          <w:rFonts w:hint="eastAsia"/>
          <w:color w:val="auto"/>
        </w:rPr>
      </w:pPr>
      <w:r>
        <w:rPr>
          <w:rFonts w:hint="eastAsia"/>
          <w:color w:val="auto"/>
        </w:rPr>
        <w:t>发包人应协助承包人办理法律规定的有关施工证件和批件。</w:t>
      </w:r>
    </w:p>
    <w:p>
      <w:pPr>
        <w:keepNext/>
        <w:keepLines/>
        <w:spacing w:line="400" w:lineRule="exact"/>
        <w:outlineLvl w:val="3"/>
        <w:rPr>
          <w:rFonts w:hint="eastAsia" w:eastAsia="黑体"/>
          <w:color w:val="auto"/>
          <w:sz w:val="24"/>
          <w:szCs w:val="20"/>
        </w:rPr>
      </w:pPr>
      <w:bookmarkStart w:id="911" w:name="_Toc152042407"/>
      <w:bookmarkStart w:id="912" w:name="_Toc152045629"/>
      <w:bookmarkStart w:id="913" w:name="_Toc179632647"/>
      <w:bookmarkStart w:id="914" w:name="_Toc517172404"/>
      <w:bookmarkStart w:id="915" w:name="_Toc2899"/>
      <w:bookmarkStart w:id="916" w:name="_Toc144974597"/>
      <w:r>
        <w:rPr>
          <w:rFonts w:hint="eastAsia" w:eastAsia="黑体"/>
          <w:color w:val="auto"/>
          <w:sz w:val="24"/>
          <w:szCs w:val="20"/>
        </w:rPr>
        <w:t>2.5 组织设计交底</w:t>
      </w:r>
      <w:bookmarkEnd w:id="911"/>
      <w:bookmarkEnd w:id="912"/>
      <w:bookmarkEnd w:id="913"/>
      <w:bookmarkEnd w:id="914"/>
      <w:bookmarkEnd w:id="915"/>
      <w:bookmarkEnd w:id="916"/>
    </w:p>
    <w:p>
      <w:pPr>
        <w:spacing w:line="400" w:lineRule="exact"/>
        <w:ind w:firstLine="420" w:firstLineChars="200"/>
        <w:rPr>
          <w:rFonts w:hint="eastAsia"/>
          <w:color w:val="auto"/>
        </w:rPr>
      </w:pPr>
      <w:r>
        <w:rPr>
          <w:rFonts w:hint="eastAsia"/>
          <w:color w:val="auto"/>
        </w:rPr>
        <w:t>发包人应根据合同进度计划，组织设计单位向承包人进行设计交底。</w:t>
      </w:r>
    </w:p>
    <w:p>
      <w:pPr>
        <w:keepNext/>
        <w:keepLines/>
        <w:spacing w:line="400" w:lineRule="exact"/>
        <w:outlineLvl w:val="3"/>
        <w:rPr>
          <w:rFonts w:hint="eastAsia" w:eastAsia="黑体"/>
          <w:color w:val="auto"/>
          <w:sz w:val="24"/>
          <w:szCs w:val="20"/>
        </w:rPr>
      </w:pPr>
      <w:bookmarkStart w:id="917" w:name="_Toc144974598"/>
      <w:bookmarkStart w:id="918" w:name="_Toc152042408"/>
      <w:bookmarkStart w:id="919" w:name="_Toc152045630"/>
      <w:bookmarkStart w:id="920" w:name="_Toc179632648"/>
      <w:bookmarkStart w:id="921" w:name="_Toc19684"/>
      <w:bookmarkStart w:id="922" w:name="_Toc517172405"/>
      <w:r>
        <w:rPr>
          <w:rFonts w:hint="eastAsia" w:eastAsia="黑体"/>
          <w:color w:val="auto"/>
          <w:sz w:val="24"/>
          <w:szCs w:val="20"/>
        </w:rPr>
        <w:t>2.6 支付合同价款</w:t>
      </w:r>
      <w:bookmarkEnd w:id="917"/>
      <w:bookmarkEnd w:id="918"/>
      <w:bookmarkEnd w:id="919"/>
      <w:bookmarkEnd w:id="920"/>
      <w:bookmarkEnd w:id="921"/>
      <w:bookmarkEnd w:id="922"/>
    </w:p>
    <w:p>
      <w:pPr>
        <w:spacing w:line="400" w:lineRule="exact"/>
        <w:ind w:firstLine="420" w:firstLineChars="200"/>
        <w:rPr>
          <w:rFonts w:hint="eastAsia"/>
          <w:color w:val="auto"/>
        </w:rPr>
      </w:pPr>
      <w:r>
        <w:rPr>
          <w:rFonts w:hint="eastAsia"/>
          <w:color w:val="auto"/>
        </w:rPr>
        <w:t>发包人应按合同约定向承包人及时支付合同价款。</w:t>
      </w:r>
    </w:p>
    <w:p>
      <w:pPr>
        <w:keepNext/>
        <w:keepLines/>
        <w:spacing w:line="400" w:lineRule="exact"/>
        <w:outlineLvl w:val="3"/>
        <w:rPr>
          <w:rFonts w:hint="eastAsia" w:eastAsia="黑体"/>
          <w:color w:val="auto"/>
          <w:sz w:val="24"/>
          <w:szCs w:val="20"/>
        </w:rPr>
      </w:pPr>
      <w:bookmarkStart w:id="923" w:name="_Toc144974599"/>
      <w:bookmarkStart w:id="924" w:name="_Toc152042409"/>
      <w:bookmarkStart w:id="925" w:name="_Toc152045631"/>
      <w:bookmarkStart w:id="926" w:name="_Toc179632649"/>
      <w:bookmarkStart w:id="927" w:name="_Toc517172406"/>
      <w:bookmarkStart w:id="928" w:name="_Toc17410"/>
      <w:r>
        <w:rPr>
          <w:rFonts w:hint="eastAsia" w:eastAsia="黑体"/>
          <w:color w:val="auto"/>
          <w:sz w:val="24"/>
          <w:szCs w:val="20"/>
        </w:rPr>
        <w:t>2.7 组织竣工验收</w:t>
      </w:r>
      <w:bookmarkEnd w:id="923"/>
      <w:bookmarkEnd w:id="924"/>
      <w:bookmarkEnd w:id="925"/>
      <w:bookmarkEnd w:id="926"/>
      <w:r>
        <w:rPr>
          <w:rFonts w:hint="eastAsia" w:eastAsia="黑体"/>
          <w:color w:val="auto"/>
          <w:sz w:val="24"/>
          <w:szCs w:val="20"/>
        </w:rPr>
        <w:t>（组织法人验收）</w:t>
      </w:r>
      <w:bookmarkEnd w:id="927"/>
      <w:bookmarkEnd w:id="928"/>
    </w:p>
    <w:p>
      <w:pPr>
        <w:spacing w:line="400" w:lineRule="exact"/>
        <w:ind w:firstLine="420" w:firstLineChars="200"/>
        <w:rPr>
          <w:rFonts w:hint="eastAsia"/>
          <w:color w:val="auto"/>
        </w:rPr>
      </w:pPr>
      <w:r>
        <w:rPr>
          <w:rFonts w:hint="eastAsia"/>
          <w:color w:val="auto"/>
        </w:rPr>
        <w:t>发包人应按合同约定及时组织法人验收。</w:t>
      </w:r>
    </w:p>
    <w:p>
      <w:pPr>
        <w:keepNext/>
        <w:keepLines/>
        <w:spacing w:line="400" w:lineRule="exact"/>
        <w:outlineLvl w:val="3"/>
        <w:rPr>
          <w:rFonts w:hint="eastAsia" w:eastAsia="黑体"/>
          <w:color w:val="auto"/>
          <w:sz w:val="24"/>
          <w:szCs w:val="20"/>
        </w:rPr>
      </w:pPr>
      <w:bookmarkStart w:id="929" w:name="_Toc517172407"/>
      <w:bookmarkStart w:id="930" w:name="_Toc13414"/>
      <w:r>
        <w:rPr>
          <w:rFonts w:hint="eastAsia" w:eastAsia="黑体"/>
          <w:color w:val="auto"/>
          <w:sz w:val="24"/>
          <w:szCs w:val="20"/>
        </w:rPr>
        <w:t>2.8</w:t>
      </w:r>
      <w:r>
        <w:rPr>
          <w:rFonts w:eastAsia="黑体"/>
          <w:color w:val="auto"/>
          <w:sz w:val="24"/>
          <w:szCs w:val="20"/>
        </w:rPr>
        <w:t xml:space="preserve"> </w:t>
      </w:r>
      <w:r>
        <w:rPr>
          <w:rFonts w:hint="eastAsia" w:eastAsia="黑体"/>
          <w:color w:val="auto"/>
          <w:sz w:val="24"/>
          <w:szCs w:val="20"/>
        </w:rPr>
        <w:t>其它义务</w:t>
      </w:r>
      <w:bookmarkEnd w:id="929"/>
      <w:bookmarkEnd w:id="930"/>
    </w:p>
    <w:p>
      <w:pPr>
        <w:spacing w:line="360" w:lineRule="auto"/>
        <w:ind w:right="248" w:firstLine="420" w:firstLineChars="200"/>
        <w:rPr>
          <w:rFonts w:hint="eastAsia" w:ascii="宋体"/>
          <w:color w:val="auto"/>
          <w:szCs w:val="21"/>
        </w:rPr>
      </w:pPr>
      <w:r>
        <w:rPr>
          <w:rFonts w:hint="eastAsia" w:ascii="宋体"/>
          <w:color w:val="auto"/>
          <w:szCs w:val="21"/>
        </w:rPr>
        <w:t>其它义务在专用合同条款中补充约定。</w:t>
      </w:r>
    </w:p>
    <w:p>
      <w:pPr>
        <w:pStyle w:val="80"/>
        <w:spacing w:before="120" w:after="120" w:afterLines="50"/>
        <w:outlineLvl w:val="2"/>
        <w:rPr>
          <w:color w:val="auto"/>
        </w:rPr>
      </w:pPr>
      <w:bookmarkStart w:id="931" w:name="_Toc222029504"/>
      <w:bookmarkStart w:id="932" w:name="_Toc221950732"/>
      <w:bookmarkStart w:id="933" w:name="_Toc222031006"/>
      <w:bookmarkStart w:id="934" w:name="_Toc222032673"/>
      <w:bookmarkStart w:id="935" w:name="_Toc517172408"/>
      <w:bookmarkStart w:id="936" w:name="_Toc222033855"/>
      <w:bookmarkStart w:id="937" w:name="_Toc1648"/>
      <w:bookmarkStart w:id="938" w:name="_Toc491089731"/>
      <w:bookmarkStart w:id="939" w:name="_Toc229305364"/>
      <w:bookmarkStart w:id="940" w:name="_Toc387753585"/>
      <w:r>
        <w:rPr>
          <w:color w:val="auto"/>
        </w:rPr>
        <w:t xml:space="preserve">3. </w:t>
      </w:r>
      <w:r>
        <w:rPr>
          <w:rFonts w:hint="eastAsia"/>
          <w:color w:val="auto"/>
        </w:rPr>
        <w:t>监理人</w:t>
      </w:r>
      <w:bookmarkEnd w:id="931"/>
      <w:bookmarkEnd w:id="932"/>
      <w:bookmarkEnd w:id="933"/>
      <w:bookmarkEnd w:id="934"/>
      <w:bookmarkEnd w:id="935"/>
      <w:bookmarkEnd w:id="936"/>
      <w:bookmarkEnd w:id="937"/>
      <w:bookmarkEnd w:id="938"/>
      <w:bookmarkEnd w:id="939"/>
      <w:bookmarkEnd w:id="940"/>
    </w:p>
    <w:p>
      <w:pPr>
        <w:keepNext/>
        <w:keepLines/>
        <w:spacing w:line="400" w:lineRule="exact"/>
        <w:outlineLvl w:val="3"/>
        <w:rPr>
          <w:rFonts w:hint="eastAsia" w:eastAsia="黑体"/>
          <w:color w:val="auto"/>
          <w:sz w:val="24"/>
          <w:szCs w:val="20"/>
        </w:rPr>
      </w:pPr>
      <w:bookmarkStart w:id="941" w:name="_Toc31075"/>
      <w:bookmarkStart w:id="942" w:name="_Toc517172409"/>
      <w:bookmarkStart w:id="943" w:name="_Toc221950735"/>
      <w:r>
        <w:rPr>
          <w:rFonts w:hint="eastAsia" w:eastAsia="黑体"/>
          <w:color w:val="auto"/>
          <w:sz w:val="24"/>
          <w:szCs w:val="20"/>
        </w:rPr>
        <w:t>3.1 监理人的职责和权利</w:t>
      </w:r>
      <w:bookmarkEnd w:id="941"/>
      <w:bookmarkEnd w:id="942"/>
    </w:p>
    <w:p>
      <w:pPr>
        <w:spacing w:line="400" w:lineRule="exact"/>
        <w:ind w:firstLine="420" w:firstLineChars="200"/>
        <w:rPr>
          <w:rFonts w:hint="eastAsia"/>
          <w:color w:val="auto"/>
        </w:rPr>
      </w:pPr>
      <w:r>
        <w:rPr>
          <w:rFonts w:hint="eastAsia"/>
          <w:color w:val="auto"/>
        </w:rPr>
        <w:t>3.1.1监理人受发包人的委托，享有合同约定的权力。监理人的权力范围在专用合同条款中约定。当监理人认为出现了危及生命、工程或毗邻财产等安全的紧急事件时，在不免除合同约定的承包人责任的情况下，监理人可以指示承包人实施为消除或减少这种危险所必须进行的工作，即使没有发包人的事先批准，承包人也应立即遵照执行。监理人应按第15条的约定增加相应的费用，并通知承包人。</w:t>
      </w:r>
      <w:bookmarkEnd w:id="943"/>
    </w:p>
    <w:p>
      <w:pPr>
        <w:spacing w:line="400" w:lineRule="exact"/>
        <w:ind w:firstLine="420" w:firstLineChars="200"/>
        <w:rPr>
          <w:rFonts w:hint="eastAsia"/>
          <w:color w:val="auto"/>
        </w:rPr>
      </w:pPr>
      <w:r>
        <w:rPr>
          <w:rFonts w:hint="eastAsia"/>
          <w:color w:val="auto"/>
        </w:rPr>
        <w:t>3.1.2 监理人发出的任何指示应视为已得到发包人的批准，但监理人无权免除或变更合同约定的发包人和承包人的权利、义务和责任。</w:t>
      </w:r>
    </w:p>
    <w:p>
      <w:pPr>
        <w:spacing w:line="400" w:lineRule="exact"/>
        <w:ind w:firstLine="420" w:firstLineChars="200"/>
        <w:rPr>
          <w:rFonts w:hint="eastAsia"/>
          <w:color w:val="auto"/>
        </w:rPr>
      </w:pPr>
      <w:r>
        <w:rPr>
          <w:rFonts w:hint="eastAsia"/>
          <w:color w:val="auto"/>
        </w:rPr>
        <w:t>3.1.3 合同约定应由承包人承担的义务和责任，不因监理人对承包人提交文件的审查或批准，对工程、材料和设备的检查和检验，以及为实施监理作出的指示等职务行为而减轻或解除。</w:t>
      </w:r>
    </w:p>
    <w:p>
      <w:pPr>
        <w:keepNext/>
        <w:keepLines/>
        <w:spacing w:line="400" w:lineRule="exact"/>
        <w:outlineLvl w:val="3"/>
        <w:rPr>
          <w:rFonts w:hint="eastAsia" w:eastAsia="黑体"/>
          <w:color w:val="auto"/>
          <w:sz w:val="24"/>
          <w:szCs w:val="20"/>
        </w:rPr>
      </w:pPr>
      <w:bookmarkStart w:id="944" w:name="_Toc11591"/>
      <w:bookmarkStart w:id="945" w:name="_Toc144974603"/>
      <w:bookmarkStart w:id="946" w:name="_Toc152042413"/>
      <w:bookmarkStart w:id="947" w:name="_Toc152045635"/>
      <w:bookmarkStart w:id="948" w:name="_Toc179632653"/>
      <w:bookmarkStart w:id="949" w:name="_Toc517172410"/>
      <w:r>
        <w:rPr>
          <w:rFonts w:hint="eastAsia" w:eastAsia="黑体"/>
          <w:color w:val="auto"/>
          <w:sz w:val="24"/>
          <w:szCs w:val="20"/>
        </w:rPr>
        <w:t>3.2 总监理工程师</w:t>
      </w:r>
      <w:bookmarkEnd w:id="944"/>
      <w:bookmarkEnd w:id="945"/>
      <w:bookmarkEnd w:id="946"/>
      <w:bookmarkEnd w:id="947"/>
      <w:bookmarkEnd w:id="948"/>
      <w:bookmarkEnd w:id="949"/>
    </w:p>
    <w:p>
      <w:pPr>
        <w:spacing w:line="400" w:lineRule="exact"/>
        <w:ind w:firstLine="420" w:firstLineChars="200"/>
        <w:rPr>
          <w:rFonts w:hint="eastAsia"/>
          <w:color w:val="auto"/>
        </w:rPr>
      </w:pPr>
      <w:r>
        <w:rPr>
          <w:rFonts w:hint="eastAsia"/>
          <w:color w:val="auto"/>
        </w:rPr>
        <w:t>发包人应在发出开工通知前将总监理工程师的任命通知承包人。总监理工程师更换时，应在调离14天前通知承包人。总监理工程师短期离开施工场地的，应委派代表代行其职责，并通知承包人。</w:t>
      </w:r>
    </w:p>
    <w:p>
      <w:pPr>
        <w:keepNext/>
        <w:keepLines/>
        <w:spacing w:line="400" w:lineRule="exact"/>
        <w:outlineLvl w:val="3"/>
        <w:rPr>
          <w:rFonts w:hint="eastAsia" w:eastAsia="黑体"/>
          <w:color w:val="auto"/>
          <w:sz w:val="24"/>
          <w:szCs w:val="20"/>
        </w:rPr>
      </w:pPr>
      <w:bookmarkStart w:id="950" w:name="_Toc179632654"/>
      <w:bookmarkStart w:id="951" w:name="_Toc152045636"/>
      <w:bookmarkStart w:id="952" w:name="_Toc517172411"/>
      <w:bookmarkStart w:id="953" w:name="_Toc152042414"/>
      <w:bookmarkStart w:id="954" w:name="_Toc144974604"/>
      <w:bookmarkStart w:id="955" w:name="_Toc21396"/>
      <w:r>
        <w:rPr>
          <w:rFonts w:hint="eastAsia" w:eastAsia="黑体"/>
          <w:color w:val="auto"/>
          <w:sz w:val="24"/>
          <w:szCs w:val="20"/>
        </w:rPr>
        <w:t>3.3 监理人员</w:t>
      </w:r>
      <w:bookmarkEnd w:id="950"/>
      <w:bookmarkEnd w:id="951"/>
      <w:bookmarkEnd w:id="952"/>
      <w:bookmarkEnd w:id="953"/>
      <w:bookmarkEnd w:id="954"/>
      <w:bookmarkEnd w:id="955"/>
    </w:p>
    <w:p>
      <w:pPr>
        <w:spacing w:line="400" w:lineRule="exact"/>
        <w:ind w:firstLine="420" w:firstLineChars="200"/>
        <w:rPr>
          <w:rFonts w:hint="eastAsia"/>
          <w:color w:val="auto"/>
        </w:rPr>
      </w:pPr>
      <w:r>
        <w:rPr>
          <w:rFonts w:hint="eastAsia"/>
          <w:color w:val="auto"/>
        </w:rPr>
        <w:t>3.3.1 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承包人。</w:t>
      </w:r>
    </w:p>
    <w:p>
      <w:pPr>
        <w:spacing w:line="400" w:lineRule="exact"/>
        <w:ind w:firstLine="420" w:firstLineChars="200"/>
        <w:rPr>
          <w:rFonts w:hint="eastAsia"/>
          <w:color w:val="auto"/>
        </w:rPr>
      </w:pPr>
      <w:r>
        <w:rPr>
          <w:rFonts w:hint="eastAsia"/>
          <w:color w:val="auto"/>
        </w:rPr>
        <w:t>3.3.2 监理人员对承包人的任何工作、工程或其采用的材料和工程设备未在约定的或合理的期限内提出否定意见的，视为已获批准，但不影响监理人在以后拒绝该项工作、工程、材料或工程设备的权利。</w:t>
      </w:r>
    </w:p>
    <w:p>
      <w:pPr>
        <w:spacing w:line="400" w:lineRule="exact"/>
        <w:ind w:firstLine="420" w:firstLineChars="200"/>
        <w:rPr>
          <w:rFonts w:hint="eastAsia"/>
          <w:color w:val="auto"/>
        </w:rPr>
      </w:pPr>
      <w:r>
        <w:rPr>
          <w:rFonts w:hint="eastAsia"/>
          <w:color w:val="auto"/>
        </w:rPr>
        <w:t>3.3.3 承包人对总监理工程师授权的监理人员发出的指示有疑问的，可向总监理工程师提出书面异议，总监理工程师应在48小时内对该指示予以确认、更改或撤销。</w:t>
      </w:r>
    </w:p>
    <w:p>
      <w:pPr>
        <w:spacing w:line="400" w:lineRule="exact"/>
        <w:ind w:firstLine="420" w:firstLineChars="200"/>
        <w:rPr>
          <w:rFonts w:hint="eastAsia"/>
          <w:color w:val="auto"/>
        </w:rPr>
      </w:pPr>
      <w:r>
        <w:rPr>
          <w:rFonts w:hint="eastAsia"/>
          <w:color w:val="auto"/>
        </w:rPr>
        <w:t>3.3.4 除专用合同条款另有约定外，总监理工程师不应将第3.5款约定应由总监理工程师作出确定的权力授权或委托给其他监理人员。</w:t>
      </w:r>
    </w:p>
    <w:p>
      <w:pPr>
        <w:keepNext/>
        <w:keepLines/>
        <w:spacing w:line="400" w:lineRule="exact"/>
        <w:outlineLvl w:val="3"/>
        <w:rPr>
          <w:rFonts w:hint="eastAsia" w:eastAsia="黑体"/>
          <w:color w:val="auto"/>
          <w:sz w:val="24"/>
          <w:szCs w:val="20"/>
        </w:rPr>
      </w:pPr>
      <w:bookmarkStart w:id="956" w:name="_Toc8748"/>
      <w:bookmarkStart w:id="957" w:name="_Toc144974605"/>
      <w:bookmarkStart w:id="958" w:name="_Toc517172412"/>
      <w:bookmarkStart w:id="959" w:name="_Toc179632655"/>
      <w:bookmarkStart w:id="960" w:name="_Toc152045637"/>
      <w:bookmarkStart w:id="961" w:name="_Toc152042415"/>
      <w:r>
        <w:rPr>
          <w:rFonts w:hint="eastAsia" w:eastAsia="黑体"/>
          <w:color w:val="auto"/>
          <w:sz w:val="24"/>
          <w:szCs w:val="20"/>
        </w:rPr>
        <w:t>3.4 监理人的指示</w:t>
      </w:r>
      <w:bookmarkEnd w:id="956"/>
      <w:bookmarkEnd w:id="957"/>
      <w:bookmarkEnd w:id="958"/>
      <w:bookmarkEnd w:id="959"/>
      <w:bookmarkEnd w:id="960"/>
      <w:bookmarkEnd w:id="961"/>
    </w:p>
    <w:p>
      <w:pPr>
        <w:spacing w:line="400" w:lineRule="exact"/>
        <w:ind w:firstLine="420" w:firstLineChars="200"/>
        <w:rPr>
          <w:rFonts w:hint="eastAsia"/>
          <w:color w:val="auto"/>
        </w:rPr>
      </w:pPr>
      <w:r>
        <w:rPr>
          <w:rFonts w:hint="eastAsia"/>
          <w:color w:val="auto"/>
        </w:rPr>
        <w:t>3.4.1 监理人应按第3.1款的约定向承包人发出指示，监理人的指示应盖有监理人授权的施工场地机构章，并由总监理工程师或总监理工程师按第3.3.1项约定授权的监理人员签字。</w:t>
      </w:r>
    </w:p>
    <w:p>
      <w:pPr>
        <w:spacing w:line="400" w:lineRule="exact"/>
        <w:ind w:firstLine="420" w:firstLineChars="200"/>
        <w:rPr>
          <w:rFonts w:hint="eastAsia"/>
          <w:color w:val="auto"/>
        </w:rPr>
      </w:pPr>
      <w:r>
        <w:rPr>
          <w:rFonts w:hint="eastAsia"/>
          <w:color w:val="auto"/>
        </w:rPr>
        <w:t>3.4.2 承包人收到监理人按第3.4.1项作出的指示后应遵照执行。指示构成变更的，应按第15条处理。</w:t>
      </w:r>
    </w:p>
    <w:p>
      <w:pPr>
        <w:spacing w:line="400" w:lineRule="exact"/>
        <w:ind w:firstLine="420" w:firstLineChars="200"/>
        <w:rPr>
          <w:rFonts w:hint="eastAsia"/>
          <w:color w:val="auto"/>
        </w:rPr>
      </w:pPr>
      <w:r>
        <w:rPr>
          <w:rFonts w:hint="eastAsia"/>
          <w:color w:val="auto"/>
        </w:rPr>
        <w:t>3.4.3 在紧急情况下，总监理工程师或被授权的监理人员可以当场签发临时书面指示，承包人应遵照执行。承包人应在收到上述临时书面指示后24小时内，向监理人发出书面确认函。监理人在收到书面确认函后24小时内未予答复的，该书面确认函应被视为监理人的正式指示。</w:t>
      </w:r>
    </w:p>
    <w:p>
      <w:pPr>
        <w:spacing w:line="400" w:lineRule="exact"/>
        <w:ind w:firstLine="420" w:firstLineChars="200"/>
        <w:rPr>
          <w:rFonts w:hint="eastAsia"/>
          <w:color w:val="auto"/>
        </w:rPr>
      </w:pPr>
      <w:r>
        <w:rPr>
          <w:rFonts w:hint="eastAsia"/>
          <w:color w:val="auto"/>
        </w:rPr>
        <w:t>3.4.4 除合同另有约定外，承包人只从总监理工程师或按第3.3.1项被授权的监理人员处取得指示。</w:t>
      </w:r>
    </w:p>
    <w:p>
      <w:pPr>
        <w:spacing w:line="400" w:lineRule="exact"/>
        <w:ind w:firstLine="420" w:firstLineChars="200"/>
        <w:rPr>
          <w:rFonts w:hint="eastAsia"/>
          <w:color w:val="auto"/>
        </w:rPr>
      </w:pPr>
      <w:r>
        <w:rPr>
          <w:rFonts w:hint="eastAsia"/>
          <w:color w:val="auto"/>
        </w:rPr>
        <w:t xml:space="preserve">3.4.5 由于监理人未能按合同约定发出指示、指示延误或指示错误而导致承包人费用增加和（或）工期延误的，由发包人承担赔偿责任。 </w:t>
      </w:r>
    </w:p>
    <w:p>
      <w:pPr>
        <w:keepNext/>
        <w:keepLines/>
        <w:spacing w:line="400" w:lineRule="exact"/>
        <w:outlineLvl w:val="3"/>
        <w:rPr>
          <w:rFonts w:hint="eastAsia" w:eastAsia="黑体"/>
          <w:color w:val="auto"/>
          <w:sz w:val="24"/>
          <w:szCs w:val="20"/>
        </w:rPr>
      </w:pPr>
      <w:bookmarkStart w:id="962" w:name="_Toc7066"/>
      <w:bookmarkStart w:id="963" w:name="_Toc152045638"/>
      <w:bookmarkStart w:id="964" w:name="_Toc179632656"/>
      <w:bookmarkStart w:id="965" w:name="_Toc152042416"/>
      <w:bookmarkStart w:id="966" w:name="_Toc144974606"/>
      <w:bookmarkStart w:id="967" w:name="_Toc517172413"/>
      <w:r>
        <w:rPr>
          <w:rFonts w:hint="eastAsia" w:eastAsia="黑体"/>
          <w:color w:val="auto"/>
          <w:sz w:val="24"/>
          <w:szCs w:val="20"/>
        </w:rPr>
        <w:t>3.5 商定或确定</w:t>
      </w:r>
      <w:bookmarkEnd w:id="962"/>
      <w:bookmarkEnd w:id="963"/>
      <w:bookmarkEnd w:id="964"/>
      <w:bookmarkEnd w:id="965"/>
      <w:bookmarkEnd w:id="966"/>
      <w:bookmarkEnd w:id="967"/>
    </w:p>
    <w:p>
      <w:pPr>
        <w:spacing w:line="400" w:lineRule="exact"/>
        <w:ind w:firstLine="420" w:firstLineChars="200"/>
        <w:rPr>
          <w:rFonts w:hint="eastAsia"/>
          <w:color w:val="auto"/>
        </w:rPr>
      </w:pPr>
      <w:r>
        <w:rPr>
          <w:rFonts w:hint="eastAsia"/>
          <w:color w:val="auto"/>
        </w:rPr>
        <w:t>3.5.1合同约定总监理工程师应按照本款对任何事项进行商定或确定时，总监理工程师应与合同当事人协商，尽量达成一致。不能达成一致的，总监理工程师应认真研究后审慎确定。</w:t>
      </w:r>
    </w:p>
    <w:p>
      <w:pPr>
        <w:spacing w:line="400" w:lineRule="exact"/>
        <w:ind w:firstLine="420" w:firstLineChars="200"/>
        <w:rPr>
          <w:rFonts w:hint="eastAsia"/>
          <w:color w:val="auto"/>
        </w:rPr>
      </w:pPr>
      <w:r>
        <w:rPr>
          <w:rFonts w:hint="eastAsia"/>
          <w:color w:val="auto"/>
        </w:rPr>
        <w:t>3.5.2 总监理工程师应将商定或确定的事项通知合同当事人，并附详细依据。对总监理工程师的确定有异议的，构成争议，按照第24条的约定处理。在争议解决前，双方应暂按总监理工程师的确定执行，按照第24条的约定对总监理工程师的确定作出修改的，按修改后的结果执行。</w:t>
      </w:r>
    </w:p>
    <w:p>
      <w:pPr>
        <w:pStyle w:val="80"/>
        <w:spacing w:before="120" w:after="120" w:afterLines="50"/>
        <w:outlineLvl w:val="2"/>
        <w:rPr>
          <w:color w:val="auto"/>
        </w:rPr>
      </w:pPr>
      <w:bookmarkStart w:id="968" w:name="_Toc222029505"/>
      <w:bookmarkStart w:id="969" w:name="_Toc229305365"/>
      <w:bookmarkStart w:id="970" w:name="_Toc222031007"/>
      <w:bookmarkStart w:id="971" w:name="_Toc517172414"/>
      <w:bookmarkStart w:id="972" w:name="_Toc387753586"/>
      <w:bookmarkStart w:id="973" w:name="_Toc221950744"/>
      <w:bookmarkStart w:id="974" w:name="_Toc491089732"/>
      <w:bookmarkStart w:id="975" w:name="_Toc17060"/>
      <w:bookmarkStart w:id="976" w:name="_Toc222032674"/>
      <w:bookmarkStart w:id="977" w:name="_Toc222033856"/>
      <w:r>
        <w:rPr>
          <w:color w:val="auto"/>
        </w:rPr>
        <w:t xml:space="preserve">4. </w:t>
      </w:r>
      <w:r>
        <w:rPr>
          <w:rFonts w:hint="eastAsia"/>
          <w:color w:val="auto"/>
        </w:rPr>
        <w:t>承包人</w:t>
      </w:r>
      <w:bookmarkEnd w:id="968"/>
      <w:bookmarkEnd w:id="969"/>
      <w:bookmarkEnd w:id="970"/>
      <w:bookmarkEnd w:id="971"/>
      <w:bookmarkEnd w:id="972"/>
      <w:bookmarkEnd w:id="973"/>
      <w:bookmarkEnd w:id="974"/>
      <w:bookmarkEnd w:id="975"/>
      <w:bookmarkEnd w:id="976"/>
      <w:bookmarkEnd w:id="977"/>
    </w:p>
    <w:p>
      <w:pPr>
        <w:keepNext/>
        <w:keepLines/>
        <w:spacing w:line="400" w:lineRule="exact"/>
        <w:outlineLvl w:val="3"/>
        <w:rPr>
          <w:rFonts w:hint="eastAsia" w:eastAsia="黑体"/>
          <w:color w:val="auto"/>
          <w:sz w:val="24"/>
          <w:szCs w:val="20"/>
        </w:rPr>
      </w:pPr>
      <w:bookmarkStart w:id="978" w:name="_Toc517172415"/>
      <w:bookmarkStart w:id="979" w:name="_Toc2744"/>
      <w:bookmarkStart w:id="980" w:name="_Toc221950747"/>
      <w:r>
        <w:rPr>
          <w:rFonts w:hint="eastAsia" w:eastAsia="黑体"/>
          <w:color w:val="auto"/>
          <w:sz w:val="24"/>
          <w:szCs w:val="20"/>
        </w:rPr>
        <w:t>4.1 承包人的一般义务</w:t>
      </w:r>
      <w:bookmarkEnd w:id="978"/>
      <w:bookmarkEnd w:id="979"/>
    </w:p>
    <w:p>
      <w:pPr>
        <w:spacing w:line="400" w:lineRule="exact"/>
        <w:ind w:firstLine="420" w:firstLineChars="200"/>
        <w:rPr>
          <w:rFonts w:hint="eastAsia"/>
          <w:color w:val="auto"/>
        </w:rPr>
      </w:pPr>
      <w:r>
        <w:rPr>
          <w:rFonts w:hint="eastAsia"/>
          <w:color w:val="auto"/>
        </w:rPr>
        <w:t xml:space="preserve">4.1.1 </w:t>
      </w:r>
      <w:r>
        <w:rPr>
          <w:rFonts w:hint="eastAsia" w:ascii="黑体" w:eastAsia="黑体"/>
          <w:color w:val="auto"/>
        </w:rPr>
        <w:t>遵守法律</w:t>
      </w:r>
    </w:p>
    <w:p>
      <w:pPr>
        <w:spacing w:line="400" w:lineRule="exact"/>
        <w:ind w:firstLine="420" w:firstLineChars="200"/>
        <w:rPr>
          <w:rFonts w:hint="eastAsia"/>
          <w:color w:val="auto"/>
        </w:rPr>
      </w:pPr>
      <w:r>
        <w:rPr>
          <w:rFonts w:hint="eastAsia"/>
          <w:color w:val="auto"/>
        </w:rPr>
        <w:t>承包人在履行合同过程中应遵守法律，并保证发包人免于承担因承包人违反法律而引起的任何责任。</w:t>
      </w:r>
    </w:p>
    <w:p>
      <w:pPr>
        <w:spacing w:line="400" w:lineRule="exact"/>
        <w:ind w:firstLine="420" w:firstLineChars="200"/>
        <w:rPr>
          <w:rFonts w:hint="eastAsia"/>
          <w:color w:val="auto"/>
        </w:rPr>
      </w:pPr>
      <w:r>
        <w:rPr>
          <w:rFonts w:hint="eastAsia"/>
          <w:color w:val="auto"/>
        </w:rPr>
        <w:t xml:space="preserve">4.1.2 </w:t>
      </w:r>
      <w:r>
        <w:rPr>
          <w:rFonts w:hint="eastAsia" w:ascii="黑体" w:eastAsia="黑体"/>
          <w:color w:val="auto"/>
        </w:rPr>
        <w:t>依法纳税</w:t>
      </w:r>
    </w:p>
    <w:p>
      <w:pPr>
        <w:spacing w:line="400" w:lineRule="exact"/>
        <w:ind w:firstLine="420" w:firstLineChars="200"/>
        <w:rPr>
          <w:rFonts w:hint="eastAsia"/>
          <w:color w:val="auto"/>
        </w:rPr>
      </w:pPr>
      <w:r>
        <w:rPr>
          <w:rFonts w:hint="eastAsia"/>
          <w:color w:val="auto"/>
        </w:rPr>
        <w:t>承包人应按有关法律规定纳税，应缴纳的税金包括在合同价格内。</w:t>
      </w:r>
    </w:p>
    <w:p>
      <w:pPr>
        <w:spacing w:line="400" w:lineRule="exact"/>
        <w:ind w:firstLine="420" w:firstLineChars="200"/>
        <w:rPr>
          <w:rFonts w:hint="eastAsia"/>
          <w:color w:val="auto"/>
        </w:rPr>
      </w:pPr>
      <w:r>
        <w:rPr>
          <w:rFonts w:hint="eastAsia"/>
          <w:color w:val="auto"/>
        </w:rPr>
        <w:t xml:space="preserve">4.1.3 </w:t>
      </w:r>
      <w:bookmarkEnd w:id="980"/>
      <w:bookmarkStart w:id="981" w:name="_Toc221950748"/>
      <w:r>
        <w:rPr>
          <w:rFonts w:hint="eastAsia"/>
          <w:color w:val="auto"/>
        </w:rPr>
        <w:t>完成各项承包工作</w:t>
      </w:r>
    </w:p>
    <w:p>
      <w:pPr>
        <w:spacing w:line="400" w:lineRule="exact"/>
        <w:ind w:firstLine="420" w:firstLineChars="200"/>
        <w:rPr>
          <w:rFonts w:hint="eastAsia"/>
          <w:color w:val="auto"/>
        </w:rPr>
      </w:pPr>
      <w:r>
        <w:rPr>
          <w:rFonts w:hint="eastAsia"/>
          <w:color w:val="auto"/>
        </w:rPr>
        <w:t>承包人应按合同约定以及监理人根据第3.4款作出的指示，实施、完成全部工程，并修补工程中的任何缺陷。除第5.2款、第6.2款另有外，承包人应提供为完成合同工作所需的劳务、材料、施工设备、工程设备和其它物品，并按合同约定负责临时设施的设计、建造、运行、维护、管理和拆除。</w:t>
      </w:r>
      <w:bookmarkEnd w:id="981"/>
    </w:p>
    <w:p>
      <w:pPr>
        <w:spacing w:line="400" w:lineRule="exact"/>
        <w:ind w:firstLine="420" w:firstLineChars="200"/>
        <w:rPr>
          <w:rFonts w:hint="eastAsia"/>
          <w:color w:val="auto"/>
        </w:rPr>
      </w:pPr>
      <w:r>
        <w:rPr>
          <w:rFonts w:hint="eastAsia"/>
          <w:color w:val="auto"/>
        </w:rPr>
        <w:t xml:space="preserve">4.1.4 </w:t>
      </w:r>
      <w:r>
        <w:rPr>
          <w:rFonts w:hint="eastAsia" w:ascii="黑体" w:eastAsia="黑体"/>
          <w:color w:val="auto"/>
        </w:rPr>
        <w:t>对施工作业和施工方法的完备性负责</w:t>
      </w:r>
    </w:p>
    <w:p>
      <w:pPr>
        <w:spacing w:line="400" w:lineRule="exact"/>
        <w:ind w:firstLine="420" w:firstLineChars="200"/>
        <w:rPr>
          <w:rFonts w:hint="eastAsia"/>
          <w:color w:val="auto"/>
        </w:rPr>
      </w:pPr>
      <w:r>
        <w:rPr>
          <w:rFonts w:hint="eastAsia"/>
          <w:color w:val="auto"/>
        </w:rPr>
        <w:t>承包人应按合同约定的工作内容和施工进度要求，编制施工组织设计和施工措施计划，并对所有施工作业和施工方法的完备性和安全可靠性负责。</w:t>
      </w:r>
    </w:p>
    <w:p>
      <w:pPr>
        <w:spacing w:line="400" w:lineRule="exact"/>
        <w:ind w:firstLine="420" w:firstLineChars="200"/>
        <w:rPr>
          <w:rFonts w:hint="eastAsia"/>
          <w:color w:val="auto"/>
        </w:rPr>
      </w:pPr>
      <w:r>
        <w:rPr>
          <w:rFonts w:hint="eastAsia"/>
          <w:color w:val="auto"/>
        </w:rPr>
        <w:t xml:space="preserve">4.1.5 </w:t>
      </w:r>
      <w:r>
        <w:rPr>
          <w:rFonts w:hint="eastAsia" w:ascii="黑体" w:eastAsia="黑体"/>
          <w:color w:val="auto"/>
        </w:rPr>
        <w:t>保证工程施工和人员的安全</w:t>
      </w:r>
    </w:p>
    <w:p>
      <w:pPr>
        <w:spacing w:line="400" w:lineRule="exact"/>
        <w:ind w:firstLine="420" w:firstLineChars="200"/>
        <w:rPr>
          <w:rFonts w:hint="eastAsia"/>
          <w:color w:val="auto"/>
        </w:rPr>
      </w:pPr>
      <w:r>
        <w:rPr>
          <w:rFonts w:hint="eastAsia"/>
          <w:color w:val="auto"/>
        </w:rPr>
        <w:t>承包人应按第9.2款约定采取施工安全措施，确保工程及其人员、材料、设备和设施的安全，防止因工程施工造成的人身伤害和财产损失。</w:t>
      </w:r>
    </w:p>
    <w:p>
      <w:pPr>
        <w:spacing w:line="400" w:lineRule="exact"/>
        <w:ind w:firstLine="420" w:firstLineChars="200"/>
        <w:rPr>
          <w:rFonts w:hint="eastAsia"/>
          <w:color w:val="auto"/>
        </w:rPr>
      </w:pPr>
      <w:r>
        <w:rPr>
          <w:rFonts w:hint="eastAsia"/>
          <w:color w:val="auto"/>
        </w:rPr>
        <w:t xml:space="preserve">4.1.6 </w:t>
      </w:r>
      <w:r>
        <w:rPr>
          <w:rFonts w:hint="eastAsia" w:ascii="黑体" w:eastAsia="黑体"/>
          <w:color w:val="auto"/>
        </w:rPr>
        <w:t>负责施工场地及其周边环境与生态的保护工作</w:t>
      </w:r>
    </w:p>
    <w:p>
      <w:pPr>
        <w:spacing w:line="400" w:lineRule="exact"/>
        <w:ind w:firstLine="420" w:firstLineChars="200"/>
        <w:rPr>
          <w:rFonts w:hint="eastAsia"/>
          <w:color w:val="auto"/>
        </w:rPr>
      </w:pPr>
      <w:r>
        <w:rPr>
          <w:rFonts w:hint="eastAsia"/>
          <w:color w:val="auto"/>
        </w:rPr>
        <w:t>承包人应按照第9.4款约定负责施工场地及其周边环境与生态的保护工作。</w:t>
      </w:r>
    </w:p>
    <w:p>
      <w:pPr>
        <w:spacing w:line="400" w:lineRule="exact"/>
        <w:ind w:firstLine="420" w:firstLineChars="200"/>
        <w:rPr>
          <w:rFonts w:hint="eastAsia"/>
          <w:color w:val="auto"/>
        </w:rPr>
      </w:pPr>
      <w:r>
        <w:rPr>
          <w:rFonts w:hint="eastAsia"/>
          <w:color w:val="auto"/>
        </w:rPr>
        <w:t xml:space="preserve">4.1.7 </w:t>
      </w:r>
      <w:r>
        <w:rPr>
          <w:rFonts w:hint="eastAsia" w:ascii="黑体" w:eastAsia="黑体"/>
          <w:color w:val="auto"/>
        </w:rPr>
        <w:t>避免施工对公众与他人的利益造成损害</w:t>
      </w:r>
    </w:p>
    <w:p>
      <w:pPr>
        <w:spacing w:line="400" w:lineRule="exact"/>
        <w:ind w:firstLine="420" w:firstLineChars="200"/>
        <w:rPr>
          <w:rFonts w:hint="eastAsia"/>
          <w:color w:val="auto"/>
        </w:rPr>
      </w:pPr>
      <w:r>
        <w:rPr>
          <w:rFonts w:hint="eastAsia"/>
          <w:color w:val="auto"/>
        </w:rPr>
        <w:t>承包人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spacing w:line="400" w:lineRule="exact"/>
        <w:ind w:firstLine="420" w:firstLineChars="200"/>
        <w:rPr>
          <w:rFonts w:hint="eastAsia"/>
          <w:color w:val="auto"/>
        </w:rPr>
      </w:pPr>
      <w:r>
        <w:rPr>
          <w:rFonts w:hint="eastAsia"/>
          <w:color w:val="auto"/>
        </w:rPr>
        <w:t xml:space="preserve">4.1.8 </w:t>
      </w:r>
      <w:r>
        <w:rPr>
          <w:rFonts w:hint="eastAsia" w:ascii="黑体" w:eastAsia="黑体"/>
          <w:color w:val="auto"/>
        </w:rPr>
        <w:t>为他人提供方便</w:t>
      </w:r>
    </w:p>
    <w:p>
      <w:pPr>
        <w:spacing w:line="400" w:lineRule="exact"/>
        <w:ind w:firstLine="420" w:firstLineChars="200"/>
        <w:rPr>
          <w:rFonts w:hint="eastAsia"/>
          <w:color w:val="auto"/>
        </w:rPr>
      </w:pPr>
      <w:r>
        <w:rPr>
          <w:rFonts w:hint="eastAsia"/>
          <w:color w:val="auto"/>
        </w:rPr>
        <w:t>承包人应按监理人的指示为他人在施工场地或附近实施与工程有关的其他各项工作提供可能的条件。除合同另有约定外，提供有关条件的内容和可能发生的费用，由监理人按第3.5款商定或确定。</w:t>
      </w:r>
    </w:p>
    <w:p>
      <w:pPr>
        <w:spacing w:line="400" w:lineRule="exact"/>
        <w:ind w:firstLine="420" w:firstLineChars="200"/>
        <w:rPr>
          <w:rFonts w:hint="eastAsia"/>
          <w:color w:val="auto"/>
        </w:rPr>
      </w:pPr>
      <w:r>
        <w:rPr>
          <w:rFonts w:hint="eastAsia"/>
          <w:color w:val="auto"/>
        </w:rPr>
        <w:t xml:space="preserve">4.1.9 </w:t>
      </w:r>
      <w:r>
        <w:rPr>
          <w:rFonts w:hint="eastAsia" w:ascii="黑体" w:eastAsia="黑体"/>
          <w:color w:val="auto"/>
        </w:rPr>
        <w:t>工程的维护和照管</w:t>
      </w:r>
    </w:p>
    <w:p>
      <w:pPr>
        <w:spacing w:line="400" w:lineRule="exact"/>
        <w:ind w:firstLine="420" w:firstLineChars="200"/>
        <w:rPr>
          <w:rFonts w:hint="eastAsia"/>
          <w:color w:val="auto"/>
        </w:rPr>
      </w:pPr>
      <w:r>
        <w:rPr>
          <w:rFonts w:hint="eastAsia"/>
          <w:color w:val="auto"/>
        </w:rPr>
        <w:t>除合同另有约定外，工程完工证书颁发前，承包人应负责照管和维护工程。合同工程完工证书颁发时尚有部分未完工程的，承包人还应负责该未完工程的照管和维护工作，直至完工后移交给发包人为止。</w:t>
      </w:r>
    </w:p>
    <w:p>
      <w:pPr>
        <w:spacing w:line="400" w:lineRule="exact"/>
        <w:ind w:firstLine="420" w:firstLineChars="200"/>
        <w:rPr>
          <w:rFonts w:hint="eastAsia"/>
          <w:color w:val="auto"/>
        </w:rPr>
      </w:pPr>
      <w:r>
        <w:rPr>
          <w:color w:val="auto"/>
        </w:rPr>
        <w:t>4</w:t>
      </w:r>
      <w:r>
        <w:rPr>
          <w:rFonts w:hint="eastAsia"/>
          <w:color w:val="auto"/>
        </w:rPr>
        <w:t>.</w:t>
      </w:r>
      <w:r>
        <w:rPr>
          <w:color w:val="auto"/>
        </w:rPr>
        <w:t>1</w:t>
      </w:r>
      <w:r>
        <w:rPr>
          <w:rFonts w:hint="eastAsia"/>
          <w:color w:val="auto"/>
        </w:rPr>
        <w:t>.</w:t>
      </w:r>
      <w:r>
        <w:rPr>
          <w:color w:val="auto"/>
        </w:rPr>
        <w:t>10</w:t>
      </w:r>
      <w:r>
        <w:rPr>
          <w:rFonts w:hint="eastAsia"/>
          <w:color w:val="auto"/>
        </w:rPr>
        <w:t xml:space="preserve">  其它义务</w:t>
      </w:r>
    </w:p>
    <w:p>
      <w:pPr>
        <w:spacing w:line="400" w:lineRule="exact"/>
        <w:ind w:firstLine="420" w:firstLineChars="200"/>
        <w:rPr>
          <w:rFonts w:hint="eastAsia"/>
          <w:color w:val="auto"/>
        </w:rPr>
      </w:pPr>
      <w:r>
        <w:rPr>
          <w:rFonts w:hint="eastAsia"/>
          <w:color w:val="auto"/>
        </w:rPr>
        <w:t>其它义务在专用合同条款中补充约定。</w:t>
      </w:r>
    </w:p>
    <w:p>
      <w:pPr>
        <w:keepNext/>
        <w:keepLines/>
        <w:spacing w:line="400" w:lineRule="exact"/>
        <w:outlineLvl w:val="3"/>
        <w:rPr>
          <w:rFonts w:hint="eastAsia" w:eastAsia="黑体"/>
          <w:color w:val="auto"/>
          <w:sz w:val="24"/>
          <w:szCs w:val="20"/>
        </w:rPr>
      </w:pPr>
      <w:bookmarkStart w:id="982" w:name="_Toc221950749"/>
      <w:bookmarkStart w:id="983" w:name="_Toc517172416"/>
      <w:bookmarkStart w:id="984" w:name="_Toc21841"/>
      <w:r>
        <w:rPr>
          <w:rFonts w:eastAsia="黑体"/>
          <w:color w:val="auto"/>
          <w:sz w:val="24"/>
          <w:szCs w:val="20"/>
        </w:rPr>
        <w:t xml:space="preserve">4.2 </w:t>
      </w:r>
      <w:bookmarkEnd w:id="982"/>
      <w:bookmarkStart w:id="985" w:name="_Toc221950751"/>
      <w:r>
        <w:rPr>
          <w:rFonts w:hint="eastAsia" w:eastAsia="黑体"/>
          <w:color w:val="auto"/>
          <w:sz w:val="24"/>
          <w:szCs w:val="20"/>
        </w:rPr>
        <w:t>履约担保</w:t>
      </w:r>
      <w:bookmarkEnd w:id="983"/>
      <w:bookmarkEnd w:id="984"/>
    </w:p>
    <w:bookmarkEnd w:id="985"/>
    <w:p>
      <w:pPr>
        <w:spacing w:line="400" w:lineRule="exact"/>
        <w:ind w:firstLine="420" w:firstLineChars="200"/>
        <w:rPr>
          <w:rFonts w:hint="eastAsia"/>
          <w:color w:val="auto"/>
        </w:rPr>
      </w:pPr>
      <w:bookmarkStart w:id="986" w:name="_Toc221950754"/>
      <w:r>
        <w:rPr>
          <w:rFonts w:hint="eastAsia"/>
          <w:color w:val="auto"/>
        </w:rPr>
        <w:t>承包人应保证其履约担保在发包人颁发合同工程完工证书前一直有效。发包人应在合同工程完工证书颁布发后28天内将履约担保退还给承包人。</w:t>
      </w:r>
    </w:p>
    <w:p>
      <w:pPr>
        <w:keepNext/>
        <w:keepLines/>
        <w:spacing w:line="400" w:lineRule="exact"/>
        <w:outlineLvl w:val="3"/>
        <w:rPr>
          <w:rFonts w:hint="eastAsia" w:eastAsia="黑体"/>
          <w:color w:val="auto"/>
          <w:sz w:val="24"/>
          <w:szCs w:val="20"/>
        </w:rPr>
      </w:pPr>
      <w:bookmarkStart w:id="987" w:name="_Toc517172417"/>
      <w:bookmarkStart w:id="988" w:name="_Toc15802"/>
      <w:r>
        <w:rPr>
          <w:rFonts w:hint="eastAsia" w:eastAsia="黑体"/>
          <w:color w:val="auto"/>
          <w:sz w:val="24"/>
          <w:szCs w:val="20"/>
        </w:rPr>
        <w:t>4.3 分包</w:t>
      </w:r>
      <w:bookmarkEnd w:id="987"/>
      <w:bookmarkEnd w:id="988"/>
    </w:p>
    <w:p>
      <w:pPr>
        <w:spacing w:line="400" w:lineRule="exact"/>
        <w:ind w:firstLine="420" w:firstLineChars="200"/>
        <w:rPr>
          <w:rFonts w:hint="eastAsia"/>
          <w:color w:val="auto"/>
        </w:rPr>
      </w:pPr>
      <w:r>
        <w:rPr>
          <w:rFonts w:hint="eastAsia"/>
          <w:color w:val="auto"/>
        </w:rPr>
        <w:t>4.3.1 承包人不得将其承包的全部工程转包给第三人，或将其承包的全部工程肢解后以分包的名义转包给第三人。</w:t>
      </w:r>
    </w:p>
    <w:p>
      <w:pPr>
        <w:spacing w:line="400" w:lineRule="exact"/>
        <w:ind w:firstLine="420" w:firstLineChars="200"/>
        <w:rPr>
          <w:rFonts w:hint="eastAsia"/>
          <w:color w:val="auto"/>
        </w:rPr>
      </w:pPr>
      <w:r>
        <w:rPr>
          <w:rFonts w:hint="eastAsia"/>
          <w:color w:val="auto"/>
        </w:rPr>
        <w:t>4.3.2 承包人不得将工程主体、关键性工作分包给第三人。除专用合同条款另有约定外，未经发包人同意，承包人不得将工程的其他部分或工作分包给第三人。</w:t>
      </w:r>
    </w:p>
    <w:p>
      <w:pPr>
        <w:spacing w:line="400" w:lineRule="exact"/>
        <w:ind w:firstLine="420" w:firstLineChars="200"/>
        <w:rPr>
          <w:rFonts w:hint="eastAsia"/>
          <w:color w:val="auto"/>
        </w:rPr>
      </w:pPr>
      <w:r>
        <w:rPr>
          <w:rFonts w:hint="eastAsia"/>
          <w:color w:val="auto"/>
        </w:rPr>
        <w:t>4.3.3 分包人的资格能力应与其分包工程的标准和规模相适应。</w:t>
      </w:r>
    </w:p>
    <w:p>
      <w:pPr>
        <w:spacing w:line="400" w:lineRule="exact"/>
        <w:ind w:firstLine="420" w:firstLineChars="200"/>
        <w:rPr>
          <w:rFonts w:hint="eastAsia"/>
          <w:color w:val="auto"/>
        </w:rPr>
      </w:pPr>
      <w:r>
        <w:rPr>
          <w:rFonts w:hint="eastAsia"/>
          <w:color w:val="auto"/>
        </w:rPr>
        <w:t>4.3.4 按投标函附录约定分包工程的，承包人应向发包人和监理人提交分包合同备份。</w:t>
      </w:r>
    </w:p>
    <w:p>
      <w:pPr>
        <w:spacing w:line="400" w:lineRule="exact"/>
        <w:ind w:firstLine="420" w:firstLineChars="200"/>
        <w:rPr>
          <w:rFonts w:hint="eastAsia"/>
          <w:color w:val="auto"/>
        </w:rPr>
      </w:pPr>
      <w:r>
        <w:rPr>
          <w:rFonts w:hint="eastAsia"/>
          <w:color w:val="auto"/>
        </w:rPr>
        <w:t>4.3.5 承包人应与分包人就分包工程向发包人承担连带责任。</w:t>
      </w:r>
    </w:p>
    <w:p>
      <w:pPr>
        <w:spacing w:line="400" w:lineRule="exact"/>
        <w:ind w:firstLine="420" w:firstLineChars="200"/>
        <w:rPr>
          <w:rFonts w:hint="eastAsia"/>
          <w:color w:val="auto"/>
        </w:rPr>
      </w:pPr>
      <w:r>
        <w:rPr>
          <w:color w:val="auto"/>
        </w:rPr>
        <w:t>4.3.</w:t>
      </w:r>
      <w:r>
        <w:rPr>
          <w:rFonts w:hint="eastAsia"/>
          <w:color w:val="auto"/>
        </w:rPr>
        <w:t>6分包工程分为工程分包和劳务作业分包。工程分包应遵循合同约定或者经发包人书面认可。禁止承包人将本合同工程进行违法分包</w:t>
      </w:r>
      <w:r>
        <w:rPr>
          <w:color w:val="auto"/>
        </w:rPr>
        <w:t>。</w:t>
      </w:r>
      <w:r>
        <w:rPr>
          <w:rFonts w:hint="eastAsia"/>
          <w:color w:val="auto"/>
        </w:rPr>
        <w:t>分包人应具备与分包工程规模和标准相适应的资质和业绩，在人力、设备、资金等方面具有承担分包工程施工的能力。分包人应自行完成所承包的任务。.</w:t>
      </w:r>
    </w:p>
    <w:p>
      <w:pPr>
        <w:spacing w:line="400" w:lineRule="exact"/>
        <w:ind w:firstLine="420" w:firstLineChars="200"/>
        <w:rPr>
          <w:color w:val="auto"/>
        </w:rPr>
      </w:pPr>
      <w:r>
        <w:rPr>
          <w:color w:val="auto"/>
        </w:rPr>
        <w:t>4.3.</w:t>
      </w:r>
      <w:r>
        <w:rPr>
          <w:rFonts w:hint="eastAsia"/>
          <w:color w:val="auto"/>
        </w:rPr>
        <w:t>7</w:t>
      </w:r>
      <w:r>
        <w:rPr>
          <w:color w:val="auto"/>
        </w:rPr>
        <w:t>在合同实施过程中，如承包人无力在合同规定的期限内完成合同中的应急防汛、抢险等危及公共安全和工程安全的项目，发包人可对该应急防汛、抢险等项目的部分工程指定分包人。因非承包人原因形成指定分包条件的，发包人的指定分包不得增加承包人的额外费用；因承包人原因形成指定分包条件的，承包人应</w:t>
      </w:r>
      <w:r>
        <w:rPr>
          <w:rFonts w:hint="eastAsia"/>
          <w:color w:val="auto"/>
        </w:rPr>
        <w:t>承担</w:t>
      </w:r>
      <w:r>
        <w:rPr>
          <w:color w:val="auto"/>
        </w:rPr>
        <w:t>指定分包</w:t>
      </w:r>
      <w:r>
        <w:rPr>
          <w:rFonts w:hint="eastAsia"/>
          <w:color w:val="auto"/>
        </w:rPr>
        <w:t>所</w:t>
      </w:r>
      <w:r>
        <w:rPr>
          <w:color w:val="auto"/>
        </w:rPr>
        <w:t>增加的费用。</w:t>
      </w:r>
    </w:p>
    <w:p>
      <w:pPr>
        <w:spacing w:line="400" w:lineRule="exact"/>
        <w:ind w:firstLine="420" w:firstLineChars="200"/>
        <w:rPr>
          <w:color w:val="auto"/>
        </w:rPr>
      </w:pPr>
      <w:r>
        <w:rPr>
          <w:color w:val="auto"/>
        </w:rPr>
        <w:t>由指定分包人造成的与其分包工作有关的一切索赔、诉讼和损失赔偿由指定分包人直接对发包人负责，承包人不对此承担责任。</w:t>
      </w:r>
    </w:p>
    <w:p>
      <w:pPr>
        <w:spacing w:line="400" w:lineRule="exact"/>
        <w:ind w:firstLine="420" w:firstLineChars="200"/>
        <w:rPr>
          <w:rFonts w:hint="eastAsia"/>
          <w:color w:val="auto"/>
        </w:rPr>
      </w:pPr>
      <w:r>
        <w:rPr>
          <w:color w:val="auto"/>
        </w:rPr>
        <w:t>4.3.</w:t>
      </w:r>
      <w:r>
        <w:rPr>
          <w:rFonts w:hint="eastAsia"/>
          <w:color w:val="auto"/>
        </w:rPr>
        <w:t>8承包人和发包人应当签订分包合同，并履行合同约定的义务。分包合同必须遵循承包合同的各项原则，满足相应条款的要求。发包人可以对分包合同实施情况进行监督检查。承包人应将分包合同备份提交发包人和监理人。</w:t>
      </w:r>
    </w:p>
    <w:p>
      <w:pPr>
        <w:spacing w:line="400" w:lineRule="exact"/>
        <w:ind w:firstLine="420" w:firstLineChars="200"/>
        <w:rPr>
          <w:rFonts w:hint="eastAsia"/>
          <w:color w:val="auto"/>
        </w:rPr>
      </w:pPr>
      <w:r>
        <w:rPr>
          <w:color w:val="auto"/>
        </w:rPr>
        <w:t xml:space="preserve"> </w:t>
      </w:r>
      <w:r>
        <w:rPr>
          <w:rFonts w:hint="eastAsia"/>
          <w:color w:val="auto"/>
        </w:rPr>
        <w:t>4.3.9</w:t>
      </w:r>
      <w:r>
        <w:rPr>
          <w:color w:val="auto"/>
        </w:rPr>
        <w:t>除4.3.</w:t>
      </w:r>
      <w:r>
        <w:rPr>
          <w:rFonts w:hint="eastAsia"/>
          <w:color w:val="auto"/>
        </w:rPr>
        <w:t>7项</w:t>
      </w:r>
      <w:r>
        <w:rPr>
          <w:color w:val="auto"/>
        </w:rPr>
        <w:t>规定的指定分包外，承包人对其分包项目的实施以及分包人的行为向发包人负全部责任。承包人应对分包项目的工程进度、质量、安全、计量和验收等实施监督和管理。</w:t>
      </w:r>
      <w:bookmarkEnd w:id="986"/>
    </w:p>
    <w:p>
      <w:pPr>
        <w:spacing w:line="400" w:lineRule="exact"/>
        <w:ind w:firstLine="420" w:firstLineChars="200"/>
        <w:rPr>
          <w:rFonts w:hint="eastAsia"/>
          <w:color w:val="auto"/>
        </w:rPr>
      </w:pPr>
      <w:r>
        <w:rPr>
          <w:rFonts w:hint="eastAsia"/>
          <w:color w:val="auto"/>
        </w:rPr>
        <w:t>4.3.10分包人应按专用合同条款的约定设立项目管理机构组织管理分包工程的施工活动。</w:t>
      </w:r>
    </w:p>
    <w:p>
      <w:pPr>
        <w:keepNext/>
        <w:keepLines/>
        <w:spacing w:line="400" w:lineRule="exact"/>
        <w:outlineLvl w:val="3"/>
        <w:rPr>
          <w:rFonts w:hint="eastAsia" w:eastAsia="黑体"/>
          <w:color w:val="auto"/>
          <w:sz w:val="24"/>
          <w:szCs w:val="20"/>
        </w:rPr>
      </w:pPr>
      <w:bookmarkStart w:id="989" w:name="_Toc144974611"/>
      <w:bookmarkStart w:id="990" w:name="_Toc152042421"/>
      <w:bookmarkStart w:id="991" w:name="_Toc152045643"/>
      <w:bookmarkStart w:id="992" w:name="_Toc179632661"/>
      <w:bookmarkStart w:id="993" w:name="_Toc517172418"/>
      <w:bookmarkStart w:id="994" w:name="_Toc22999"/>
      <w:r>
        <w:rPr>
          <w:rFonts w:hint="eastAsia" w:eastAsia="黑体"/>
          <w:color w:val="auto"/>
          <w:sz w:val="24"/>
          <w:szCs w:val="20"/>
        </w:rPr>
        <w:t>4.4 联合体</w:t>
      </w:r>
      <w:bookmarkEnd w:id="989"/>
      <w:bookmarkEnd w:id="990"/>
      <w:bookmarkEnd w:id="991"/>
      <w:bookmarkEnd w:id="992"/>
      <w:bookmarkEnd w:id="993"/>
      <w:bookmarkEnd w:id="994"/>
    </w:p>
    <w:p>
      <w:pPr>
        <w:spacing w:line="400" w:lineRule="exact"/>
        <w:ind w:firstLine="420" w:firstLineChars="200"/>
        <w:rPr>
          <w:rFonts w:hint="eastAsia"/>
          <w:color w:val="auto"/>
        </w:rPr>
      </w:pPr>
      <w:r>
        <w:rPr>
          <w:rFonts w:hint="eastAsia"/>
          <w:color w:val="auto"/>
        </w:rPr>
        <w:t>4.4.1 联合体各方应共同与发包人签订合同协议书。联合体各方应为履行合同承担连带责任。</w:t>
      </w:r>
    </w:p>
    <w:p>
      <w:pPr>
        <w:spacing w:line="400" w:lineRule="exact"/>
        <w:ind w:firstLine="420" w:firstLineChars="200"/>
        <w:rPr>
          <w:rFonts w:hint="eastAsia"/>
          <w:color w:val="auto"/>
        </w:rPr>
      </w:pPr>
      <w:r>
        <w:rPr>
          <w:rFonts w:hint="eastAsia"/>
          <w:color w:val="auto"/>
        </w:rPr>
        <w:t>4.4.2 联合体协议经发包人确认后作为合同附件。在履行合同过程中，未经发包人同意，不得修改联合体协议。</w:t>
      </w:r>
    </w:p>
    <w:p>
      <w:pPr>
        <w:spacing w:line="400" w:lineRule="exact"/>
        <w:ind w:firstLine="420" w:firstLineChars="200"/>
        <w:rPr>
          <w:rFonts w:hint="eastAsia"/>
          <w:color w:val="auto"/>
        </w:rPr>
      </w:pPr>
      <w:r>
        <w:rPr>
          <w:rFonts w:hint="eastAsia"/>
          <w:color w:val="auto"/>
        </w:rPr>
        <w:t>4.4.3 联合体牵头人负责与发包人和监理人联系，并接受指示，负责组织联合体各成员全面履行合同。</w:t>
      </w:r>
    </w:p>
    <w:p>
      <w:pPr>
        <w:keepNext/>
        <w:keepLines/>
        <w:spacing w:line="400" w:lineRule="exact"/>
        <w:outlineLvl w:val="3"/>
        <w:rPr>
          <w:rFonts w:hint="eastAsia" w:eastAsia="黑体"/>
          <w:color w:val="auto"/>
          <w:sz w:val="24"/>
          <w:szCs w:val="20"/>
        </w:rPr>
      </w:pPr>
      <w:bookmarkStart w:id="995" w:name="_Toc517172419"/>
      <w:bookmarkStart w:id="996" w:name="_Toc152042422"/>
      <w:bookmarkStart w:id="997" w:name="_Toc144974612"/>
      <w:bookmarkStart w:id="998" w:name="_Toc179632662"/>
      <w:bookmarkStart w:id="999" w:name="_Toc152045644"/>
      <w:bookmarkStart w:id="1000" w:name="_Toc15273"/>
      <w:r>
        <w:rPr>
          <w:rFonts w:hint="eastAsia" w:eastAsia="黑体"/>
          <w:color w:val="auto"/>
          <w:sz w:val="24"/>
          <w:szCs w:val="20"/>
        </w:rPr>
        <w:t>4.5 承包人项目经理</w:t>
      </w:r>
      <w:bookmarkEnd w:id="995"/>
      <w:bookmarkEnd w:id="996"/>
      <w:bookmarkEnd w:id="997"/>
      <w:bookmarkEnd w:id="998"/>
      <w:bookmarkEnd w:id="999"/>
      <w:bookmarkEnd w:id="1000"/>
    </w:p>
    <w:p>
      <w:pPr>
        <w:spacing w:line="400" w:lineRule="exact"/>
        <w:ind w:firstLine="420" w:firstLineChars="200"/>
        <w:rPr>
          <w:rFonts w:hint="eastAsia"/>
          <w:color w:val="auto"/>
        </w:rPr>
      </w:pPr>
      <w:r>
        <w:rPr>
          <w:rFonts w:hint="eastAsia"/>
          <w:color w:val="auto"/>
        </w:rPr>
        <w:t>4.5.1承包人应按合同约定指派项目经理，并在约定的期限内到职。承包人更换项目经理应事先征得发包人同意，并应在更换14天前通知发包人和监理人。承包人项目经理短期离开施工场地，应事先征得监理人同意，并委派代表代行其职责。</w:t>
      </w:r>
    </w:p>
    <w:p>
      <w:pPr>
        <w:spacing w:line="400" w:lineRule="exact"/>
        <w:ind w:firstLine="420" w:firstLineChars="200"/>
        <w:rPr>
          <w:rFonts w:hint="eastAsia"/>
          <w:color w:val="auto"/>
        </w:rPr>
      </w:pPr>
      <w:r>
        <w:rPr>
          <w:rFonts w:hint="eastAsia"/>
          <w:color w:val="auto"/>
        </w:rPr>
        <w:t>4.5.2 承包人项目经理应按合同约定以及监理人按第3.4款作出的指示，负责组织合同工程的实施。在情况紧急且无法与监理人取得联系时，可采取保证工程和人员生命财产安全的紧急措施，并在采取措施后24小时内向监理人提交书面报告。</w:t>
      </w:r>
    </w:p>
    <w:p>
      <w:pPr>
        <w:spacing w:line="400" w:lineRule="exact"/>
        <w:ind w:firstLine="420" w:firstLineChars="200"/>
        <w:rPr>
          <w:rFonts w:hint="eastAsia"/>
          <w:color w:val="auto"/>
        </w:rPr>
      </w:pPr>
      <w:r>
        <w:rPr>
          <w:rFonts w:hint="eastAsia"/>
          <w:color w:val="auto"/>
        </w:rPr>
        <w:t>4.5.3承包人为履行合同发出的一切函件均应盖有承包人授权的施工场地管理机构章，并由承包人项目经理或其授权代表签字。</w:t>
      </w:r>
    </w:p>
    <w:p>
      <w:pPr>
        <w:spacing w:line="400" w:lineRule="exact"/>
        <w:ind w:firstLine="420" w:firstLineChars="200"/>
        <w:rPr>
          <w:rFonts w:hint="eastAsia"/>
          <w:color w:val="auto"/>
        </w:rPr>
      </w:pPr>
      <w:r>
        <w:rPr>
          <w:rFonts w:hint="eastAsia"/>
          <w:color w:val="auto"/>
        </w:rPr>
        <w:t>4.5.4 承包人项目经理可以授权其下属人员履行其某项职责，但事先应将这些人员的姓名和授权范围通知监理人。</w:t>
      </w:r>
    </w:p>
    <w:p>
      <w:pPr>
        <w:keepNext/>
        <w:keepLines/>
        <w:spacing w:line="400" w:lineRule="exact"/>
        <w:outlineLvl w:val="3"/>
        <w:rPr>
          <w:rFonts w:hint="eastAsia" w:eastAsia="黑体"/>
          <w:color w:val="auto"/>
          <w:sz w:val="24"/>
          <w:szCs w:val="20"/>
        </w:rPr>
      </w:pPr>
      <w:bookmarkStart w:id="1001" w:name="_Toc144974613"/>
      <w:bookmarkStart w:id="1002" w:name="_Toc152042423"/>
      <w:bookmarkStart w:id="1003" w:name="_Toc152045645"/>
      <w:bookmarkStart w:id="1004" w:name="_Toc179632663"/>
      <w:bookmarkStart w:id="1005" w:name="_Toc517172420"/>
      <w:bookmarkStart w:id="1006" w:name="_Toc4393"/>
      <w:r>
        <w:rPr>
          <w:rFonts w:hint="eastAsia" w:eastAsia="黑体"/>
          <w:color w:val="auto"/>
          <w:sz w:val="24"/>
          <w:szCs w:val="20"/>
        </w:rPr>
        <w:t>4.6 承包人人员的管理</w:t>
      </w:r>
      <w:bookmarkEnd w:id="1001"/>
      <w:bookmarkEnd w:id="1002"/>
      <w:bookmarkEnd w:id="1003"/>
      <w:bookmarkEnd w:id="1004"/>
      <w:bookmarkEnd w:id="1005"/>
      <w:bookmarkEnd w:id="1006"/>
    </w:p>
    <w:p>
      <w:pPr>
        <w:spacing w:line="400" w:lineRule="exact"/>
        <w:ind w:firstLine="420" w:firstLineChars="200"/>
        <w:rPr>
          <w:rFonts w:hint="eastAsia"/>
          <w:color w:val="auto"/>
        </w:rPr>
      </w:pPr>
      <w:r>
        <w:rPr>
          <w:rFonts w:hint="eastAsia"/>
          <w:color w:val="auto"/>
        </w:rPr>
        <w:t>4.6.1 承包人应在接到开工通知后28天内，向监理人提交承包人在施工场地的管理机构以及人员安排的报告，其内容应包括管理机构的设置、各主要岗位的技术和管理人员名单及其资格，以及各工种技术工人的安排状况。承包人应向监理人提交施工场地人员变动情况的报告。</w:t>
      </w:r>
    </w:p>
    <w:p>
      <w:pPr>
        <w:spacing w:line="400" w:lineRule="exact"/>
        <w:ind w:firstLine="420" w:firstLineChars="200"/>
        <w:rPr>
          <w:rFonts w:hint="eastAsia"/>
          <w:color w:val="auto"/>
        </w:rPr>
      </w:pPr>
      <w:r>
        <w:rPr>
          <w:rFonts w:hint="eastAsia"/>
          <w:color w:val="auto"/>
        </w:rPr>
        <w:t>4.6.2 为完成合同约定的各项工作，承包人应向施工场地派遣或雇佣足够数量的下列人员：</w:t>
      </w:r>
    </w:p>
    <w:p>
      <w:pPr>
        <w:spacing w:line="400" w:lineRule="exact"/>
        <w:ind w:firstLine="718" w:firstLineChars="342"/>
        <w:rPr>
          <w:rFonts w:hint="eastAsia"/>
          <w:color w:val="auto"/>
        </w:rPr>
      </w:pPr>
      <w:r>
        <w:rPr>
          <w:rFonts w:hint="eastAsia"/>
          <w:color w:val="auto"/>
        </w:rPr>
        <w:t>（1）具有相应资格的专业技工和合格的普工；</w:t>
      </w:r>
    </w:p>
    <w:p>
      <w:pPr>
        <w:spacing w:line="400" w:lineRule="exact"/>
        <w:ind w:firstLine="718" w:firstLineChars="342"/>
        <w:rPr>
          <w:rFonts w:hint="eastAsia"/>
          <w:color w:val="auto"/>
        </w:rPr>
      </w:pPr>
      <w:r>
        <w:rPr>
          <w:rFonts w:hint="eastAsia"/>
          <w:color w:val="auto"/>
        </w:rPr>
        <w:t>（2）具有相应施工经验的技术人员；</w:t>
      </w:r>
    </w:p>
    <w:p>
      <w:pPr>
        <w:spacing w:line="400" w:lineRule="exact"/>
        <w:ind w:firstLine="718" w:firstLineChars="342"/>
        <w:rPr>
          <w:rFonts w:hint="eastAsia"/>
          <w:color w:val="auto"/>
        </w:rPr>
      </w:pPr>
      <w:r>
        <w:rPr>
          <w:rFonts w:hint="eastAsia"/>
          <w:color w:val="auto"/>
        </w:rPr>
        <w:t>（3）具有相应岗位资格的各级管理人员。</w:t>
      </w:r>
    </w:p>
    <w:p>
      <w:pPr>
        <w:spacing w:line="400" w:lineRule="exact"/>
        <w:ind w:firstLine="420" w:firstLineChars="200"/>
        <w:rPr>
          <w:rFonts w:hint="eastAsia"/>
          <w:color w:val="auto"/>
        </w:rPr>
      </w:pPr>
      <w:r>
        <w:rPr>
          <w:rFonts w:hint="eastAsia"/>
          <w:color w:val="auto"/>
        </w:rPr>
        <w:t>4.6.3 承包人安排在施工场地的主要管理人员和技术骨干应相对稳定。承包人更换主要管理人员和技术骨干时，应取得监理人的同意。</w:t>
      </w:r>
    </w:p>
    <w:p>
      <w:pPr>
        <w:spacing w:line="400" w:lineRule="exact"/>
        <w:ind w:firstLine="420" w:firstLineChars="200"/>
        <w:rPr>
          <w:rFonts w:hint="eastAsia"/>
          <w:color w:val="auto"/>
        </w:rPr>
      </w:pPr>
      <w:r>
        <w:rPr>
          <w:rFonts w:hint="eastAsia"/>
          <w:color w:val="auto"/>
        </w:rPr>
        <w:t>4.6.4 特殊岗位的工作人员均应持有相应的资格证明，监理人有权随时检查。监理人认为有必要时，可进行现场考核。</w:t>
      </w:r>
    </w:p>
    <w:p>
      <w:pPr>
        <w:keepNext/>
        <w:keepLines/>
        <w:spacing w:line="400" w:lineRule="exact"/>
        <w:outlineLvl w:val="3"/>
        <w:rPr>
          <w:rFonts w:hint="eastAsia" w:eastAsia="黑体"/>
          <w:color w:val="auto"/>
          <w:sz w:val="24"/>
          <w:szCs w:val="20"/>
        </w:rPr>
      </w:pPr>
      <w:bookmarkStart w:id="1007" w:name="_Toc1910"/>
      <w:bookmarkStart w:id="1008" w:name="_Toc179632664"/>
      <w:bookmarkStart w:id="1009" w:name="_Toc152045646"/>
      <w:bookmarkStart w:id="1010" w:name="_Toc144974614"/>
      <w:bookmarkStart w:id="1011" w:name="_Toc152042424"/>
      <w:bookmarkStart w:id="1012" w:name="_Toc517172421"/>
      <w:r>
        <w:rPr>
          <w:rFonts w:hint="eastAsia" w:eastAsia="黑体"/>
          <w:color w:val="auto"/>
          <w:sz w:val="24"/>
          <w:szCs w:val="20"/>
        </w:rPr>
        <w:t>4.7 撤换承包人项目经理和其他人员</w:t>
      </w:r>
      <w:bookmarkEnd w:id="1007"/>
      <w:bookmarkEnd w:id="1008"/>
      <w:bookmarkEnd w:id="1009"/>
      <w:bookmarkEnd w:id="1010"/>
      <w:bookmarkEnd w:id="1011"/>
      <w:bookmarkEnd w:id="1012"/>
    </w:p>
    <w:p>
      <w:pPr>
        <w:spacing w:line="400" w:lineRule="exact"/>
        <w:ind w:firstLine="420" w:firstLineChars="200"/>
        <w:rPr>
          <w:rFonts w:hint="eastAsia"/>
          <w:color w:val="auto"/>
        </w:rPr>
      </w:pPr>
      <w:r>
        <w:rPr>
          <w:rFonts w:hint="eastAsia"/>
          <w:color w:val="auto"/>
        </w:rPr>
        <w:t>承包人应对其项目经理和其他人员进行有效管理。监理人要求撤换不能胜任本职工作、行为不端或玩忽职守的承包人项目经理和其他人员的，承包人应予以撤换。</w:t>
      </w:r>
    </w:p>
    <w:p>
      <w:pPr>
        <w:keepNext/>
        <w:keepLines/>
        <w:spacing w:line="400" w:lineRule="exact"/>
        <w:outlineLvl w:val="3"/>
        <w:rPr>
          <w:rFonts w:hint="eastAsia" w:eastAsia="黑体"/>
          <w:color w:val="auto"/>
          <w:sz w:val="24"/>
          <w:szCs w:val="20"/>
        </w:rPr>
      </w:pPr>
      <w:bookmarkStart w:id="1013" w:name="_Toc144974615"/>
      <w:bookmarkStart w:id="1014" w:name="_Toc152042425"/>
      <w:bookmarkStart w:id="1015" w:name="_Toc152045647"/>
      <w:bookmarkStart w:id="1016" w:name="_Toc179632665"/>
      <w:bookmarkStart w:id="1017" w:name="_Toc517172422"/>
      <w:bookmarkStart w:id="1018" w:name="_Toc18709"/>
      <w:r>
        <w:rPr>
          <w:rFonts w:hint="eastAsia" w:eastAsia="黑体"/>
          <w:color w:val="auto"/>
          <w:sz w:val="24"/>
          <w:szCs w:val="20"/>
        </w:rPr>
        <w:t>4.8 保障承包人人员的合法权益</w:t>
      </w:r>
      <w:bookmarkEnd w:id="1013"/>
      <w:bookmarkEnd w:id="1014"/>
      <w:bookmarkEnd w:id="1015"/>
      <w:bookmarkEnd w:id="1016"/>
      <w:bookmarkEnd w:id="1017"/>
      <w:bookmarkEnd w:id="1018"/>
    </w:p>
    <w:p>
      <w:pPr>
        <w:spacing w:line="400" w:lineRule="exact"/>
        <w:ind w:firstLine="420" w:firstLineChars="200"/>
        <w:rPr>
          <w:rFonts w:hint="eastAsia"/>
          <w:color w:val="auto"/>
        </w:rPr>
      </w:pPr>
      <w:r>
        <w:rPr>
          <w:rFonts w:hint="eastAsia"/>
          <w:color w:val="auto"/>
        </w:rPr>
        <w:t>4.8.1 承包人应与其雇佣的人员签订劳动合同，并按时发放工资。</w:t>
      </w:r>
    </w:p>
    <w:p>
      <w:pPr>
        <w:spacing w:line="400" w:lineRule="exact"/>
        <w:ind w:firstLine="420" w:firstLineChars="200"/>
        <w:rPr>
          <w:rFonts w:hint="eastAsia"/>
          <w:color w:val="auto"/>
        </w:rPr>
      </w:pPr>
      <w:r>
        <w:rPr>
          <w:rFonts w:hint="eastAsia"/>
          <w:color w:val="auto"/>
        </w:rPr>
        <w:t>4.8.2 承包人应按劳动法的规定安排工作时间，保证其雇佣人员享有休息和休假的权利。因工程施工的特殊需要占用休假日或延长工作时间的，应不超过法律规定的限度，并按法律规定给予补休或付酬。</w:t>
      </w:r>
    </w:p>
    <w:p>
      <w:pPr>
        <w:spacing w:line="400" w:lineRule="exact"/>
        <w:ind w:firstLine="420" w:firstLineChars="200"/>
        <w:rPr>
          <w:rFonts w:hint="eastAsia"/>
          <w:color w:val="auto"/>
        </w:rPr>
      </w:pPr>
      <w:r>
        <w:rPr>
          <w:rFonts w:hint="eastAsia"/>
          <w:color w:val="auto"/>
        </w:rPr>
        <w:t>4.8.3 承包人应为其雇佣人员提供必要的食宿条件，以及符合环境保护和卫生要求的生活环境，在远离城镇的施工场地，还应配备必要的伤病防治和急救的医务人员与医疗设施。</w:t>
      </w:r>
    </w:p>
    <w:p>
      <w:pPr>
        <w:spacing w:line="400" w:lineRule="exact"/>
        <w:ind w:firstLine="420" w:firstLineChars="200"/>
        <w:rPr>
          <w:rFonts w:hint="eastAsia"/>
          <w:color w:val="auto"/>
        </w:rPr>
      </w:pPr>
      <w:r>
        <w:rPr>
          <w:rFonts w:hint="eastAsia"/>
          <w:color w:val="auto"/>
        </w:rPr>
        <w:t>4.8.4 承包人应按国家有关劳动保护的规定，采取有效的防止粉尘、降低噪声、控制有害气体和保障高温、高寒、高空作业安全等劳动保护措施。其雇佣人员在施工中受到伤害的，承包人应立即采取有效措施进行抢救和治疗。</w:t>
      </w:r>
    </w:p>
    <w:p>
      <w:pPr>
        <w:spacing w:line="400" w:lineRule="exact"/>
        <w:ind w:firstLine="420" w:firstLineChars="200"/>
        <w:rPr>
          <w:rFonts w:hint="eastAsia"/>
          <w:color w:val="auto"/>
        </w:rPr>
      </w:pPr>
      <w:r>
        <w:rPr>
          <w:rFonts w:hint="eastAsia"/>
          <w:color w:val="auto"/>
        </w:rPr>
        <w:t>4.8.5 承包人应按有关法律规定和合同约定，为其雇佣人员办理保险。</w:t>
      </w:r>
    </w:p>
    <w:p>
      <w:pPr>
        <w:spacing w:line="400" w:lineRule="exact"/>
        <w:ind w:firstLine="420" w:firstLineChars="200"/>
        <w:rPr>
          <w:rFonts w:hint="eastAsia"/>
          <w:color w:val="auto"/>
        </w:rPr>
      </w:pPr>
      <w:r>
        <w:rPr>
          <w:rFonts w:hint="eastAsia"/>
          <w:color w:val="auto"/>
        </w:rPr>
        <w:t>4.8.6 承包人应负责处理其雇佣人员因工伤亡事故的善后事宜。</w:t>
      </w:r>
    </w:p>
    <w:p>
      <w:pPr>
        <w:keepNext/>
        <w:keepLines/>
        <w:spacing w:line="400" w:lineRule="exact"/>
        <w:outlineLvl w:val="3"/>
        <w:rPr>
          <w:rFonts w:hint="eastAsia" w:eastAsia="黑体"/>
          <w:color w:val="auto"/>
          <w:sz w:val="24"/>
          <w:szCs w:val="20"/>
        </w:rPr>
      </w:pPr>
      <w:bookmarkStart w:id="1019" w:name="_Toc179632666"/>
      <w:bookmarkStart w:id="1020" w:name="_Toc152042426"/>
      <w:bookmarkStart w:id="1021" w:name="_Toc517172423"/>
      <w:bookmarkStart w:id="1022" w:name="_Toc144974616"/>
      <w:bookmarkStart w:id="1023" w:name="_Toc152045648"/>
      <w:bookmarkStart w:id="1024" w:name="_Toc15313"/>
      <w:r>
        <w:rPr>
          <w:rFonts w:hint="eastAsia" w:eastAsia="黑体"/>
          <w:color w:val="auto"/>
          <w:sz w:val="24"/>
          <w:szCs w:val="20"/>
        </w:rPr>
        <w:t>4.9 工程价款应专款专用</w:t>
      </w:r>
      <w:bookmarkEnd w:id="1019"/>
      <w:bookmarkEnd w:id="1020"/>
      <w:bookmarkEnd w:id="1021"/>
      <w:bookmarkEnd w:id="1022"/>
      <w:bookmarkEnd w:id="1023"/>
      <w:bookmarkEnd w:id="1024"/>
    </w:p>
    <w:p>
      <w:pPr>
        <w:spacing w:line="400" w:lineRule="exact"/>
        <w:ind w:firstLine="420" w:firstLineChars="200"/>
        <w:rPr>
          <w:rFonts w:hint="eastAsia"/>
          <w:color w:val="auto"/>
        </w:rPr>
      </w:pPr>
      <w:r>
        <w:rPr>
          <w:rFonts w:hint="eastAsia"/>
          <w:color w:val="auto"/>
        </w:rPr>
        <w:t>发包人按合同约定支付给承包人的各项价款应专用于合同工程。</w:t>
      </w:r>
    </w:p>
    <w:p>
      <w:pPr>
        <w:keepNext/>
        <w:keepLines/>
        <w:spacing w:line="400" w:lineRule="exact"/>
        <w:outlineLvl w:val="3"/>
        <w:rPr>
          <w:rFonts w:hint="eastAsia" w:eastAsia="黑体"/>
          <w:color w:val="auto"/>
          <w:sz w:val="24"/>
          <w:szCs w:val="20"/>
        </w:rPr>
      </w:pPr>
      <w:bookmarkStart w:id="1025" w:name="_Toc144974617"/>
      <w:bookmarkStart w:id="1026" w:name="_Toc152042427"/>
      <w:bookmarkStart w:id="1027" w:name="_Toc152045649"/>
      <w:bookmarkStart w:id="1028" w:name="_Toc179632667"/>
      <w:bookmarkStart w:id="1029" w:name="_Toc517172424"/>
      <w:bookmarkStart w:id="1030" w:name="_Toc3392"/>
      <w:r>
        <w:rPr>
          <w:rFonts w:hint="eastAsia" w:eastAsia="黑体"/>
          <w:color w:val="auto"/>
          <w:sz w:val="24"/>
          <w:szCs w:val="20"/>
        </w:rPr>
        <w:t>4.10 承包人现场查勘</w:t>
      </w:r>
      <w:bookmarkEnd w:id="1025"/>
      <w:bookmarkEnd w:id="1026"/>
      <w:bookmarkEnd w:id="1027"/>
      <w:bookmarkEnd w:id="1028"/>
      <w:bookmarkEnd w:id="1029"/>
      <w:bookmarkEnd w:id="1030"/>
      <w:r>
        <w:rPr>
          <w:rFonts w:hint="eastAsia" w:eastAsia="黑体"/>
          <w:color w:val="auto"/>
          <w:sz w:val="24"/>
          <w:szCs w:val="20"/>
        </w:rPr>
        <w:t xml:space="preserve">                                                                                                           </w:t>
      </w:r>
    </w:p>
    <w:p>
      <w:pPr>
        <w:spacing w:line="400" w:lineRule="exact"/>
        <w:ind w:firstLine="420" w:firstLineChars="200"/>
        <w:rPr>
          <w:rFonts w:hint="eastAsia"/>
          <w:color w:val="auto"/>
        </w:rPr>
      </w:pPr>
      <w:r>
        <w:rPr>
          <w:rFonts w:hint="eastAsia"/>
          <w:color w:val="auto"/>
        </w:rPr>
        <w:t>4.10.1 发包人应将其持有的现场地质勘探资料、水文气象资料提供给承包人，并对其准确性负责。但承包人应对其阅读上述有关资料后所作出的解释和推断负责。</w:t>
      </w:r>
    </w:p>
    <w:p>
      <w:pPr>
        <w:spacing w:line="400" w:lineRule="exact"/>
        <w:ind w:firstLine="420" w:firstLineChars="200"/>
        <w:rPr>
          <w:rFonts w:hint="eastAsia"/>
          <w:color w:val="auto"/>
        </w:rPr>
      </w:pPr>
      <w:r>
        <w:rPr>
          <w:rFonts w:hint="eastAsia"/>
          <w:color w:val="auto"/>
        </w:rPr>
        <w:t>4.10.2 承包人应对施工场地和周围环境进行查勘，并收集有关地质、水文、气象条件、交通条件、风俗习惯以及其他为完成合同工作有关的当地资料。在全部合同工作中，应视为承包人已充分估计了应承担的责任和风险。</w:t>
      </w:r>
    </w:p>
    <w:p>
      <w:pPr>
        <w:keepNext/>
        <w:keepLines/>
        <w:spacing w:line="400" w:lineRule="exact"/>
        <w:outlineLvl w:val="3"/>
        <w:rPr>
          <w:rFonts w:hint="eastAsia" w:eastAsia="黑体"/>
          <w:color w:val="auto"/>
          <w:sz w:val="24"/>
          <w:szCs w:val="20"/>
        </w:rPr>
      </w:pPr>
      <w:bookmarkStart w:id="1031" w:name="_Toc517172425"/>
      <w:bookmarkStart w:id="1032" w:name="_Toc27320"/>
      <w:r>
        <w:rPr>
          <w:rFonts w:hint="eastAsia" w:eastAsia="黑体"/>
          <w:color w:val="auto"/>
          <w:sz w:val="24"/>
          <w:szCs w:val="20"/>
        </w:rPr>
        <w:t>4.11 不利物质条件</w:t>
      </w:r>
      <w:bookmarkEnd w:id="1031"/>
      <w:bookmarkEnd w:id="1032"/>
    </w:p>
    <w:p>
      <w:pPr>
        <w:spacing w:line="400" w:lineRule="exact"/>
        <w:ind w:firstLine="420" w:firstLineChars="200"/>
        <w:rPr>
          <w:rFonts w:hint="eastAsia"/>
          <w:color w:val="auto"/>
        </w:rPr>
      </w:pPr>
      <w:r>
        <w:rPr>
          <w:rFonts w:hint="eastAsia"/>
          <w:color w:val="auto"/>
        </w:rPr>
        <w:t>4.11.1除专用合同条款另有约定外，不利的物质条件是指在施工中遭遇不可预见的外界障碍或自然条件造成施工受阻。</w:t>
      </w:r>
    </w:p>
    <w:p>
      <w:pPr>
        <w:spacing w:line="400" w:lineRule="exact"/>
        <w:ind w:firstLine="420" w:firstLineChars="200"/>
        <w:rPr>
          <w:rFonts w:hint="eastAsia"/>
          <w:color w:val="auto"/>
        </w:rPr>
      </w:pPr>
      <w:r>
        <w:rPr>
          <w:rFonts w:hint="eastAsia"/>
          <w:color w:val="auto"/>
        </w:rPr>
        <w:t xml:space="preserve">4.11.2 承包人遇到不利物质条件时，应采取适应不利物质条件的合理措施继续施工，并及时通知监理人。承包人应有权根据第23.1款的约定，要求延长工期及增加费用。监理人收到此类要求后，应在分析上述外界障碍或自然条件是否不可预见及不可预见程度的基础上，按照通用合同条款第15条的约定办理． </w:t>
      </w:r>
    </w:p>
    <w:p>
      <w:pPr>
        <w:pStyle w:val="80"/>
        <w:spacing w:before="120" w:after="120" w:afterLines="50"/>
        <w:outlineLvl w:val="2"/>
        <w:rPr>
          <w:color w:val="auto"/>
        </w:rPr>
      </w:pPr>
      <w:bookmarkStart w:id="1033" w:name="_Toc12532"/>
      <w:bookmarkStart w:id="1034" w:name="_Toc221950770"/>
      <w:bookmarkStart w:id="1035" w:name="_Toc222031008"/>
      <w:bookmarkStart w:id="1036" w:name="_Toc222032675"/>
      <w:bookmarkStart w:id="1037" w:name="_Toc222033857"/>
      <w:bookmarkStart w:id="1038" w:name="_Toc229305366"/>
      <w:bookmarkStart w:id="1039" w:name="_Toc387753587"/>
      <w:bookmarkStart w:id="1040" w:name="_Toc491089733"/>
      <w:bookmarkStart w:id="1041" w:name="_Toc517172426"/>
      <w:bookmarkStart w:id="1042" w:name="_Toc222029506"/>
      <w:r>
        <w:rPr>
          <w:color w:val="auto"/>
        </w:rPr>
        <w:t xml:space="preserve">5. </w:t>
      </w:r>
      <w:r>
        <w:rPr>
          <w:rFonts w:hint="eastAsia"/>
          <w:color w:val="auto"/>
        </w:rPr>
        <w:t>材料和工程设备</w:t>
      </w:r>
      <w:bookmarkEnd w:id="1033"/>
      <w:bookmarkEnd w:id="1034"/>
      <w:bookmarkEnd w:id="1035"/>
      <w:bookmarkEnd w:id="1036"/>
      <w:bookmarkEnd w:id="1037"/>
      <w:bookmarkEnd w:id="1038"/>
      <w:bookmarkEnd w:id="1039"/>
      <w:bookmarkEnd w:id="1040"/>
      <w:bookmarkEnd w:id="1041"/>
      <w:bookmarkEnd w:id="1042"/>
    </w:p>
    <w:p>
      <w:pPr>
        <w:keepNext/>
        <w:keepLines/>
        <w:spacing w:line="400" w:lineRule="exact"/>
        <w:outlineLvl w:val="3"/>
        <w:rPr>
          <w:rFonts w:hint="eastAsia" w:eastAsia="黑体"/>
          <w:color w:val="auto"/>
          <w:sz w:val="24"/>
          <w:szCs w:val="20"/>
        </w:rPr>
      </w:pPr>
      <w:bookmarkStart w:id="1043" w:name="_Toc517172427"/>
      <w:bookmarkStart w:id="1044" w:name="_Toc1671"/>
      <w:bookmarkStart w:id="1045" w:name="_Toc221950773"/>
      <w:r>
        <w:rPr>
          <w:rFonts w:hint="eastAsia" w:eastAsia="黑体"/>
          <w:color w:val="auto"/>
          <w:sz w:val="24"/>
          <w:szCs w:val="20"/>
        </w:rPr>
        <w:t>5.1 承包人提供的材料和工程设备</w:t>
      </w:r>
      <w:bookmarkEnd w:id="1043"/>
      <w:bookmarkEnd w:id="1044"/>
    </w:p>
    <w:p>
      <w:pPr>
        <w:spacing w:line="400" w:lineRule="exact"/>
        <w:ind w:firstLine="420" w:firstLineChars="200"/>
        <w:rPr>
          <w:rFonts w:hint="eastAsia"/>
          <w:color w:val="auto"/>
        </w:rPr>
      </w:pPr>
      <w:r>
        <w:rPr>
          <w:color w:val="auto"/>
        </w:rPr>
        <w:t>5</w:t>
      </w:r>
      <w:r>
        <w:rPr>
          <w:rFonts w:hint="eastAsia"/>
          <w:color w:val="auto"/>
        </w:rPr>
        <w:t>.</w:t>
      </w:r>
      <w:r>
        <w:rPr>
          <w:color w:val="auto"/>
        </w:rPr>
        <w:t>1</w:t>
      </w:r>
      <w:r>
        <w:rPr>
          <w:rFonts w:hint="eastAsia"/>
          <w:color w:val="auto"/>
        </w:rPr>
        <w:t>.</w:t>
      </w:r>
      <w:r>
        <w:rPr>
          <w:color w:val="auto"/>
        </w:rPr>
        <w:t>1</w:t>
      </w:r>
      <w:bookmarkEnd w:id="1045"/>
      <w:r>
        <w:rPr>
          <w:rFonts w:hint="eastAsia"/>
          <w:color w:val="auto"/>
        </w:rPr>
        <w:t xml:space="preserve"> 除5.2款约定由发包人提供的材料和工程设备外，承包人负责采购、验收、运输和保管完成本合同工作所需的材料和工程设备。承包人应对其采购的材料和工程设备负责。 </w:t>
      </w:r>
    </w:p>
    <w:p>
      <w:pPr>
        <w:spacing w:line="400" w:lineRule="exact"/>
        <w:ind w:firstLine="420" w:firstLineChars="200"/>
        <w:rPr>
          <w:rFonts w:hint="eastAsia"/>
          <w:color w:val="auto"/>
        </w:rPr>
      </w:pPr>
      <w:bookmarkStart w:id="1046" w:name="_Toc221950779"/>
      <w:r>
        <w:rPr>
          <w:rFonts w:hint="eastAsia"/>
          <w:color w:val="auto"/>
        </w:rPr>
        <w:t>5.1.2 承包人应按专用合同条款的约定，将各项材料和工程设备的供货人及品种、规格、数量和供货时间等报送监理人审批。承包人应向监理人提交其负责提供的材料和工程设备的质量证明文件，并满足合同约定的质量标准。</w:t>
      </w:r>
    </w:p>
    <w:p>
      <w:pPr>
        <w:spacing w:line="400" w:lineRule="exact"/>
        <w:ind w:firstLine="420" w:firstLineChars="200"/>
        <w:rPr>
          <w:rFonts w:hint="eastAsia"/>
          <w:color w:val="auto"/>
        </w:rPr>
      </w:pPr>
      <w:r>
        <w:rPr>
          <w:rFonts w:hint="eastAsia"/>
          <w:color w:val="auto"/>
        </w:rPr>
        <w:t>5.1.3对承包人提供的材料和工程设备，承包人应会同监理人进行检验和交货验收，查验材料合格证明和产品合格证书，并按合同约定和监理人指示，进行材料的抽样检验和工程设备的检验测试，检验和测试结果应提交监理人，所需费用由承包人承担。</w:t>
      </w:r>
    </w:p>
    <w:p>
      <w:pPr>
        <w:keepNext/>
        <w:keepLines/>
        <w:spacing w:line="400" w:lineRule="exact"/>
        <w:outlineLvl w:val="3"/>
        <w:rPr>
          <w:rFonts w:hint="eastAsia" w:eastAsia="黑体"/>
          <w:color w:val="auto"/>
          <w:sz w:val="24"/>
          <w:szCs w:val="20"/>
        </w:rPr>
      </w:pPr>
      <w:bookmarkStart w:id="1047" w:name="_Toc517172428"/>
      <w:bookmarkStart w:id="1048" w:name="_Toc108"/>
      <w:r>
        <w:rPr>
          <w:rFonts w:hint="eastAsia" w:eastAsia="黑体"/>
          <w:color w:val="auto"/>
          <w:sz w:val="24"/>
          <w:szCs w:val="20"/>
        </w:rPr>
        <w:t>5.2 发包人提供的材料和工程设备</w:t>
      </w:r>
      <w:bookmarkEnd w:id="1047"/>
      <w:bookmarkEnd w:id="1048"/>
    </w:p>
    <w:p>
      <w:pPr>
        <w:spacing w:line="400" w:lineRule="exact"/>
        <w:ind w:firstLine="420" w:firstLineChars="200"/>
        <w:rPr>
          <w:rFonts w:hint="eastAsia"/>
          <w:color w:val="auto"/>
        </w:rPr>
      </w:pPr>
      <w:r>
        <w:rPr>
          <w:rFonts w:hint="eastAsia"/>
          <w:color w:val="auto"/>
        </w:rPr>
        <w:t>5.2.1 发包人提供的材料和工程设备，应在专用合同条款中写明材料和工程设备的名称、规格、数量、价格、交货方式、交货地点和计划交货日期等。</w:t>
      </w:r>
    </w:p>
    <w:p>
      <w:pPr>
        <w:spacing w:line="400" w:lineRule="exact"/>
        <w:ind w:firstLine="420" w:firstLineChars="200"/>
        <w:rPr>
          <w:rFonts w:hint="eastAsia"/>
          <w:color w:val="auto"/>
        </w:rPr>
      </w:pPr>
      <w:r>
        <w:rPr>
          <w:rFonts w:hint="eastAsia"/>
          <w:color w:val="auto"/>
        </w:rPr>
        <w:t>5.2.2 承包人应根据合同进度计划的安排，向监理人报送要求发包人交货的日期计划。发包人应按照监理人与合同双方当事人商定的交货日期，向承包人提交材料和工程设备。</w:t>
      </w:r>
    </w:p>
    <w:p>
      <w:pPr>
        <w:spacing w:line="400" w:lineRule="exact"/>
        <w:ind w:firstLine="420" w:firstLineChars="200"/>
        <w:rPr>
          <w:rFonts w:hint="eastAsia"/>
          <w:color w:val="auto"/>
        </w:rPr>
      </w:pPr>
      <w:r>
        <w:rPr>
          <w:rFonts w:hint="eastAsia"/>
          <w:color w:val="auto"/>
        </w:rPr>
        <w:t>5.2.3 发包人应在材料和工程设备到货7天前通知承包人，承包人应会同监理人在约定的时间内，赴交货地点共同进行验收。发包人提供的材料和工程设备运至交货地点验收后，由承包人负责接收、卸货、运输和保管。</w:t>
      </w:r>
    </w:p>
    <w:p>
      <w:pPr>
        <w:spacing w:line="400" w:lineRule="exact"/>
        <w:ind w:firstLine="420" w:firstLineChars="200"/>
        <w:rPr>
          <w:rFonts w:hint="eastAsia"/>
          <w:color w:val="auto"/>
        </w:rPr>
      </w:pPr>
      <w:r>
        <w:rPr>
          <w:rFonts w:hint="eastAsia"/>
          <w:color w:val="auto"/>
        </w:rPr>
        <w:t xml:space="preserve">5.2.4 发包人要求向承包人提前交货的，承包人不得拒绝，但发包人应承担承包人由此增加的费用。 </w:t>
      </w:r>
    </w:p>
    <w:p>
      <w:pPr>
        <w:spacing w:line="400" w:lineRule="exact"/>
        <w:ind w:firstLine="420" w:firstLineChars="200"/>
        <w:rPr>
          <w:rFonts w:hint="eastAsia"/>
          <w:color w:val="auto"/>
        </w:rPr>
      </w:pPr>
      <w:r>
        <w:rPr>
          <w:rFonts w:hint="eastAsia"/>
          <w:color w:val="auto"/>
        </w:rPr>
        <w:t xml:space="preserve">5.2.5 承包人要求更改交货日期或地点的，应事先报请监理人批准。由于承包人要求更改交货时间或地点所增加的费用和（或）工期延误由承包人承担。 </w:t>
      </w:r>
    </w:p>
    <w:p>
      <w:pPr>
        <w:spacing w:line="400" w:lineRule="exact"/>
        <w:ind w:firstLine="420" w:firstLineChars="200"/>
        <w:rPr>
          <w:rFonts w:hint="eastAsia"/>
          <w:color w:val="auto"/>
        </w:rPr>
      </w:pPr>
      <w:r>
        <w:rPr>
          <w:rFonts w:hint="eastAsia"/>
          <w:color w:val="auto"/>
        </w:rPr>
        <w:t>5.2.6 发包人提供的材料和工程设备的规格、数量或质量不符合合同要求，或由于发包人原因发生交货日期延误及交货地点变更等情况的，发包人应承担由此增加的费用和（或）工期延误，并向承包人支付合理利润。</w:t>
      </w:r>
    </w:p>
    <w:p>
      <w:pPr>
        <w:keepNext/>
        <w:keepLines/>
        <w:spacing w:line="400" w:lineRule="exact"/>
        <w:outlineLvl w:val="3"/>
        <w:rPr>
          <w:rFonts w:hint="eastAsia" w:eastAsia="黑体"/>
          <w:color w:val="auto"/>
          <w:sz w:val="24"/>
          <w:szCs w:val="20"/>
        </w:rPr>
      </w:pPr>
      <w:bookmarkStart w:id="1049" w:name="_Toc517172429"/>
      <w:bookmarkStart w:id="1050" w:name="_Toc144974622"/>
      <w:bookmarkStart w:id="1051" w:name="_Toc179632672"/>
      <w:bookmarkStart w:id="1052" w:name="_Toc2195"/>
      <w:bookmarkStart w:id="1053" w:name="_Toc152042432"/>
      <w:bookmarkStart w:id="1054" w:name="_Toc152045654"/>
      <w:r>
        <w:rPr>
          <w:rFonts w:hint="eastAsia" w:eastAsia="黑体"/>
          <w:color w:val="auto"/>
          <w:sz w:val="24"/>
          <w:szCs w:val="20"/>
        </w:rPr>
        <w:t>5.3 材料和工程设备专用于合同工程</w:t>
      </w:r>
      <w:bookmarkEnd w:id="1049"/>
      <w:bookmarkEnd w:id="1050"/>
      <w:bookmarkEnd w:id="1051"/>
      <w:bookmarkEnd w:id="1052"/>
      <w:bookmarkEnd w:id="1053"/>
      <w:bookmarkEnd w:id="1054"/>
    </w:p>
    <w:p>
      <w:pPr>
        <w:spacing w:line="400" w:lineRule="exact"/>
        <w:ind w:firstLine="420" w:firstLineChars="200"/>
        <w:rPr>
          <w:rFonts w:hint="eastAsia"/>
          <w:color w:val="auto"/>
        </w:rPr>
      </w:pPr>
      <w:r>
        <w:rPr>
          <w:rFonts w:hint="eastAsia"/>
          <w:color w:val="auto"/>
        </w:rPr>
        <w:t>5.3.1运入施工场地的材料、工程设备，包括备品备件、安装专用工器具与随机资料，必须专用于合同工程，未经监理人同意，承包人不得运出施工场地或挪作他用。</w:t>
      </w:r>
    </w:p>
    <w:p>
      <w:pPr>
        <w:spacing w:line="400" w:lineRule="exact"/>
        <w:ind w:firstLine="420" w:firstLineChars="200"/>
        <w:rPr>
          <w:rFonts w:hint="eastAsia"/>
          <w:color w:val="auto"/>
        </w:rPr>
      </w:pPr>
      <w:r>
        <w:rPr>
          <w:rFonts w:hint="eastAsia"/>
          <w:color w:val="auto"/>
        </w:rPr>
        <w:t>5.3.2 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pPr>
        <w:keepNext/>
        <w:keepLines/>
        <w:spacing w:line="400" w:lineRule="exact"/>
        <w:outlineLvl w:val="3"/>
        <w:rPr>
          <w:rFonts w:hint="eastAsia" w:eastAsia="黑体"/>
          <w:color w:val="auto"/>
          <w:sz w:val="24"/>
          <w:szCs w:val="20"/>
        </w:rPr>
      </w:pPr>
      <w:bookmarkStart w:id="1055" w:name="_Toc7560"/>
      <w:bookmarkStart w:id="1056" w:name="_Toc517172430"/>
      <w:bookmarkStart w:id="1057" w:name="_Toc152042433"/>
      <w:bookmarkStart w:id="1058" w:name="_Toc152045655"/>
      <w:bookmarkStart w:id="1059" w:name="_Toc179632673"/>
      <w:bookmarkStart w:id="1060" w:name="_Toc144974623"/>
      <w:r>
        <w:rPr>
          <w:rFonts w:hint="eastAsia" w:eastAsia="黑体"/>
          <w:color w:val="auto"/>
          <w:sz w:val="24"/>
          <w:szCs w:val="20"/>
        </w:rPr>
        <w:t>5.4 禁止使用不合格的材料和工程设备</w:t>
      </w:r>
      <w:bookmarkEnd w:id="1055"/>
      <w:bookmarkEnd w:id="1056"/>
      <w:bookmarkEnd w:id="1057"/>
      <w:bookmarkEnd w:id="1058"/>
      <w:bookmarkEnd w:id="1059"/>
      <w:bookmarkEnd w:id="1060"/>
    </w:p>
    <w:p>
      <w:pPr>
        <w:spacing w:line="400" w:lineRule="exact"/>
        <w:ind w:firstLine="420" w:firstLineChars="200"/>
        <w:rPr>
          <w:rFonts w:hint="eastAsia"/>
          <w:color w:val="auto"/>
        </w:rPr>
      </w:pPr>
      <w:r>
        <w:rPr>
          <w:rFonts w:hint="eastAsia"/>
          <w:color w:val="auto"/>
        </w:rPr>
        <w:t>5.4.1 监理人有权拒绝承包人提供的不合格材料或工程设备，并要求承包人立即进行更换。监理人应在更换后再次进行检查和检验，由此增加的费用和（或）工期延误由承包人承担。</w:t>
      </w:r>
    </w:p>
    <w:p>
      <w:pPr>
        <w:spacing w:line="400" w:lineRule="exact"/>
        <w:ind w:firstLine="420" w:firstLineChars="200"/>
        <w:rPr>
          <w:rFonts w:hint="eastAsia"/>
          <w:color w:val="auto"/>
        </w:rPr>
      </w:pPr>
      <w:r>
        <w:rPr>
          <w:rFonts w:hint="eastAsia"/>
          <w:color w:val="auto"/>
        </w:rPr>
        <w:t>5.4.2 监理人发现承包人使用了不合格的材料和工程设备，应即时发出指示要求承包人立即改正，并禁止在工程中继续使用不合格的材料和工程设备。</w:t>
      </w:r>
    </w:p>
    <w:p>
      <w:pPr>
        <w:spacing w:line="400" w:lineRule="exact"/>
        <w:ind w:firstLine="420" w:firstLineChars="200"/>
        <w:rPr>
          <w:rFonts w:hint="eastAsia"/>
          <w:color w:val="auto"/>
        </w:rPr>
      </w:pPr>
      <w:r>
        <w:rPr>
          <w:rFonts w:hint="eastAsia"/>
          <w:color w:val="auto"/>
        </w:rPr>
        <w:t>5.4.3 发包人提供的材料或工程设备不符合合同要求的，承包人有权拒绝，并可要求发包人更换，由此增加的费用和（或）工期延误由发包人承担。</w:t>
      </w:r>
    </w:p>
    <w:bookmarkEnd w:id="1046"/>
    <w:p>
      <w:pPr>
        <w:pStyle w:val="80"/>
        <w:spacing w:before="120" w:after="120" w:afterLines="50"/>
        <w:outlineLvl w:val="2"/>
        <w:rPr>
          <w:color w:val="auto"/>
        </w:rPr>
      </w:pPr>
      <w:bookmarkStart w:id="1061" w:name="_Toc222031009"/>
      <w:bookmarkStart w:id="1062" w:name="_Toc222029507"/>
      <w:bookmarkStart w:id="1063" w:name="_Toc222032676"/>
      <w:bookmarkStart w:id="1064" w:name="_Toc221950785"/>
      <w:bookmarkStart w:id="1065" w:name="_Toc229305367"/>
      <w:bookmarkStart w:id="1066" w:name="_Toc387753588"/>
      <w:bookmarkStart w:id="1067" w:name="_Toc222033858"/>
      <w:bookmarkStart w:id="1068" w:name="_Toc27033"/>
      <w:bookmarkStart w:id="1069" w:name="_Toc491089734"/>
      <w:bookmarkStart w:id="1070" w:name="_Toc517172431"/>
      <w:r>
        <w:rPr>
          <w:color w:val="auto"/>
        </w:rPr>
        <w:t xml:space="preserve">6. </w:t>
      </w:r>
      <w:r>
        <w:rPr>
          <w:rFonts w:hint="eastAsia"/>
          <w:color w:val="auto"/>
        </w:rPr>
        <w:t>施工设备和临时设施</w:t>
      </w:r>
      <w:bookmarkEnd w:id="1061"/>
      <w:bookmarkEnd w:id="1062"/>
      <w:bookmarkEnd w:id="1063"/>
      <w:bookmarkEnd w:id="1064"/>
      <w:bookmarkEnd w:id="1065"/>
      <w:bookmarkEnd w:id="1066"/>
      <w:bookmarkEnd w:id="1067"/>
      <w:bookmarkEnd w:id="1068"/>
      <w:bookmarkEnd w:id="1069"/>
      <w:bookmarkEnd w:id="1070"/>
    </w:p>
    <w:p>
      <w:pPr>
        <w:keepNext/>
        <w:keepLines/>
        <w:spacing w:line="400" w:lineRule="exact"/>
        <w:outlineLvl w:val="3"/>
        <w:rPr>
          <w:rFonts w:hint="eastAsia" w:eastAsia="黑体"/>
          <w:color w:val="auto"/>
          <w:sz w:val="24"/>
          <w:szCs w:val="20"/>
        </w:rPr>
      </w:pPr>
      <w:bookmarkStart w:id="1071" w:name="_Toc144974625"/>
      <w:bookmarkStart w:id="1072" w:name="_Toc27403"/>
      <w:bookmarkStart w:id="1073" w:name="_Toc517172432"/>
      <w:bookmarkStart w:id="1074" w:name="_Toc152045657"/>
      <w:bookmarkStart w:id="1075" w:name="_Toc179632675"/>
      <w:bookmarkStart w:id="1076" w:name="_Toc152042435"/>
      <w:bookmarkStart w:id="1077" w:name="_Toc222031010"/>
      <w:bookmarkStart w:id="1078" w:name="_Toc222033859"/>
      <w:bookmarkStart w:id="1079" w:name="_Toc222032677"/>
      <w:bookmarkStart w:id="1080" w:name="_Toc229305368"/>
      <w:bookmarkStart w:id="1081" w:name="_Toc221950795"/>
      <w:bookmarkStart w:id="1082" w:name="_Toc222029508"/>
      <w:r>
        <w:rPr>
          <w:rFonts w:hint="eastAsia" w:eastAsia="黑体"/>
          <w:color w:val="auto"/>
          <w:sz w:val="24"/>
          <w:szCs w:val="20"/>
        </w:rPr>
        <w:t>6.1 承包人提供的施工设备和临时设施</w:t>
      </w:r>
      <w:bookmarkEnd w:id="1071"/>
      <w:bookmarkEnd w:id="1072"/>
      <w:bookmarkEnd w:id="1073"/>
      <w:bookmarkEnd w:id="1074"/>
      <w:bookmarkEnd w:id="1075"/>
      <w:bookmarkEnd w:id="1076"/>
    </w:p>
    <w:p>
      <w:pPr>
        <w:spacing w:line="400" w:lineRule="exact"/>
        <w:ind w:firstLine="420" w:firstLineChars="200"/>
        <w:rPr>
          <w:rFonts w:hint="eastAsia"/>
          <w:color w:val="auto"/>
        </w:rPr>
      </w:pPr>
      <w:r>
        <w:rPr>
          <w:rFonts w:hint="eastAsia"/>
          <w:color w:val="auto"/>
        </w:rPr>
        <w:t>6.1.1 承包人应按合同进度计划的要求，及时配置施工设备和修建临时设施。进入施工场地的承包人设备需经监理人核查后才能投入使用。承包人更换合同约定的承包人设备的，应报监理人批准。</w:t>
      </w:r>
    </w:p>
    <w:p>
      <w:pPr>
        <w:spacing w:line="400" w:lineRule="exact"/>
        <w:ind w:firstLine="420" w:firstLineChars="200"/>
        <w:rPr>
          <w:rFonts w:hint="eastAsia"/>
          <w:color w:val="auto"/>
        </w:rPr>
      </w:pPr>
      <w:r>
        <w:rPr>
          <w:rFonts w:hint="eastAsia"/>
          <w:color w:val="auto"/>
        </w:rPr>
        <w:t>6.1.2除专用合同条款另有约定外，承包人应自行承担修建临时设施的费用，需要临时占地的，应由发包人办理申请手续并承担相应费用。</w:t>
      </w:r>
    </w:p>
    <w:p>
      <w:pPr>
        <w:keepNext/>
        <w:keepLines/>
        <w:spacing w:line="400" w:lineRule="exact"/>
        <w:outlineLvl w:val="3"/>
        <w:rPr>
          <w:rFonts w:hint="eastAsia" w:eastAsia="黑体"/>
          <w:color w:val="auto"/>
          <w:sz w:val="24"/>
          <w:szCs w:val="20"/>
        </w:rPr>
      </w:pPr>
      <w:bookmarkStart w:id="1083" w:name="_Toc152042436"/>
      <w:bookmarkStart w:id="1084" w:name="_Toc152045658"/>
      <w:bookmarkStart w:id="1085" w:name="_Toc179632676"/>
      <w:bookmarkStart w:id="1086" w:name="_Toc517172433"/>
      <w:bookmarkStart w:id="1087" w:name="_Toc25210"/>
      <w:bookmarkStart w:id="1088" w:name="_Toc144974626"/>
      <w:r>
        <w:rPr>
          <w:rFonts w:hint="eastAsia" w:eastAsia="黑体"/>
          <w:color w:val="auto"/>
          <w:sz w:val="24"/>
          <w:szCs w:val="20"/>
        </w:rPr>
        <w:t>6.2 发包人提供的施工设备和临时设施</w:t>
      </w:r>
      <w:bookmarkEnd w:id="1083"/>
      <w:bookmarkEnd w:id="1084"/>
      <w:bookmarkEnd w:id="1085"/>
      <w:bookmarkEnd w:id="1086"/>
      <w:bookmarkEnd w:id="1087"/>
      <w:bookmarkEnd w:id="1088"/>
    </w:p>
    <w:p>
      <w:pPr>
        <w:spacing w:line="400" w:lineRule="exact"/>
        <w:ind w:firstLine="420" w:firstLineChars="200"/>
        <w:rPr>
          <w:rFonts w:hint="eastAsia"/>
          <w:color w:val="auto"/>
        </w:rPr>
      </w:pPr>
      <w:r>
        <w:rPr>
          <w:rFonts w:hint="eastAsia"/>
          <w:color w:val="auto"/>
        </w:rPr>
        <w:t>发包人提供的施工设备或临时设施在专用合同条款中约定。</w:t>
      </w:r>
    </w:p>
    <w:p>
      <w:pPr>
        <w:keepNext/>
        <w:keepLines/>
        <w:spacing w:line="400" w:lineRule="exact"/>
        <w:outlineLvl w:val="3"/>
        <w:rPr>
          <w:rFonts w:hint="eastAsia" w:eastAsia="黑体"/>
          <w:color w:val="auto"/>
          <w:sz w:val="24"/>
          <w:szCs w:val="20"/>
        </w:rPr>
      </w:pPr>
      <w:bookmarkStart w:id="1089" w:name="_Toc152045659"/>
      <w:bookmarkStart w:id="1090" w:name="_Toc152042437"/>
      <w:bookmarkStart w:id="1091" w:name="_Toc517172434"/>
      <w:bookmarkStart w:id="1092" w:name="_Toc179632677"/>
      <w:bookmarkStart w:id="1093" w:name="_Toc17100"/>
      <w:bookmarkStart w:id="1094" w:name="_Toc144974627"/>
      <w:r>
        <w:rPr>
          <w:rFonts w:hint="eastAsia" w:eastAsia="黑体"/>
          <w:color w:val="auto"/>
          <w:sz w:val="24"/>
          <w:szCs w:val="20"/>
        </w:rPr>
        <w:t>6.3 要求承包人增加或更换施工设备</w:t>
      </w:r>
      <w:bookmarkEnd w:id="1089"/>
      <w:bookmarkEnd w:id="1090"/>
      <w:bookmarkEnd w:id="1091"/>
      <w:bookmarkEnd w:id="1092"/>
      <w:bookmarkEnd w:id="1093"/>
      <w:bookmarkEnd w:id="1094"/>
    </w:p>
    <w:p>
      <w:pPr>
        <w:spacing w:line="400" w:lineRule="exact"/>
        <w:ind w:firstLine="420" w:firstLineChars="200"/>
        <w:rPr>
          <w:rFonts w:hint="eastAsia"/>
          <w:color w:val="auto"/>
        </w:rPr>
      </w:pPr>
      <w:r>
        <w:rPr>
          <w:rFonts w:hint="eastAsia"/>
          <w:color w:val="auto"/>
        </w:rPr>
        <w:t>承包人使用的施工设备不能满足合同进度计划和（或）质量要求时，监理人有权要求承包人增加或更换施工设备，承包人应及时增加或更换，由此增加的费用和（或）工期延误由承包人承担。</w:t>
      </w:r>
    </w:p>
    <w:p>
      <w:pPr>
        <w:keepNext/>
        <w:keepLines/>
        <w:spacing w:line="400" w:lineRule="exact"/>
        <w:outlineLvl w:val="3"/>
        <w:rPr>
          <w:rFonts w:hint="eastAsia" w:eastAsia="黑体"/>
          <w:color w:val="auto"/>
          <w:sz w:val="24"/>
          <w:szCs w:val="20"/>
        </w:rPr>
      </w:pPr>
      <w:bookmarkStart w:id="1095" w:name="_Toc152045660"/>
      <w:bookmarkStart w:id="1096" w:name="_Toc179632678"/>
      <w:bookmarkStart w:id="1097" w:name="_Toc144974628"/>
      <w:bookmarkStart w:id="1098" w:name="_Toc517172435"/>
      <w:bookmarkStart w:id="1099" w:name="_Toc24615"/>
      <w:bookmarkStart w:id="1100" w:name="_Toc152042438"/>
      <w:r>
        <w:rPr>
          <w:rFonts w:hint="eastAsia" w:eastAsia="黑体"/>
          <w:color w:val="auto"/>
          <w:sz w:val="24"/>
          <w:szCs w:val="20"/>
        </w:rPr>
        <w:t>6.4 施工设备和临时设施专用于合同工程</w:t>
      </w:r>
      <w:bookmarkEnd w:id="1095"/>
      <w:bookmarkEnd w:id="1096"/>
      <w:bookmarkEnd w:id="1097"/>
      <w:bookmarkEnd w:id="1098"/>
      <w:bookmarkEnd w:id="1099"/>
      <w:bookmarkEnd w:id="1100"/>
    </w:p>
    <w:p>
      <w:pPr>
        <w:spacing w:line="400" w:lineRule="exact"/>
        <w:ind w:firstLine="420" w:firstLineChars="200"/>
        <w:rPr>
          <w:rFonts w:hint="eastAsia"/>
          <w:color w:val="auto"/>
        </w:rPr>
      </w:pPr>
      <w:r>
        <w:rPr>
          <w:rFonts w:hint="eastAsia"/>
          <w:color w:val="auto"/>
        </w:rPr>
        <w:t>6.4.1除合同另有约定外，运入施工场地的所有施工设备以及在施工场地建设的临时设施应专用于合同工程。未经监理人同意，不得将上述施工设备和临时设施中的任何部分运出施工场地或挪作他用。</w:t>
      </w:r>
    </w:p>
    <w:p>
      <w:pPr>
        <w:spacing w:line="400" w:lineRule="exact"/>
        <w:ind w:firstLine="420" w:firstLineChars="200"/>
        <w:rPr>
          <w:rFonts w:hint="eastAsia"/>
          <w:color w:val="auto"/>
        </w:rPr>
      </w:pPr>
      <w:r>
        <w:rPr>
          <w:rFonts w:hint="eastAsia"/>
          <w:color w:val="auto"/>
        </w:rPr>
        <w:t>6.4.2 经监理人同意，承包人可根据合同进度计划撤走闲置的施工设备。</w:t>
      </w:r>
    </w:p>
    <w:p>
      <w:pPr>
        <w:pStyle w:val="80"/>
        <w:spacing w:before="120" w:after="120" w:afterLines="50"/>
        <w:outlineLvl w:val="2"/>
        <w:rPr>
          <w:color w:val="auto"/>
        </w:rPr>
      </w:pPr>
      <w:bookmarkStart w:id="1101" w:name="_Toc491089735"/>
      <w:bookmarkStart w:id="1102" w:name="_Toc387753589"/>
      <w:bookmarkStart w:id="1103" w:name="_Toc517172436"/>
      <w:bookmarkStart w:id="1104" w:name="_Toc22156"/>
      <w:r>
        <w:rPr>
          <w:color w:val="auto"/>
        </w:rPr>
        <w:t xml:space="preserve">7. </w:t>
      </w:r>
      <w:r>
        <w:rPr>
          <w:rFonts w:hint="eastAsia"/>
          <w:color w:val="auto"/>
        </w:rPr>
        <w:t>交通运输</w:t>
      </w:r>
      <w:bookmarkEnd w:id="1077"/>
      <w:bookmarkEnd w:id="1078"/>
      <w:bookmarkEnd w:id="1079"/>
      <w:bookmarkEnd w:id="1080"/>
      <w:bookmarkEnd w:id="1081"/>
      <w:bookmarkEnd w:id="1082"/>
      <w:bookmarkEnd w:id="1101"/>
      <w:bookmarkEnd w:id="1102"/>
      <w:bookmarkEnd w:id="1103"/>
      <w:bookmarkEnd w:id="1104"/>
    </w:p>
    <w:p>
      <w:pPr>
        <w:keepNext/>
        <w:keepLines/>
        <w:spacing w:line="400" w:lineRule="exact"/>
        <w:outlineLvl w:val="3"/>
        <w:rPr>
          <w:rFonts w:hint="eastAsia" w:eastAsia="黑体"/>
          <w:color w:val="auto"/>
          <w:sz w:val="24"/>
          <w:szCs w:val="20"/>
        </w:rPr>
      </w:pPr>
      <w:bookmarkStart w:id="1105" w:name="_Toc517172437"/>
      <w:bookmarkStart w:id="1106" w:name="_Toc11183"/>
      <w:r>
        <w:rPr>
          <w:rFonts w:hint="eastAsia" w:eastAsia="黑体"/>
          <w:color w:val="auto"/>
          <w:sz w:val="24"/>
          <w:szCs w:val="20"/>
        </w:rPr>
        <w:t>7.1 道路通行权和场外设施</w:t>
      </w:r>
      <w:bookmarkEnd w:id="1105"/>
      <w:bookmarkEnd w:id="1106"/>
    </w:p>
    <w:p>
      <w:pPr>
        <w:spacing w:line="400" w:lineRule="exact"/>
        <w:ind w:firstLine="420" w:firstLineChars="200"/>
        <w:rPr>
          <w:rFonts w:hint="eastAsia"/>
          <w:color w:val="auto"/>
        </w:rPr>
      </w:pPr>
      <w:r>
        <w:rPr>
          <w:rFonts w:hint="eastAsia"/>
          <w:color w:val="auto"/>
        </w:rPr>
        <w:t>除专用合同条款另有约定外，承包人应根据合同工程的施工需要，负责办理取得出入施工场地的专用和临时道路的通行权，以及取得为工程建设所需修建场外设施的权利，并承担相关费用。发包人应协助承包人办理上述手续。</w:t>
      </w:r>
    </w:p>
    <w:p>
      <w:pPr>
        <w:keepNext/>
        <w:keepLines/>
        <w:spacing w:line="400" w:lineRule="exact"/>
        <w:outlineLvl w:val="3"/>
        <w:rPr>
          <w:rFonts w:hint="eastAsia" w:eastAsia="黑体"/>
          <w:color w:val="auto"/>
          <w:sz w:val="24"/>
          <w:szCs w:val="20"/>
        </w:rPr>
      </w:pPr>
      <w:bookmarkStart w:id="1107" w:name="_Toc517172438"/>
      <w:bookmarkStart w:id="1108" w:name="_Toc22596"/>
      <w:bookmarkStart w:id="1109" w:name="_Toc221950800"/>
      <w:r>
        <w:rPr>
          <w:rFonts w:hint="eastAsia" w:eastAsia="黑体"/>
          <w:color w:val="auto"/>
          <w:sz w:val="24"/>
          <w:szCs w:val="20"/>
        </w:rPr>
        <w:t>7.2 场内施工道路</w:t>
      </w:r>
      <w:bookmarkEnd w:id="1107"/>
      <w:bookmarkEnd w:id="1108"/>
    </w:p>
    <w:p>
      <w:pPr>
        <w:spacing w:line="400" w:lineRule="exact"/>
        <w:ind w:firstLine="420" w:firstLineChars="200"/>
        <w:rPr>
          <w:rFonts w:hint="eastAsia"/>
          <w:color w:val="auto"/>
        </w:rPr>
      </w:pPr>
      <w:r>
        <w:rPr>
          <w:rFonts w:hint="eastAsia"/>
          <w:color w:val="auto"/>
        </w:rPr>
        <w:t>7.2.1  除本合同约定由发包人提供的部分道路和交通设施外，承包人应负责修建、维修、养护和管理其施工所需的全部临时道路和交通设施(包括合同约定由发包人提供的部分道路和交通设施维修、养护和管理),并承担相应费用。</w:t>
      </w:r>
      <w:bookmarkEnd w:id="1109"/>
    </w:p>
    <w:p>
      <w:pPr>
        <w:spacing w:line="400" w:lineRule="exact"/>
        <w:ind w:firstLine="420" w:firstLineChars="200"/>
        <w:rPr>
          <w:rFonts w:hint="eastAsia"/>
          <w:color w:val="auto"/>
        </w:rPr>
      </w:pPr>
      <w:bookmarkStart w:id="1110" w:name="_Toc221950801"/>
      <w:r>
        <w:rPr>
          <w:rFonts w:hint="eastAsia"/>
          <w:color w:val="auto"/>
        </w:rPr>
        <w:t>7.2.2  承包人修建的临时道路和交通设施,应免费提供发包人、监理人，以及与本合同有关的其他承包人使用。</w:t>
      </w:r>
      <w:bookmarkEnd w:id="1110"/>
    </w:p>
    <w:p>
      <w:pPr>
        <w:keepNext/>
        <w:keepLines/>
        <w:spacing w:line="400" w:lineRule="exact"/>
        <w:outlineLvl w:val="3"/>
        <w:rPr>
          <w:rFonts w:hint="eastAsia" w:eastAsia="黑体"/>
          <w:color w:val="auto"/>
          <w:sz w:val="24"/>
          <w:szCs w:val="20"/>
        </w:rPr>
      </w:pPr>
      <w:bookmarkStart w:id="1111" w:name="_Toc152045664"/>
      <w:bookmarkStart w:id="1112" w:name="_Toc179632682"/>
      <w:bookmarkStart w:id="1113" w:name="_Toc144974632"/>
      <w:bookmarkStart w:id="1114" w:name="_Toc152042442"/>
      <w:bookmarkStart w:id="1115" w:name="_Toc4024"/>
      <w:bookmarkStart w:id="1116" w:name="_Toc517172439"/>
      <w:r>
        <w:rPr>
          <w:rFonts w:hint="eastAsia" w:eastAsia="黑体"/>
          <w:color w:val="auto"/>
          <w:sz w:val="24"/>
          <w:szCs w:val="20"/>
        </w:rPr>
        <w:t>7.3 场外交通</w:t>
      </w:r>
      <w:bookmarkEnd w:id="1111"/>
      <w:bookmarkEnd w:id="1112"/>
      <w:bookmarkEnd w:id="1113"/>
      <w:bookmarkEnd w:id="1114"/>
      <w:bookmarkEnd w:id="1115"/>
      <w:bookmarkEnd w:id="1116"/>
    </w:p>
    <w:p>
      <w:pPr>
        <w:spacing w:line="400" w:lineRule="exact"/>
        <w:ind w:firstLine="420" w:firstLineChars="200"/>
        <w:rPr>
          <w:rFonts w:hint="eastAsia"/>
          <w:color w:val="auto"/>
        </w:rPr>
      </w:pPr>
      <w:r>
        <w:rPr>
          <w:rFonts w:hint="eastAsia"/>
          <w:color w:val="auto"/>
        </w:rPr>
        <w:t>7.3.1 承包人车辆外出行驶所需的场外公共道路的通行费、养路费和税款等由承包人承担。</w:t>
      </w:r>
    </w:p>
    <w:p>
      <w:pPr>
        <w:spacing w:line="400" w:lineRule="exact"/>
        <w:ind w:firstLine="420" w:firstLineChars="200"/>
        <w:rPr>
          <w:rFonts w:hint="eastAsia"/>
          <w:color w:val="auto"/>
        </w:rPr>
      </w:pPr>
      <w:r>
        <w:rPr>
          <w:rFonts w:hint="eastAsia"/>
          <w:color w:val="auto"/>
        </w:rPr>
        <w:t>7.3.2 承包人应遵守有关交通法规，严格按照道路和桥梁的限制荷重安全行驶，并服从交通管理部门的检查和监督。</w:t>
      </w:r>
    </w:p>
    <w:p>
      <w:pPr>
        <w:keepNext/>
        <w:keepLines/>
        <w:spacing w:line="400" w:lineRule="exact"/>
        <w:outlineLvl w:val="3"/>
        <w:rPr>
          <w:rFonts w:hint="eastAsia" w:eastAsia="黑体"/>
          <w:color w:val="auto"/>
          <w:sz w:val="24"/>
          <w:szCs w:val="20"/>
        </w:rPr>
      </w:pPr>
      <w:bookmarkStart w:id="1117" w:name="_Toc144974633"/>
      <w:bookmarkStart w:id="1118" w:name="_Toc152042443"/>
      <w:bookmarkStart w:id="1119" w:name="_Toc152045665"/>
      <w:bookmarkStart w:id="1120" w:name="_Toc179632683"/>
      <w:bookmarkStart w:id="1121" w:name="_Toc517172440"/>
      <w:bookmarkStart w:id="1122" w:name="_Toc11825"/>
      <w:r>
        <w:rPr>
          <w:rFonts w:hint="eastAsia" w:eastAsia="黑体"/>
          <w:color w:val="auto"/>
          <w:sz w:val="24"/>
          <w:szCs w:val="20"/>
        </w:rPr>
        <w:t>7.4 超大件和超重件的运输</w:t>
      </w:r>
      <w:bookmarkEnd w:id="1117"/>
      <w:bookmarkEnd w:id="1118"/>
      <w:bookmarkEnd w:id="1119"/>
      <w:bookmarkEnd w:id="1120"/>
      <w:bookmarkEnd w:id="1121"/>
      <w:bookmarkEnd w:id="1122"/>
    </w:p>
    <w:p>
      <w:pPr>
        <w:spacing w:line="400" w:lineRule="exact"/>
        <w:ind w:firstLine="420" w:firstLineChars="200"/>
        <w:rPr>
          <w:rFonts w:hint="eastAsia"/>
          <w:color w:val="auto"/>
        </w:rPr>
      </w:pPr>
      <w:r>
        <w:rPr>
          <w:rFonts w:hint="eastAsia"/>
          <w:color w:val="auto"/>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keepNext/>
        <w:keepLines/>
        <w:spacing w:line="400" w:lineRule="exact"/>
        <w:outlineLvl w:val="3"/>
        <w:rPr>
          <w:rFonts w:hint="eastAsia" w:eastAsia="黑体"/>
          <w:color w:val="auto"/>
          <w:sz w:val="24"/>
          <w:szCs w:val="20"/>
        </w:rPr>
      </w:pPr>
      <w:bookmarkStart w:id="1123" w:name="_Toc144974634"/>
      <w:bookmarkStart w:id="1124" w:name="_Toc152042444"/>
      <w:bookmarkStart w:id="1125" w:name="_Toc152045666"/>
      <w:bookmarkStart w:id="1126" w:name="_Toc179632684"/>
      <w:bookmarkStart w:id="1127" w:name="_Toc20221"/>
      <w:bookmarkStart w:id="1128" w:name="_Toc517172441"/>
      <w:r>
        <w:rPr>
          <w:rFonts w:hint="eastAsia" w:eastAsia="黑体"/>
          <w:color w:val="auto"/>
          <w:sz w:val="24"/>
          <w:szCs w:val="20"/>
        </w:rPr>
        <w:t>7.5 道路和桥梁的损坏责任</w:t>
      </w:r>
      <w:bookmarkEnd w:id="1123"/>
      <w:bookmarkEnd w:id="1124"/>
      <w:bookmarkEnd w:id="1125"/>
      <w:bookmarkEnd w:id="1126"/>
      <w:bookmarkEnd w:id="1127"/>
      <w:bookmarkEnd w:id="1128"/>
    </w:p>
    <w:p>
      <w:pPr>
        <w:spacing w:line="400" w:lineRule="exact"/>
        <w:ind w:firstLine="420" w:firstLineChars="200"/>
        <w:rPr>
          <w:rFonts w:hint="eastAsia"/>
          <w:color w:val="auto"/>
        </w:rPr>
      </w:pPr>
      <w:r>
        <w:rPr>
          <w:rFonts w:hint="eastAsia"/>
          <w:color w:val="auto"/>
        </w:rPr>
        <w:t>因承包人运输造成施工场地内外公共道路和桥梁损坏的，由承包人承担修复损坏的全部费用和可能引起的赔偿。</w:t>
      </w:r>
    </w:p>
    <w:p>
      <w:pPr>
        <w:keepNext/>
        <w:keepLines/>
        <w:spacing w:line="400" w:lineRule="exact"/>
        <w:outlineLvl w:val="3"/>
        <w:rPr>
          <w:rFonts w:hint="eastAsia" w:eastAsia="黑体"/>
          <w:color w:val="auto"/>
          <w:sz w:val="24"/>
          <w:szCs w:val="20"/>
        </w:rPr>
      </w:pPr>
      <w:bookmarkStart w:id="1129" w:name="_Toc144974635"/>
      <w:bookmarkStart w:id="1130" w:name="_Toc152042445"/>
      <w:bookmarkStart w:id="1131" w:name="_Toc152045667"/>
      <w:bookmarkStart w:id="1132" w:name="_Toc179632685"/>
      <w:bookmarkStart w:id="1133" w:name="_Toc517172442"/>
      <w:bookmarkStart w:id="1134" w:name="_Toc22497"/>
      <w:r>
        <w:rPr>
          <w:rFonts w:hint="eastAsia" w:eastAsia="黑体"/>
          <w:color w:val="auto"/>
          <w:sz w:val="24"/>
          <w:szCs w:val="20"/>
        </w:rPr>
        <w:t>7.6 水路和航空运输</w:t>
      </w:r>
      <w:bookmarkEnd w:id="1129"/>
      <w:bookmarkEnd w:id="1130"/>
      <w:bookmarkEnd w:id="1131"/>
      <w:bookmarkEnd w:id="1132"/>
      <w:bookmarkEnd w:id="1133"/>
      <w:bookmarkEnd w:id="1134"/>
    </w:p>
    <w:p>
      <w:pPr>
        <w:spacing w:line="400" w:lineRule="exact"/>
        <w:ind w:firstLine="420" w:firstLineChars="200"/>
        <w:rPr>
          <w:rFonts w:hint="eastAsia"/>
          <w:color w:val="auto"/>
        </w:rPr>
      </w:pPr>
      <w:r>
        <w:rPr>
          <w:rFonts w:hint="eastAsia"/>
          <w:color w:val="auto"/>
        </w:rPr>
        <w:t xml:space="preserve">本条上述各款的内容适用于水路运输和航空运输，其中“道路”一词的涵义包括河道、航线、船闸、机场、码头、堤防以及水路或航空运输中其他相似结构物；“车辆”一词的涵义包括船舶和飞机等。 </w:t>
      </w:r>
    </w:p>
    <w:p>
      <w:pPr>
        <w:pStyle w:val="80"/>
        <w:spacing w:before="120" w:after="120" w:afterLines="50"/>
        <w:outlineLvl w:val="2"/>
        <w:rPr>
          <w:color w:val="auto"/>
        </w:rPr>
      </w:pPr>
      <w:bookmarkStart w:id="1135" w:name="_Toc221950810"/>
      <w:bookmarkStart w:id="1136" w:name="_Toc222029509"/>
      <w:bookmarkStart w:id="1137" w:name="_Toc222031011"/>
      <w:bookmarkStart w:id="1138" w:name="_Toc222032678"/>
      <w:bookmarkStart w:id="1139" w:name="_Toc222033860"/>
      <w:bookmarkStart w:id="1140" w:name="_Toc229305369"/>
      <w:bookmarkStart w:id="1141" w:name="_Toc387753590"/>
      <w:bookmarkStart w:id="1142" w:name="_Toc491089736"/>
      <w:bookmarkStart w:id="1143" w:name="_Toc517172443"/>
      <w:bookmarkStart w:id="1144" w:name="_Toc7047"/>
      <w:r>
        <w:rPr>
          <w:color w:val="auto"/>
        </w:rPr>
        <w:t xml:space="preserve">8. </w:t>
      </w:r>
      <w:r>
        <w:rPr>
          <w:rFonts w:hint="eastAsia"/>
          <w:color w:val="auto"/>
        </w:rPr>
        <w:t>测量放线</w:t>
      </w:r>
      <w:bookmarkEnd w:id="1135"/>
      <w:bookmarkEnd w:id="1136"/>
      <w:bookmarkEnd w:id="1137"/>
      <w:bookmarkEnd w:id="1138"/>
      <w:bookmarkEnd w:id="1139"/>
      <w:bookmarkEnd w:id="1140"/>
      <w:bookmarkEnd w:id="1141"/>
      <w:bookmarkEnd w:id="1142"/>
      <w:bookmarkEnd w:id="1143"/>
      <w:bookmarkEnd w:id="1144"/>
    </w:p>
    <w:p>
      <w:pPr>
        <w:keepNext/>
        <w:keepLines/>
        <w:spacing w:line="400" w:lineRule="exact"/>
        <w:outlineLvl w:val="3"/>
        <w:rPr>
          <w:rFonts w:hint="eastAsia" w:eastAsia="黑体"/>
          <w:color w:val="auto"/>
          <w:sz w:val="24"/>
          <w:szCs w:val="20"/>
        </w:rPr>
      </w:pPr>
      <w:bookmarkStart w:id="1145" w:name="_Toc517172444"/>
      <w:bookmarkStart w:id="1146" w:name="_Toc5394"/>
      <w:bookmarkStart w:id="1147" w:name="_Toc221950814"/>
      <w:r>
        <w:rPr>
          <w:rFonts w:hint="eastAsia" w:eastAsia="黑体"/>
          <w:color w:val="auto"/>
          <w:sz w:val="24"/>
          <w:szCs w:val="20"/>
        </w:rPr>
        <w:t>8.1 施工控制网</w:t>
      </w:r>
      <w:bookmarkEnd w:id="1145"/>
      <w:bookmarkEnd w:id="1146"/>
    </w:p>
    <w:p>
      <w:pPr>
        <w:spacing w:line="400" w:lineRule="exact"/>
        <w:ind w:firstLine="420" w:firstLineChars="200"/>
        <w:rPr>
          <w:rFonts w:hint="eastAsia"/>
          <w:color w:val="auto"/>
        </w:rPr>
      </w:pPr>
      <w:r>
        <w:rPr>
          <w:rFonts w:hint="eastAsia"/>
          <w:color w:val="auto"/>
        </w:rPr>
        <w:t>8.1.1除专用条款另有约定外，施工控制网由承包人负责测设，发包人应在本合同协议书签订后的14天内，向承包人提供测量基准点、基准线和水准点及其相关资料。承包人应在收到上述资料后的28天内，将施测的施工控制网资料提交监理人审批。监理人应在收到报批件后的14天内批复承包人。</w:t>
      </w:r>
    </w:p>
    <w:p>
      <w:pPr>
        <w:spacing w:line="400" w:lineRule="exact"/>
        <w:ind w:firstLine="420" w:firstLineChars="200"/>
        <w:rPr>
          <w:rFonts w:hint="eastAsia"/>
          <w:color w:val="auto"/>
        </w:rPr>
      </w:pPr>
      <w:r>
        <w:rPr>
          <w:rFonts w:hint="eastAsia"/>
          <w:color w:val="auto"/>
        </w:rPr>
        <w:t>8.1.2承包人应负责管理施工控制网点。施工控制网点丢失或损坏的，承包人应及时修复。承包人应承担施工控制网点的管理与修复费用，并在工程竣工后将施工控制网点移交发包人。</w:t>
      </w:r>
    </w:p>
    <w:p>
      <w:pPr>
        <w:keepNext/>
        <w:keepLines/>
        <w:spacing w:line="400" w:lineRule="exact"/>
        <w:outlineLvl w:val="3"/>
        <w:rPr>
          <w:rFonts w:hint="eastAsia" w:eastAsia="黑体"/>
          <w:color w:val="auto"/>
          <w:sz w:val="24"/>
          <w:szCs w:val="20"/>
        </w:rPr>
      </w:pPr>
      <w:bookmarkStart w:id="1148" w:name="_Toc144974638"/>
      <w:bookmarkStart w:id="1149" w:name="_Toc152042448"/>
      <w:bookmarkStart w:id="1150" w:name="_Toc152045670"/>
      <w:bookmarkStart w:id="1151" w:name="_Toc179632688"/>
      <w:bookmarkStart w:id="1152" w:name="_Toc517172445"/>
      <w:bookmarkStart w:id="1153" w:name="_Toc31914"/>
      <w:r>
        <w:rPr>
          <w:rFonts w:hint="eastAsia" w:eastAsia="黑体"/>
          <w:color w:val="auto"/>
          <w:sz w:val="24"/>
          <w:szCs w:val="20"/>
        </w:rPr>
        <w:t>8.2 施工测量</w:t>
      </w:r>
      <w:bookmarkEnd w:id="1148"/>
      <w:bookmarkEnd w:id="1149"/>
      <w:bookmarkEnd w:id="1150"/>
      <w:bookmarkEnd w:id="1151"/>
      <w:bookmarkEnd w:id="1152"/>
      <w:bookmarkEnd w:id="1153"/>
    </w:p>
    <w:p>
      <w:pPr>
        <w:spacing w:line="400" w:lineRule="exact"/>
        <w:ind w:firstLine="420" w:firstLineChars="200"/>
        <w:rPr>
          <w:rFonts w:hint="eastAsia"/>
          <w:color w:val="auto"/>
        </w:rPr>
      </w:pPr>
      <w:r>
        <w:rPr>
          <w:rFonts w:hint="eastAsia"/>
          <w:color w:val="auto"/>
        </w:rPr>
        <w:t>8.2.1承包人应负责施工过程中的全部施工测量放线工作，并配置合格的人员、仪器、设备和其他物品。</w:t>
      </w:r>
    </w:p>
    <w:p>
      <w:pPr>
        <w:spacing w:line="400" w:lineRule="exact"/>
        <w:ind w:firstLine="420" w:firstLineChars="200"/>
        <w:rPr>
          <w:rFonts w:hint="eastAsia"/>
          <w:color w:val="auto"/>
        </w:rPr>
      </w:pPr>
      <w:r>
        <w:rPr>
          <w:rFonts w:hint="eastAsia"/>
          <w:color w:val="auto"/>
        </w:rPr>
        <w:t>8.2.2监理人可以指示承包人进行抽样复测，当复测中发现错误或出现超过合同约定的误差时，承包人应按监理人指示进行修正或补测，并承担相应的复测费用。</w:t>
      </w:r>
    </w:p>
    <w:p>
      <w:pPr>
        <w:keepNext/>
        <w:keepLines/>
        <w:spacing w:line="400" w:lineRule="exact"/>
        <w:outlineLvl w:val="3"/>
        <w:rPr>
          <w:rFonts w:hint="eastAsia" w:eastAsia="黑体"/>
          <w:color w:val="auto"/>
          <w:sz w:val="24"/>
          <w:szCs w:val="20"/>
        </w:rPr>
      </w:pPr>
      <w:bookmarkStart w:id="1154" w:name="_Toc517172446"/>
      <w:bookmarkStart w:id="1155" w:name="_Toc9253"/>
      <w:bookmarkStart w:id="1156" w:name="_Toc144974639"/>
      <w:bookmarkStart w:id="1157" w:name="_Toc179632689"/>
      <w:bookmarkStart w:id="1158" w:name="_Toc152042449"/>
      <w:bookmarkStart w:id="1159" w:name="_Toc152045671"/>
      <w:r>
        <w:rPr>
          <w:rFonts w:hint="eastAsia" w:eastAsia="黑体"/>
          <w:color w:val="auto"/>
          <w:sz w:val="24"/>
          <w:szCs w:val="20"/>
        </w:rPr>
        <w:t>8.3 基准资料错误的责任</w:t>
      </w:r>
      <w:bookmarkEnd w:id="1154"/>
      <w:bookmarkEnd w:id="1155"/>
      <w:bookmarkEnd w:id="1156"/>
      <w:bookmarkEnd w:id="1157"/>
      <w:bookmarkEnd w:id="1158"/>
      <w:bookmarkEnd w:id="1159"/>
    </w:p>
    <w:p>
      <w:pPr>
        <w:spacing w:line="400" w:lineRule="exact"/>
        <w:ind w:firstLine="420" w:firstLineChars="200"/>
        <w:rPr>
          <w:rFonts w:hint="eastAsia"/>
          <w:color w:val="auto"/>
        </w:rPr>
      </w:pPr>
      <w:r>
        <w:rPr>
          <w:rFonts w:hint="eastAsia"/>
          <w:color w:val="auto"/>
        </w:rPr>
        <w:t>发包人应对其提供的测量基准点、基准线和水准点及其书面资料的真实性、准确性和完整性负责。发包人提供上述基准资料错误导致承包人测量放线工作的返工或造成工程损失的，发包人应当承担由此增加的费用和（或）工期延误，并向承包人支付合理利润。承包人发现发包人提供的上述基准资料存在明显错误或疏忽的，应及时通知监理人。</w:t>
      </w:r>
    </w:p>
    <w:p>
      <w:pPr>
        <w:keepNext/>
        <w:keepLines/>
        <w:spacing w:line="400" w:lineRule="exact"/>
        <w:outlineLvl w:val="3"/>
        <w:rPr>
          <w:rFonts w:hint="eastAsia" w:eastAsia="黑体"/>
          <w:color w:val="auto"/>
          <w:sz w:val="24"/>
          <w:szCs w:val="20"/>
        </w:rPr>
      </w:pPr>
      <w:bookmarkStart w:id="1160" w:name="_Toc179632690"/>
      <w:bookmarkStart w:id="1161" w:name="_Toc144974640"/>
      <w:bookmarkStart w:id="1162" w:name="_Toc517172447"/>
      <w:bookmarkStart w:id="1163" w:name="_Toc16926"/>
      <w:bookmarkStart w:id="1164" w:name="_Toc152042450"/>
      <w:bookmarkStart w:id="1165" w:name="_Toc152045672"/>
      <w:r>
        <w:rPr>
          <w:rFonts w:hint="eastAsia" w:eastAsia="黑体"/>
          <w:color w:val="auto"/>
          <w:sz w:val="24"/>
          <w:szCs w:val="20"/>
        </w:rPr>
        <w:t>8.4 监理人使用施工控制网</w:t>
      </w:r>
      <w:bookmarkEnd w:id="1160"/>
      <w:bookmarkEnd w:id="1161"/>
      <w:bookmarkEnd w:id="1162"/>
      <w:bookmarkEnd w:id="1163"/>
      <w:bookmarkEnd w:id="1164"/>
      <w:bookmarkEnd w:id="1165"/>
    </w:p>
    <w:p>
      <w:pPr>
        <w:spacing w:line="400" w:lineRule="exact"/>
        <w:ind w:firstLine="420" w:firstLineChars="200"/>
        <w:rPr>
          <w:rFonts w:hint="eastAsia"/>
          <w:dstrike/>
          <w:color w:val="auto"/>
          <w:szCs w:val="21"/>
        </w:rPr>
      </w:pPr>
      <w:r>
        <w:rPr>
          <w:rFonts w:hint="eastAsia"/>
          <w:color w:val="auto"/>
        </w:rPr>
        <w:t>监理人需要使用施工控制网的，承包人应提供必要的协助，发包人不再为此支付费用。</w:t>
      </w:r>
    </w:p>
    <w:bookmarkEnd w:id="1147"/>
    <w:p>
      <w:pPr>
        <w:keepNext/>
        <w:keepLines/>
        <w:spacing w:line="400" w:lineRule="exact"/>
        <w:outlineLvl w:val="3"/>
        <w:rPr>
          <w:rFonts w:hint="eastAsia" w:eastAsia="黑体"/>
          <w:color w:val="auto"/>
          <w:sz w:val="24"/>
          <w:szCs w:val="20"/>
        </w:rPr>
      </w:pPr>
      <w:bookmarkStart w:id="1166" w:name="_Toc221950821"/>
      <w:bookmarkStart w:id="1167" w:name="_Toc517172448"/>
      <w:bookmarkStart w:id="1168" w:name="_Toc23910"/>
      <w:r>
        <w:rPr>
          <w:rFonts w:hint="eastAsia" w:eastAsia="黑体"/>
          <w:color w:val="auto"/>
          <w:sz w:val="24"/>
          <w:szCs w:val="20"/>
        </w:rPr>
        <w:t>8.5 补充地质勘探</w:t>
      </w:r>
      <w:bookmarkEnd w:id="1166"/>
      <w:bookmarkEnd w:id="1167"/>
      <w:bookmarkEnd w:id="1168"/>
    </w:p>
    <w:p>
      <w:pPr>
        <w:spacing w:line="400" w:lineRule="exact"/>
        <w:ind w:firstLine="420" w:firstLineChars="200"/>
        <w:rPr>
          <w:rFonts w:hint="eastAsia"/>
          <w:color w:val="auto"/>
        </w:rPr>
      </w:pPr>
      <w:bookmarkStart w:id="1169" w:name="_Toc221950822"/>
      <w:r>
        <w:rPr>
          <w:rFonts w:hint="eastAsia"/>
          <w:color w:val="auto"/>
        </w:rPr>
        <w:t>在合同实施期间，监理人可以指示承包人进行必要的补充地质勘探和提供有关资料；承包人为本合同永久工程施工的需要进行补充地质勘探时，须经监理人批准，并应向监理人提交有关资料，上述补充勘探的费用由发包人承担。承包人为其临时工程所需进行的补充地质勘探，其费用由承包人承担。</w:t>
      </w:r>
      <w:bookmarkEnd w:id="1169"/>
    </w:p>
    <w:p>
      <w:pPr>
        <w:pStyle w:val="80"/>
        <w:spacing w:before="120" w:after="120" w:afterLines="50"/>
        <w:outlineLvl w:val="2"/>
        <w:rPr>
          <w:color w:val="auto"/>
        </w:rPr>
      </w:pPr>
      <w:bookmarkStart w:id="1170" w:name="_Toc387753591"/>
      <w:bookmarkStart w:id="1171" w:name="_Toc222033861"/>
      <w:bookmarkStart w:id="1172" w:name="_Toc221950823"/>
      <w:bookmarkStart w:id="1173" w:name="_Toc222029510"/>
      <w:bookmarkStart w:id="1174" w:name="_Toc222031012"/>
      <w:bookmarkStart w:id="1175" w:name="_Toc222032679"/>
      <w:bookmarkStart w:id="1176" w:name="_Toc229305370"/>
      <w:bookmarkStart w:id="1177" w:name="_Toc491089737"/>
      <w:bookmarkStart w:id="1178" w:name="_Toc517172449"/>
      <w:bookmarkStart w:id="1179" w:name="_Toc21672"/>
      <w:r>
        <w:rPr>
          <w:color w:val="auto"/>
        </w:rPr>
        <w:t xml:space="preserve">9. </w:t>
      </w:r>
      <w:r>
        <w:rPr>
          <w:rFonts w:hint="eastAsia"/>
          <w:color w:val="auto"/>
        </w:rPr>
        <w:t>施工安全、治安保卫和环境保护</w:t>
      </w:r>
      <w:bookmarkEnd w:id="1170"/>
      <w:bookmarkEnd w:id="1171"/>
      <w:bookmarkEnd w:id="1172"/>
      <w:bookmarkEnd w:id="1173"/>
      <w:bookmarkEnd w:id="1174"/>
      <w:bookmarkEnd w:id="1175"/>
      <w:bookmarkEnd w:id="1176"/>
      <w:bookmarkEnd w:id="1177"/>
      <w:bookmarkEnd w:id="1178"/>
      <w:bookmarkEnd w:id="1179"/>
    </w:p>
    <w:p>
      <w:pPr>
        <w:keepNext/>
        <w:keepLines/>
        <w:spacing w:line="400" w:lineRule="exact"/>
        <w:outlineLvl w:val="3"/>
        <w:rPr>
          <w:rFonts w:hint="eastAsia" w:eastAsia="黑体"/>
          <w:color w:val="auto"/>
          <w:sz w:val="24"/>
          <w:szCs w:val="20"/>
        </w:rPr>
      </w:pPr>
      <w:bookmarkStart w:id="1180" w:name="_Toc517172450"/>
      <w:bookmarkStart w:id="1181" w:name="_Toc22919"/>
      <w:bookmarkStart w:id="1182" w:name="_Toc221950826"/>
      <w:r>
        <w:rPr>
          <w:rFonts w:hint="eastAsia" w:eastAsia="黑体"/>
          <w:color w:val="auto"/>
          <w:sz w:val="24"/>
          <w:szCs w:val="20"/>
        </w:rPr>
        <w:t>9.1 发包人的施工安全责任</w:t>
      </w:r>
      <w:bookmarkEnd w:id="1180"/>
      <w:bookmarkEnd w:id="1181"/>
    </w:p>
    <w:bookmarkEnd w:id="1182"/>
    <w:p>
      <w:pPr>
        <w:spacing w:line="400" w:lineRule="exact"/>
        <w:ind w:firstLine="420" w:firstLineChars="200"/>
        <w:rPr>
          <w:rFonts w:hint="eastAsia"/>
          <w:color w:val="auto"/>
        </w:rPr>
      </w:pPr>
      <w:bookmarkStart w:id="1183" w:name="_Toc221950836"/>
      <w:r>
        <w:rPr>
          <w:rFonts w:hint="eastAsia"/>
          <w:color w:val="auto"/>
        </w:rPr>
        <w:t>9.1.1 发包人应按合同约定履行安全职责，发包人委托监理人根据国家有关安全的法律、法规、强制性标准以及部门规章，对承包人的安全责任改选情况进行监督和检查。监理人的监督检查不减轻承包人应负的安全责任。</w:t>
      </w:r>
    </w:p>
    <w:p>
      <w:pPr>
        <w:spacing w:line="400" w:lineRule="exact"/>
        <w:ind w:firstLine="420" w:firstLineChars="200"/>
        <w:rPr>
          <w:rFonts w:hint="eastAsia"/>
          <w:color w:val="auto"/>
        </w:rPr>
      </w:pPr>
      <w:r>
        <w:rPr>
          <w:rFonts w:hint="eastAsia"/>
          <w:color w:val="auto"/>
        </w:rPr>
        <w:t>9.1.2 发包人应对其现场机构雇佣的全部人员的工伤事故承担责任，但由于承包人原因造成发包人人员工伤的，应由承包人承担责任。</w:t>
      </w:r>
    </w:p>
    <w:p>
      <w:pPr>
        <w:spacing w:line="400" w:lineRule="exact"/>
        <w:ind w:firstLine="420" w:firstLineChars="200"/>
        <w:rPr>
          <w:rFonts w:hint="eastAsia"/>
          <w:color w:val="auto"/>
        </w:rPr>
      </w:pPr>
      <w:r>
        <w:rPr>
          <w:rFonts w:hint="eastAsia"/>
          <w:color w:val="auto"/>
        </w:rPr>
        <w:t>9.1.3 发包人应负责赔偿以下各种情况造成的第三者人身伤亡和财产损失：</w:t>
      </w:r>
    </w:p>
    <w:p>
      <w:pPr>
        <w:spacing w:line="400" w:lineRule="exact"/>
        <w:ind w:firstLine="420" w:firstLineChars="200"/>
        <w:rPr>
          <w:rFonts w:hint="eastAsia"/>
          <w:color w:val="auto"/>
        </w:rPr>
      </w:pPr>
      <w:r>
        <w:rPr>
          <w:rFonts w:hint="eastAsia"/>
          <w:color w:val="auto"/>
        </w:rPr>
        <w:t>（1） 工程或工程的任何部分对土地的占用所造成的第三者财产损失；</w:t>
      </w:r>
    </w:p>
    <w:p>
      <w:pPr>
        <w:spacing w:line="400" w:lineRule="exact"/>
        <w:ind w:firstLine="420" w:firstLineChars="200"/>
        <w:rPr>
          <w:rFonts w:hint="eastAsia"/>
          <w:color w:val="auto"/>
        </w:rPr>
      </w:pPr>
      <w:r>
        <w:rPr>
          <w:rFonts w:hint="eastAsia"/>
          <w:color w:val="auto"/>
        </w:rPr>
        <w:t>（2） 由于发包人原因在施工场地及其毗邻地带造成的第三者人身伤亡和财产损失。</w:t>
      </w:r>
    </w:p>
    <w:p>
      <w:pPr>
        <w:spacing w:line="400" w:lineRule="exact"/>
        <w:ind w:firstLine="420" w:firstLineChars="200"/>
        <w:rPr>
          <w:rFonts w:hint="eastAsia"/>
          <w:color w:val="auto"/>
        </w:rPr>
      </w:pPr>
      <w:r>
        <w:rPr>
          <w:rFonts w:hint="eastAsia"/>
          <w:color w:val="auto"/>
        </w:rPr>
        <w:t>9.1.4除专用合同条款另有约定外，发包人负责向承包人提供施工现场及施工可能影响的毗邻区域内供水、排水、供电、供气、供热、通信、广播电视等地下管线资料，气象和水文观测资料，拟建工程可能影响的相邻建筑物地下工程的有关资料，并保证有关资料的真实、准确、完整，满足有关技术规程的要求。</w:t>
      </w:r>
    </w:p>
    <w:p>
      <w:pPr>
        <w:spacing w:line="400" w:lineRule="exact"/>
        <w:ind w:firstLine="420" w:firstLineChars="200"/>
        <w:rPr>
          <w:rFonts w:hint="eastAsia"/>
          <w:color w:val="auto"/>
        </w:rPr>
      </w:pPr>
      <w:r>
        <w:rPr>
          <w:rFonts w:hint="eastAsia"/>
          <w:color w:val="auto"/>
        </w:rPr>
        <w:t>9.1.5发包人按照已标价工程量清单所列金额和合同约定的计量支付规定，支付安全作业环境及安全施工措施所需费用。</w:t>
      </w:r>
    </w:p>
    <w:p>
      <w:pPr>
        <w:spacing w:line="400" w:lineRule="exact"/>
        <w:ind w:firstLine="420" w:firstLineChars="200"/>
        <w:rPr>
          <w:rFonts w:hint="eastAsia"/>
          <w:color w:val="auto"/>
        </w:rPr>
      </w:pPr>
      <w:r>
        <w:rPr>
          <w:rFonts w:hint="eastAsia"/>
          <w:color w:val="auto"/>
        </w:rPr>
        <w:t>9.1.6发包人负责组织工程参建单位编制保证安全生产的措施方案。工程开工前，就落实安全生产的措施进行全面系统的布置，进一步明确承包人的安全生产责任。</w:t>
      </w:r>
    </w:p>
    <w:p>
      <w:pPr>
        <w:spacing w:line="400" w:lineRule="exact"/>
        <w:ind w:firstLine="420" w:firstLineChars="200"/>
        <w:rPr>
          <w:rFonts w:hint="eastAsia"/>
          <w:color w:val="auto"/>
        </w:rPr>
      </w:pPr>
      <w:r>
        <w:rPr>
          <w:rFonts w:hint="eastAsia"/>
          <w:color w:val="auto"/>
        </w:rPr>
        <w:t>9.1.7发包人负责在拆除工程和爆破工程施工14天前向有关部门或机构报送相关备案资料。</w:t>
      </w:r>
    </w:p>
    <w:p>
      <w:pPr>
        <w:keepNext/>
        <w:keepLines/>
        <w:spacing w:line="400" w:lineRule="exact"/>
        <w:outlineLvl w:val="3"/>
        <w:rPr>
          <w:rFonts w:hint="eastAsia" w:eastAsia="黑体"/>
          <w:color w:val="auto"/>
          <w:sz w:val="24"/>
          <w:szCs w:val="20"/>
        </w:rPr>
      </w:pPr>
      <w:bookmarkStart w:id="1184" w:name="_Toc517172451"/>
      <w:bookmarkStart w:id="1185" w:name="_Toc31014"/>
      <w:r>
        <w:rPr>
          <w:rFonts w:hint="eastAsia" w:eastAsia="黑体"/>
          <w:color w:val="auto"/>
          <w:sz w:val="24"/>
          <w:szCs w:val="20"/>
        </w:rPr>
        <w:t>9.2 承包人的施工安全责任</w:t>
      </w:r>
      <w:bookmarkEnd w:id="1184"/>
      <w:bookmarkEnd w:id="1185"/>
    </w:p>
    <w:p>
      <w:pPr>
        <w:spacing w:line="400" w:lineRule="exact"/>
        <w:ind w:firstLine="420" w:firstLineChars="200"/>
        <w:rPr>
          <w:rFonts w:hint="eastAsia"/>
          <w:color w:val="auto"/>
        </w:rPr>
      </w:pPr>
      <w:r>
        <w:rPr>
          <w:rFonts w:hint="eastAsia"/>
          <w:color w:val="auto"/>
        </w:rPr>
        <w:t>9.2.1 承包人应按合同约定履行安全职责,执行监理人有关安全工作的指示。承包人应按技术标准和要求（合同技术条款）约定的内容和期限，以及监理人的指示，编制施工安全技术措施提交监理人审批。监理人应技术标准和要求（合同技术条款）约定的期限内批复承包人。</w:t>
      </w:r>
    </w:p>
    <w:p>
      <w:pPr>
        <w:spacing w:line="400" w:lineRule="exact"/>
        <w:ind w:firstLine="420" w:firstLineChars="200"/>
        <w:rPr>
          <w:rFonts w:hint="eastAsia"/>
          <w:color w:val="auto"/>
        </w:rPr>
      </w:pPr>
      <w:r>
        <w:rPr>
          <w:rFonts w:hint="eastAsia"/>
          <w:color w:val="auto"/>
        </w:rPr>
        <w:t>9.2.2 承包人应加强施工作业安全管理，特别应加强易燃、易爆材料、火工器材、有毒与腐蚀性材料和其他危险品的管理，以及对爆破作业和地下工程施工等危险作业的管理。</w:t>
      </w:r>
    </w:p>
    <w:p>
      <w:pPr>
        <w:spacing w:line="400" w:lineRule="exact"/>
        <w:ind w:firstLine="420" w:firstLineChars="200"/>
        <w:rPr>
          <w:rFonts w:hint="eastAsia"/>
          <w:color w:val="auto"/>
        </w:rPr>
      </w:pPr>
      <w:r>
        <w:rPr>
          <w:rFonts w:hint="eastAsia"/>
          <w:color w:val="auto"/>
        </w:rPr>
        <w:t>9.2.3 承包人应严格按照国家安全标准制定施工安全操作规程，配备必要的安全生产和劳动保护设施，加强对承包人人员的安全教育，并发放安全工作手册和劳动保护用具。</w:t>
      </w:r>
    </w:p>
    <w:p>
      <w:pPr>
        <w:spacing w:line="400" w:lineRule="exact"/>
        <w:ind w:firstLine="420" w:firstLineChars="200"/>
        <w:rPr>
          <w:rFonts w:hint="eastAsia"/>
          <w:color w:val="auto"/>
        </w:rPr>
      </w:pPr>
      <w:r>
        <w:rPr>
          <w:rFonts w:hint="eastAsia"/>
          <w:color w:val="auto"/>
        </w:rPr>
        <w:t>9.2.4 承包人应按监理人的指示制定应对灾害的紧急预案，报送监理人审批。承包人还应按预案做好安全检查，配置必要的救助物资和器材，切实保护好有关人员的人身和财产安全。</w:t>
      </w:r>
    </w:p>
    <w:p>
      <w:pPr>
        <w:spacing w:line="400" w:lineRule="exact"/>
        <w:ind w:firstLine="420" w:firstLineChars="200"/>
        <w:rPr>
          <w:rFonts w:hint="eastAsia"/>
          <w:color w:val="auto"/>
        </w:rPr>
      </w:pPr>
      <w:r>
        <w:rPr>
          <w:rFonts w:hint="eastAsia"/>
          <w:color w:val="auto"/>
        </w:rPr>
        <w:t>9.2.5 合同约定的安全作业环境及安全施工措施所需费用应遵守有关规定，并包括在相关工作的合同价格中。因采取合同未约定的安全作业环境及安全施工措施增加的费用，由监理人按第3.5款商定或确定。</w:t>
      </w:r>
    </w:p>
    <w:p>
      <w:pPr>
        <w:spacing w:line="400" w:lineRule="exact"/>
        <w:ind w:firstLine="420" w:firstLineChars="200"/>
        <w:rPr>
          <w:rFonts w:hint="eastAsia"/>
          <w:color w:val="auto"/>
        </w:rPr>
      </w:pPr>
      <w:r>
        <w:rPr>
          <w:rFonts w:hint="eastAsia"/>
          <w:color w:val="auto"/>
        </w:rPr>
        <w:t>9.2.6 承包人应对其履行合同所雇佣的全部人员，包括分包人人员的工伤事故承担责任，但由于发包人原因造成承包人人员工伤事故的，应由发包人承担责任。</w:t>
      </w:r>
    </w:p>
    <w:p>
      <w:pPr>
        <w:spacing w:line="400" w:lineRule="exact"/>
        <w:ind w:firstLine="420" w:firstLineChars="200"/>
        <w:rPr>
          <w:rFonts w:hint="eastAsia"/>
          <w:color w:val="auto"/>
        </w:rPr>
      </w:pPr>
      <w:r>
        <w:rPr>
          <w:rFonts w:hint="eastAsia"/>
          <w:color w:val="auto"/>
        </w:rPr>
        <w:t>9.2.7 由于承包人原因在施工场地内及其毗邻地带造成的第三者人员伤亡和财产损失，由承包人负责赔偿。</w:t>
      </w:r>
    </w:p>
    <w:p>
      <w:pPr>
        <w:spacing w:line="400" w:lineRule="exact"/>
        <w:ind w:firstLine="420" w:firstLineChars="200"/>
        <w:rPr>
          <w:rFonts w:hint="eastAsia"/>
          <w:color w:val="auto"/>
        </w:rPr>
      </w:pPr>
      <w:r>
        <w:rPr>
          <w:rFonts w:hint="eastAsia"/>
          <w:color w:val="auto"/>
        </w:rPr>
        <w:t>9.2.8承包人已标价工程量清单应包含工程安全作业环境及安全施工措施所需费用。</w:t>
      </w:r>
    </w:p>
    <w:p>
      <w:pPr>
        <w:spacing w:line="400" w:lineRule="exact"/>
        <w:ind w:firstLine="420" w:firstLineChars="200"/>
        <w:rPr>
          <w:rFonts w:hint="eastAsia"/>
          <w:color w:val="auto"/>
        </w:rPr>
      </w:pPr>
      <w:r>
        <w:rPr>
          <w:rFonts w:hint="eastAsia"/>
          <w:color w:val="auto"/>
        </w:rPr>
        <w:t>9.2.9承包人应建立健全安全生产责任制度和安全生产教育培训制度，制定安全生产规章制度和操作规程，保证本单位建立和完善安全生产条件所需资金的投入，对本工程进行定期和专项安全检查，并做好安全检查记录。</w:t>
      </w:r>
    </w:p>
    <w:p>
      <w:pPr>
        <w:spacing w:line="400" w:lineRule="exact"/>
        <w:ind w:firstLine="420" w:firstLineChars="200"/>
        <w:rPr>
          <w:rFonts w:hint="eastAsia"/>
          <w:color w:val="auto"/>
        </w:rPr>
      </w:pPr>
      <w:r>
        <w:rPr>
          <w:rFonts w:hint="eastAsia"/>
          <w:color w:val="auto"/>
        </w:rPr>
        <w:t>9.2.10承包人应设立安全生产管理机构，施工现场应有专职安全生产管理人员。</w:t>
      </w:r>
    </w:p>
    <w:p>
      <w:pPr>
        <w:spacing w:line="400" w:lineRule="exact"/>
        <w:ind w:firstLine="420" w:firstLineChars="200"/>
        <w:rPr>
          <w:rFonts w:hint="eastAsia"/>
          <w:color w:val="auto"/>
        </w:rPr>
      </w:pPr>
      <w:r>
        <w:rPr>
          <w:rFonts w:hint="eastAsia"/>
          <w:color w:val="auto"/>
        </w:rPr>
        <w:t>9.2.11承包人应负责对特种作业人员进行专门的安全作业培训，并保证特种作业人员持证上岗。</w:t>
      </w:r>
    </w:p>
    <w:p>
      <w:pPr>
        <w:spacing w:line="400" w:lineRule="exact"/>
        <w:ind w:firstLine="420" w:firstLineChars="200"/>
        <w:rPr>
          <w:rFonts w:hint="eastAsia"/>
          <w:color w:val="auto"/>
        </w:rPr>
      </w:pPr>
      <w:r>
        <w:rPr>
          <w:rFonts w:hint="eastAsia"/>
          <w:color w:val="auto"/>
        </w:rPr>
        <w:t>9.2.12承包人应施工组织设计中编制安全技术措施和施工现场临时用电方案。对专用合同条款约定的工程，应编制专项施工方案报监理人批准。对专用合同条款约定的专项施工方案，还应组织专家进行论证、审查，其中专家1/2人员应经发包人同意。</w:t>
      </w:r>
    </w:p>
    <w:p>
      <w:pPr>
        <w:spacing w:line="400" w:lineRule="exact"/>
        <w:ind w:firstLine="420" w:firstLineChars="200"/>
        <w:rPr>
          <w:rFonts w:hint="eastAsia"/>
          <w:color w:val="auto"/>
        </w:rPr>
      </w:pPr>
      <w:r>
        <w:rPr>
          <w:rFonts w:hint="eastAsia"/>
          <w:color w:val="auto"/>
        </w:rPr>
        <w:t>9.2.13承包人在使用施工起重机构和整体提升脚手架、模板等自升式架设设施前，应组织有关单位进行验收。</w:t>
      </w:r>
    </w:p>
    <w:p>
      <w:pPr>
        <w:keepNext/>
        <w:keepLines/>
        <w:spacing w:line="400" w:lineRule="exact"/>
        <w:outlineLvl w:val="3"/>
        <w:rPr>
          <w:rFonts w:hint="eastAsia" w:eastAsia="黑体"/>
          <w:color w:val="auto"/>
          <w:sz w:val="24"/>
          <w:szCs w:val="20"/>
        </w:rPr>
      </w:pPr>
      <w:bookmarkStart w:id="1186" w:name="_Toc152045676"/>
      <w:bookmarkStart w:id="1187" w:name="_Toc517172452"/>
      <w:bookmarkStart w:id="1188" w:name="_Toc144974644"/>
      <w:bookmarkStart w:id="1189" w:name="_Toc1278"/>
      <w:bookmarkStart w:id="1190" w:name="_Toc179632694"/>
      <w:bookmarkStart w:id="1191" w:name="_Toc152042454"/>
      <w:bookmarkStart w:id="1192" w:name="_Toc144974646"/>
      <w:bookmarkStart w:id="1193" w:name="_Toc152042456"/>
      <w:bookmarkStart w:id="1194" w:name="_Toc152045678"/>
      <w:bookmarkStart w:id="1195" w:name="_Toc179632696"/>
      <w:r>
        <w:rPr>
          <w:rFonts w:hint="eastAsia" w:eastAsia="黑体"/>
          <w:color w:val="auto"/>
          <w:sz w:val="24"/>
          <w:szCs w:val="20"/>
        </w:rPr>
        <w:t>9.3 治安保卫</w:t>
      </w:r>
      <w:bookmarkEnd w:id="1186"/>
      <w:bookmarkEnd w:id="1187"/>
      <w:bookmarkEnd w:id="1188"/>
      <w:bookmarkEnd w:id="1189"/>
      <w:bookmarkEnd w:id="1190"/>
      <w:bookmarkEnd w:id="1191"/>
    </w:p>
    <w:p>
      <w:pPr>
        <w:spacing w:line="400" w:lineRule="exact"/>
        <w:ind w:firstLine="420" w:firstLineChars="200"/>
        <w:rPr>
          <w:rFonts w:hint="eastAsia"/>
          <w:color w:val="auto"/>
        </w:rPr>
      </w:pPr>
      <w:r>
        <w:rPr>
          <w:rFonts w:hint="eastAsia"/>
          <w:color w:val="auto"/>
        </w:rPr>
        <w:t>9.3.1 除合同另有约定外，发包人应与当地公安部门协商，在现场建立治安管理机构或联防组织，统一管理施工场地的治安保卫事项，履行合同工程的治安保卫职责。</w:t>
      </w:r>
    </w:p>
    <w:p>
      <w:pPr>
        <w:spacing w:line="400" w:lineRule="exact"/>
        <w:ind w:firstLine="420" w:firstLineChars="200"/>
        <w:rPr>
          <w:rFonts w:hint="eastAsia"/>
          <w:color w:val="auto"/>
        </w:rPr>
      </w:pPr>
      <w:r>
        <w:rPr>
          <w:rFonts w:hint="eastAsia"/>
          <w:color w:val="auto"/>
        </w:rPr>
        <w:t>9.3.2 发包人和承包人除应协助现场治安管理机构或联防组织维护施工场地的社会治安外，还应做好包括生活区在内的各自管辖区的治安保卫工作。</w:t>
      </w:r>
    </w:p>
    <w:p>
      <w:pPr>
        <w:spacing w:line="400" w:lineRule="exact"/>
        <w:ind w:firstLine="420" w:firstLineChars="200"/>
        <w:rPr>
          <w:rFonts w:hint="eastAsia"/>
          <w:color w:val="auto"/>
        </w:rPr>
      </w:pPr>
      <w:r>
        <w:rPr>
          <w:rFonts w:hint="eastAsia"/>
          <w:color w:val="auto"/>
        </w:rPr>
        <w:t>9.3.3 除合同另有约定外，发包人和承包人应在工程开工后，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pPr>
        <w:keepNext/>
        <w:keepLines/>
        <w:spacing w:line="400" w:lineRule="exact"/>
        <w:outlineLvl w:val="3"/>
        <w:rPr>
          <w:rFonts w:hint="eastAsia" w:eastAsia="黑体"/>
          <w:color w:val="auto"/>
          <w:sz w:val="24"/>
          <w:szCs w:val="20"/>
        </w:rPr>
      </w:pPr>
      <w:bookmarkStart w:id="1196" w:name="_Toc144974645"/>
      <w:bookmarkStart w:id="1197" w:name="_Toc152042455"/>
      <w:bookmarkStart w:id="1198" w:name="_Toc152045677"/>
      <w:bookmarkStart w:id="1199" w:name="_Toc179632695"/>
      <w:bookmarkStart w:id="1200" w:name="_Toc517172453"/>
      <w:bookmarkStart w:id="1201" w:name="_Toc267"/>
      <w:r>
        <w:rPr>
          <w:rFonts w:hint="eastAsia" w:eastAsia="黑体"/>
          <w:color w:val="auto"/>
          <w:sz w:val="24"/>
          <w:szCs w:val="20"/>
        </w:rPr>
        <w:t>9.4 环境保护</w:t>
      </w:r>
      <w:bookmarkEnd w:id="1196"/>
      <w:bookmarkEnd w:id="1197"/>
      <w:bookmarkEnd w:id="1198"/>
      <w:bookmarkEnd w:id="1199"/>
      <w:bookmarkEnd w:id="1200"/>
      <w:bookmarkEnd w:id="1201"/>
    </w:p>
    <w:p>
      <w:pPr>
        <w:spacing w:line="400" w:lineRule="exact"/>
        <w:ind w:firstLine="420" w:firstLineChars="200"/>
        <w:rPr>
          <w:rFonts w:hint="eastAsia"/>
          <w:color w:val="auto"/>
        </w:rPr>
      </w:pPr>
      <w:r>
        <w:rPr>
          <w:rFonts w:hint="eastAsia"/>
          <w:color w:val="auto"/>
        </w:rPr>
        <w:t>9.4.1 承包人在施工过程中，应遵守有关环境保护的法律，履行合同约定的环境保护义务，并对违反法律和合同约定义务所造成的环境破坏、人身伤害和财产损失负责。</w:t>
      </w:r>
    </w:p>
    <w:p>
      <w:pPr>
        <w:spacing w:line="400" w:lineRule="exact"/>
        <w:ind w:firstLine="420" w:firstLineChars="200"/>
        <w:rPr>
          <w:rFonts w:hint="eastAsia"/>
          <w:color w:val="auto"/>
        </w:rPr>
      </w:pPr>
      <w:r>
        <w:rPr>
          <w:rFonts w:hint="eastAsia"/>
          <w:color w:val="auto"/>
        </w:rPr>
        <w:t>9.4.2 承包人应按合同约定的环保工作内容，编制施工环保措施计划，报送监理人审批。</w:t>
      </w:r>
    </w:p>
    <w:p>
      <w:pPr>
        <w:spacing w:line="400" w:lineRule="exact"/>
        <w:ind w:firstLine="420" w:firstLineChars="200"/>
        <w:rPr>
          <w:rFonts w:hint="eastAsia"/>
          <w:color w:val="auto"/>
        </w:rPr>
      </w:pPr>
      <w:r>
        <w:rPr>
          <w:rFonts w:hint="eastAsia"/>
          <w:color w:val="auto"/>
        </w:rPr>
        <w:t>9.4.3 承包人应按照批准的施工环保措施计划有序地堆放和处理施工废弃物，避免对环境造成破坏。因承包人任意堆放或弃置施工废弃物造成妨碍公共交通、影响城镇居民生活、降低河流行洪能力、危及居民安全、破坏周边环境，或者影响其他承包人施工等后果的，承包人应承担责任。</w:t>
      </w:r>
    </w:p>
    <w:p>
      <w:pPr>
        <w:spacing w:line="400" w:lineRule="exact"/>
        <w:ind w:firstLine="420" w:firstLineChars="200"/>
        <w:rPr>
          <w:rFonts w:hint="eastAsia"/>
          <w:color w:val="auto"/>
        </w:rPr>
      </w:pPr>
      <w:r>
        <w:rPr>
          <w:rFonts w:hint="eastAsia"/>
          <w:color w:val="auto"/>
        </w:rPr>
        <w:t>9.4.4 承包人应按合同约定采取有效措施，对施工开挖的边坡及时进行支护,维护排水设施，并进行水土保护，避免因施工造成的地质灾害。</w:t>
      </w:r>
    </w:p>
    <w:p>
      <w:pPr>
        <w:spacing w:line="400" w:lineRule="exact"/>
        <w:ind w:firstLine="420" w:firstLineChars="200"/>
        <w:rPr>
          <w:rFonts w:hint="eastAsia"/>
          <w:color w:val="auto"/>
        </w:rPr>
      </w:pPr>
      <w:r>
        <w:rPr>
          <w:rFonts w:hint="eastAsia"/>
          <w:color w:val="auto"/>
        </w:rPr>
        <w:t>9.4.5 承包人应按国家饮用水管理标准定期对饮用水源进行监测，防止施工活动污染饮用水源。</w:t>
      </w:r>
    </w:p>
    <w:p>
      <w:pPr>
        <w:spacing w:line="400" w:lineRule="exact"/>
        <w:ind w:firstLine="420" w:firstLineChars="200"/>
        <w:rPr>
          <w:rFonts w:hint="eastAsia"/>
          <w:color w:val="auto"/>
        </w:rPr>
      </w:pPr>
      <w:r>
        <w:rPr>
          <w:rFonts w:hint="eastAsia"/>
          <w:color w:val="auto"/>
        </w:rPr>
        <w:t>9.4.6 承包人应按合同约定，加强对噪声、粉尘、废气、废水和废油的控制，努力降低噪声，控制粉尘和废气浓度，做好废水和废油的治理和排放。</w:t>
      </w:r>
    </w:p>
    <w:bookmarkEnd w:id="1192"/>
    <w:bookmarkEnd w:id="1193"/>
    <w:bookmarkEnd w:id="1194"/>
    <w:bookmarkEnd w:id="1195"/>
    <w:p>
      <w:pPr>
        <w:keepNext/>
        <w:keepLines/>
        <w:spacing w:line="400" w:lineRule="exact"/>
        <w:outlineLvl w:val="3"/>
        <w:rPr>
          <w:rFonts w:hint="eastAsia" w:eastAsia="黑体"/>
          <w:color w:val="auto"/>
          <w:sz w:val="24"/>
          <w:szCs w:val="20"/>
        </w:rPr>
      </w:pPr>
      <w:bookmarkStart w:id="1202" w:name="_Toc517172454"/>
      <w:bookmarkStart w:id="1203" w:name="_Toc20249"/>
      <w:r>
        <w:rPr>
          <w:rFonts w:hint="eastAsia" w:eastAsia="黑体"/>
          <w:color w:val="auto"/>
          <w:sz w:val="24"/>
          <w:szCs w:val="20"/>
        </w:rPr>
        <w:t>9.5 事故处理</w:t>
      </w:r>
      <w:bookmarkEnd w:id="1202"/>
      <w:bookmarkEnd w:id="1203"/>
    </w:p>
    <w:p>
      <w:pPr>
        <w:spacing w:line="400" w:lineRule="exact"/>
        <w:ind w:firstLine="420" w:firstLineChars="200"/>
        <w:rPr>
          <w:color w:val="auto"/>
        </w:rPr>
      </w:pPr>
      <w:r>
        <w:rPr>
          <w:color w:val="auto"/>
        </w:rPr>
        <w:t>9.5.1发包人</w:t>
      </w:r>
      <w:r>
        <w:rPr>
          <w:rFonts w:hint="eastAsia"/>
          <w:color w:val="auto"/>
        </w:rPr>
        <w:t>负责</w:t>
      </w:r>
      <w:r>
        <w:rPr>
          <w:color w:val="auto"/>
        </w:rPr>
        <w:t>组织制定本建设项目的质量与安全事故应急预案，建</w:t>
      </w:r>
      <w:r>
        <w:rPr>
          <w:rFonts w:hint="eastAsia"/>
          <w:color w:val="auto"/>
        </w:rPr>
        <w:t>立</w:t>
      </w:r>
      <w:r>
        <w:rPr>
          <w:color w:val="auto"/>
        </w:rPr>
        <w:t>质量与安全事故应急处置指挥部。</w:t>
      </w:r>
    </w:p>
    <w:p>
      <w:pPr>
        <w:spacing w:line="400" w:lineRule="exact"/>
        <w:ind w:firstLine="420" w:firstLineChars="200"/>
        <w:rPr>
          <w:color w:val="auto"/>
        </w:rPr>
      </w:pPr>
      <w:r>
        <w:rPr>
          <w:color w:val="auto"/>
        </w:rPr>
        <w:t>9.5.2承包人</w:t>
      </w:r>
      <w:r>
        <w:rPr>
          <w:rFonts w:hint="eastAsia"/>
          <w:color w:val="auto"/>
        </w:rPr>
        <w:t>应</w:t>
      </w:r>
      <w:r>
        <w:rPr>
          <w:color w:val="auto"/>
        </w:rPr>
        <w:t>对易发生质量和安全事故的部位、环节的</w:t>
      </w:r>
      <w:r>
        <w:rPr>
          <w:rFonts w:hint="eastAsia"/>
          <w:color w:val="auto"/>
        </w:rPr>
        <w:t>进行</w:t>
      </w:r>
      <w:r>
        <w:rPr>
          <w:color w:val="auto"/>
        </w:rPr>
        <w:t>监控，</w:t>
      </w:r>
      <w:r>
        <w:rPr>
          <w:rFonts w:hint="eastAsia"/>
          <w:color w:val="auto"/>
        </w:rPr>
        <w:t>配备</w:t>
      </w:r>
      <w:r>
        <w:rPr>
          <w:color w:val="auto"/>
        </w:rPr>
        <w:t xml:space="preserve">救援器材、设备并定期组织演练。 </w:t>
      </w:r>
    </w:p>
    <w:p>
      <w:pPr>
        <w:spacing w:line="400" w:lineRule="exact"/>
        <w:ind w:firstLine="420" w:firstLineChars="200"/>
        <w:rPr>
          <w:color w:val="auto"/>
        </w:rPr>
      </w:pPr>
      <w:r>
        <w:rPr>
          <w:color w:val="auto"/>
        </w:rPr>
        <w:t>9.5.3</w:t>
      </w:r>
      <w:r>
        <w:rPr>
          <w:rFonts w:hint="eastAsia"/>
          <w:color w:val="auto"/>
        </w:rPr>
        <w:t>工程开工前，承包人应根据本工程特点制定施工现场施工质量与安全事故应急预案，并报发包人备案。</w:t>
      </w:r>
    </w:p>
    <w:p>
      <w:pPr>
        <w:spacing w:line="400" w:lineRule="exact"/>
        <w:ind w:firstLine="420" w:firstLineChars="200"/>
        <w:rPr>
          <w:color w:val="auto"/>
        </w:rPr>
      </w:pPr>
      <w:r>
        <w:rPr>
          <w:color w:val="auto"/>
        </w:rPr>
        <w:t>9.5.4施工</w:t>
      </w:r>
      <w:r>
        <w:rPr>
          <w:rFonts w:hint="eastAsia"/>
          <w:color w:val="auto"/>
        </w:rPr>
        <w:t>过</w:t>
      </w:r>
      <w:r>
        <w:rPr>
          <w:color w:val="auto"/>
        </w:rPr>
        <w:t>程中发生事故时，发包人</w:t>
      </w:r>
      <w:r>
        <w:rPr>
          <w:rFonts w:hint="eastAsia"/>
          <w:color w:val="auto"/>
        </w:rPr>
        <w:t>、</w:t>
      </w:r>
      <w:r>
        <w:rPr>
          <w:color w:val="auto"/>
        </w:rPr>
        <w:t>承包人应立即启动应急预案。</w:t>
      </w:r>
    </w:p>
    <w:p>
      <w:pPr>
        <w:spacing w:line="400" w:lineRule="exact"/>
        <w:ind w:firstLine="420" w:firstLineChars="200"/>
        <w:rPr>
          <w:color w:val="auto"/>
        </w:rPr>
      </w:pPr>
      <w:r>
        <w:rPr>
          <w:color w:val="auto"/>
        </w:rPr>
        <w:t>9.5.5</w:t>
      </w:r>
      <w:r>
        <w:rPr>
          <w:rFonts w:hint="eastAsia"/>
          <w:color w:val="auto"/>
        </w:rPr>
        <w:t>事故调查处理由发包人按相关规定履行手续，承包人应配合</w:t>
      </w:r>
      <w:r>
        <w:rPr>
          <w:color w:val="auto"/>
        </w:rPr>
        <w:t>。</w:t>
      </w:r>
    </w:p>
    <w:p>
      <w:pPr>
        <w:keepNext/>
        <w:keepLines/>
        <w:spacing w:line="400" w:lineRule="exact"/>
        <w:outlineLvl w:val="3"/>
        <w:rPr>
          <w:rFonts w:hint="eastAsia" w:eastAsia="黑体"/>
          <w:color w:val="auto"/>
          <w:sz w:val="24"/>
          <w:szCs w:val="20"/>
        </w:rPr>
      </w:pPr>
      <w:bookmarkStart w:id="1204" w:name="_Toc517172455"/>
      <w:bookmarkStart w:id="1205" w:name="_Toc31614"/>
      <w:r>
        <w:rPr>
          <w:rFonts w:hint="eastAsia" w:eastAsia="黑体"/>
          <w:color w:val="auto"/>
          <w:sz w:val="24"/>
          <w:szCs w:val="20"/>
        </w:rPr>
        <w:t>9.6 水土保持</w:t>
      </w:r>
      <w:bookmarkEnd w:id="1183"/>
      <w:bookmarkEnd w:id="1204"/>
      <w:bookmarkEnd w:id="1205"/>
    </w:p>
    <w:p>
      <w:pPr>
        <w:spacing w:line="400" w:lineRule="exact"/>
        <w:ind w:firstLine="420" w:firstLineChars="200"/>
        <w:rPr>
          <w:rFonts w:hint="eastAsia"/>
          <w:color w:val="auto"/>
        </w:rPr>
      </w:pPr>
      <w:bookmarkStart w:id="1206" w:name="_Toc221950837"/>
      <w:r>
        <w:rPr>
          <w:rFonts w:hint="eastAsia"/>
          <w:color w:val="auto"/>
        </w:rPr>
        <w:t>9.6.1 发包人应及时向承包人提供水土保持方案。</w:t>
      </w:r>
    </w:p>
    <w:p>
      <w:pPr>
        <w:spacing w:line="400" w:lineRule="exact"/>
        <w:ind w:firstLine="420" w:firstLineChars="200"/>
        <w:rPr>
          <w:rFonts w:hint="eastAsia"/>
          <w:color w:val="auto"/>
        </w:rPr>
      </w:pPr>
      <w:r>
        <w:rPr>
          <w:rFonts w:hint="eastAsia"/>
          <w:color w:val="auto"/>
        </w:rPr>
        <w:t>9.6.2承包人在施工过程中，应遵守有关水土保持的法律，履行合同约定的水土保持义务，并对其违反法律和合同约定义务所造成的水土流失灾害、人身伤害和财产损失负责。</w:t>
      </w:r>
      <w:bookmarkEnd w:id="1206"/>
    </w:p>
    <w:p>
      <w:pPr>
        <w:spacing w:line="400" w:lineRule="exact"/>
        <w:ind w:firstLine="420" w:firstLineChars="200"/>
        <w:rPr>
          <w:rFonts w:hint="eastAsia"/>
          <w:color w:val="auto"/>
        </w:rPr>
      </w:pPr>
      <w:bookmarkStart w:id="1207" w:name="_Toc221950839"/>
      <w:r>
        <w:rPr>
          <w:rFonts w:hint="eastAsia"/>
          <w:color w:val="auto"/>
        </w:rPr>
        <w:t>9.6.3 承包人的水土保持措施计划，应满足技术标准和要求（合同技术条款）约定的要求</w:t>
      </w:r>
      <w:bookmarkEnd w:id="1207"/>
      <w:r>
        <w:rPr>
          <w:rFonts w:hint="eastAsia"/>
          <w:color w:val="auto"/>
        </w:rPr>
        <w:t>。</w:t>
      </w:r>
    </w:p>
    <w:p>
      <w:pPr>
        <w:keepNext/>
        <w:keepLines/>
        <w:spacing w:line="400" w:lineRule="exact"/>
        <w:outlineLvl w:val="3"/>
        <w:rPr>
          <w:rFonts w:hint="eastAsia" w:eastAsia="黑体"/>
          <w:color w:val="auto"/>
          <w:sz w:val="24"/>
          <w:szCs w:val="20"/>
        </w:rPr>
      </w:pPr>
      <w:bookmarkStart w:id="1208" w:name="_Toc517172456"/>
      <w:bookmarkStart w:id="1209" w:name="_Toc23314"/>
      <w:r>
        <w:rPr>
          <w:rFonts w:hint="eastAsia" w:eastAsia="黑体"/>
          <w:color w:val="auto"/>
          <w:sz w:val="24"/>
          <w:szCs w:val="20"/>
        </w:rPr>
        <w:t>9.7 文明工地</w:t>
      </w:r>
      <w:bookmarkEnd w:id="1208"/>
      <w:bookmarkEnd w:id="1209"/>
    </w:p>
    <w:p>
      <w:pPr>
        <w:spacing w:line="400" w:lineRule="exact"/>
        <w:ind w:firstLine="420" w:firstLineChars="200"/>
        <w:rPr>
          <w:color w:val="auto"/>
        </w:rPr>
      </w:pPr>
      <w:r>
        <w:rPr>
          <w:color w:val="auto"/>
        </w:rPr>
        <w:t>9.7.1发包人</w:t>
      </w:r>
      <w:r>
        <w:rPr>
          <w:rFonts w:hint="eastAsia"/>
          <w:color w:val="auto"/>
        </w:rPr>
        <w:t>应按</w:t>
      </w:r>
      <w:r>
        <w:rPr>
          <w:color w:val="auto"/>
        </w:rPr>
        <w:t>专用合同条款</w:t>
      </w:r>
      <w:r>
        <w:rPr>
          <w:rFonts w:hint="eastAsia"/>
          <w:color w:val="auto"/>
        </w:rPr>
        <w:t>的约定，负责建</w:t>
      </w:r>
      <w:r>
        <w:rPr>
          <w:color w:val="auto"/>
        </w:rPr>
        <w:t>立创建文明建设工地的组织机构</w:t>
      </w:r>
      <w:r>
        <w:rPr>
          <w:rFonts w:hint="eastAsia"/>
          <w:color w:val="auto"/>
        </w:rPr>
        <w:t>，</w:t>
      </w:r>
      <w:r>
        <w:rPr>
          <w:color w:val="auto"/>
        </w:rPr>
        <w:t>制定创建文明建设工地的规划和办法</w:t>
      </w:r>
      <w:r>
        <w:rPr>
          <w:rFonts w:hint="eastAsia"/>
          <w:color w:val="auto"/>
        </w:rPr>
        <w:t>。</w:t>
      </w:r>
      <w:r>
        <w:rPr>
          <w:color w:val="auto"/>
        </w:rPr>
        <w:t xml:space="preserve"> </w:t>
      </w:r>
    </w:p>
    <w:p>
      <w:pPr>
        <w:spacing w:line="400" w:lineRule="exact"/>
        <w:ind w:firstLine="420" w:firstLineChars="200"/>
        <w:rPr>
          <w:color w:val="auto"/>
        </w:rPr>
      </w:pPr>
      <w:r>
        <w:rPr>
          <w:color w:val="auto"/>
        </w:rPr>
        <w:t>9.7.</w:t>
      </w:r>
      <w:r>
        <w:rPr>
          <w:rFonts w:hint="eastAsia"/>
          <w:color w:val="auto"/>
        </w:rPr>
        <w:t>2承包人应按创建文明建设工地的规划和办法，履行职责，承担相应责任</w:t>
      </w:r>
      <w:r>
        <w:rPr>
          <w:color w:val="auto"/>
        </w:rPr>
        <w:t>。</w:t>
      </w:r>
      <w:r>
        <w:rPr>
          <w:rFonts w:hint="eastAsia"/>
          <w:color w:val="auto"/>
        </w:rPr>
        <w:t>所需费用应含在已标价工程量清单中。</w:t>
      </w:r>
    </w:p>
    <w:p>
      <w:pPr>
        <w:keepNext/>
        <w:keepLines/>
        <w:spacing w:line="400" w:lineRule="exact"/>
        <w:outlineLvl w:val="3"/>
        <w:rPr>
          <w:rFonts w:hint="eastAsia" w:eastAsia="黑体"/>
          <w:color w:val="auto"/>
          <w:sz w:val="24"/>
          <w:szCs w:val="20"/>
        </w:rPr>
      </w:pPr>
      <w:bookmarkStart w:id="1210" w:name="_Toc387753592"/>
      <w:bookmarkStart w:id="1211" w:name="_Toc517172457"/>
      <w:bookmarkStart w:id="1212" w:name="_Toc21696"/>
      <w:r>
        <w:rPr>
          <w:rFonts w:hint="eastAsia" w:eastAsia="黑体"/>
          <w:color w:val="auto"/>
          <w:sz w:val="24"/>
          <w:szCs w:val="20"/>
        </w:rPr>
        <w:t>9.8 防汛度汛</w:t>
      </w:r>
      <w:bookmarkEnd w:id="1210"/>
      <w:bookmarkEnd w:id="1211"/>
      <w:bookmarkEnd w:id="1212"/>
    </w:p>
    <w:p>
      <w:pPr>
        <w:spacing w:line="400" w:lineRule="exact"/>
        <w:ind w:firstLine="420" w:firstLineChars="200"/>
        <w:rPr>
          <w:rFonts w:hint="eastAsia"/>
          <w:color w:val="auto"/>
        </w:rPr>
      </w:pPr>
      <w:r>
        <w:rPr>
          <w:color w:val="auto"/>
        </w:rPr>
        <w:t>9.8.</w:t>
      </w:r>
      <w:r>
        <w:rPr>
          <w:rFonts w:hint="eastAsia"/>
          <w:color w:val="auto"/>
        </w:rPr>
        <w:t>1</w:t>
      </w:r>
      <w:r>
        <w:rPr>
          <w:color w:val="auto"/>
        </w:rPr>
        <w:t>发包人</w:t>
      </w:r>
      <w:r>
        <w:rPr>
          <w:rFonts w:hint="eastAsia"/>
          <w:color w:val="auto"/>
        </w:rPr>
        <w:t>负责</w:t>
      </w:r>
      <w:r>
        <w:rPr>
          <w:color w:val="auto"/>
        </w:rPr>
        <w:t>组织</w:t>
      </w:r>
      <w:r>
        <w:rPr>
          <w:rFonts w:hint="eastAsia"/>
          <w:color w:val="auto"/>
        </w:rPr>
        <w:t>工程参建单位</w:t>
      </w:r>
      <w:r>
        <w:rPr>
          <w:color w:val="auto"/>
        </w:rPr>
        <w:t>编制本</w:t>
      </w:r>
      <w:r>
        <w:rPr>
          <w:rFonts w:hint="eastAsia"/>
          <w:color w:val="auto"/>
        </w:rPr>
        <w:t>工程</w:t>
      </w:r>
      <w:r>
        <w:rPr>
          <w:color w:val="auto"/>
        </w:rPr>
        <w:t>的度汛</w:t>
      </w:r>
      <w:r>
        <w:rPr>
          <w:rFonts w:hint="eastAsia"/>
          <w:color w:val="auto"/>
        </w:rPr>
        <w:t>方案和措施。</w:t>
      </w:r>
    </w:p>
    <w:p>
      <w:pPr>
        <w:spacing w:line="400" w:lineRule="exact"/>
        <w:ind w:firstLine="420" w:firstLineChars="200"/>
        <w:rPr>
          <w:rFonts w:hint="eastAsia"/>
          <w:color w:val="auto"/>
        </w:rPr>
      </w:pPr>
      <w:r>
        <w:rPr>
          <w:color w:val="auto"/>
        </w:rPr>
        <w:t>9.8.</w:t>
      </w:r>
      <w:r>
        <w:rPr>
          <w:rFonts w:hint="eastAsia"/>
          <w:color w:val="auto"/>
        </w:rPr>
        <w:t>2承包人应</w:t>
      </w:r>
      <w:r>
        <w:rPr>
          <w:color w:val="auto"/>
        </w:rPr>
        <w:t>根据发包人</w:t>
      </w:r>
      <w:r>
        <w:rPr>
          <w:rFonts w:hint="eastAsia"/>
          <w:color w:val="auto"/>
        </w:rPr>
        <w:t>编制的本工程度汛方案和措施，</w:t>
      </w:r>
      <w:r>
        <w:rPr>
          <w:color w:val="auto"/>
        </w:rPr>
        <w:t>制定相应的度汛方案</w:t>
      </w:r>
      <w:r>
        <w:rPr>
          <w:rFonts w:hint="eastAsia"/>
          <w:color w:val="auto"/>
        </w:rPr>
        <w:t>，</w:t>
      </w:r>
      <w:r>
        <w:rPr>
          <w:color w:val="auto"/>
        </w:rPr>
        <w:t>报发包人批准</w:t>
      </w:r>
      <w:r>
        <w:rPr>
          <w:rFonts w:hint="eastAsia"/>
          <w:color w:val="auto"/>
        </w:rPr>
        <w:t>后实施</w:t>
      </w:r>
      <w:r>
        <w:rPr>
          <w:color w:val="auto"/>
        </w:rPr>
        <w:t>。</w:t>
      </w:r>
    </w:p>
    <w:p>
      <w:pPr>
        <w:pStyle w:val="80"/>
        <w:spacing w:before="120" w:after="120" w:afterLines="50"/>
        <w:outlineLvl w:val="2"/>
        <w:rPr>
          <w:color w:val="auto"/>
        </w:rPr>
      </w:pPr>
      <w:bookmarkStart w:id="1213" w:name="_Toc222033862"/>
      <w:bookmarkStart w:id="1214" w:name="_Toc221950840"/>
      <w:bookmarkStart w:id="1215" w:name="_Toc222029511"/>
      <w:bookmarkStart w:id="1216" w:name="_Toc387753593"/>
      <w:bookmarkStart w:id="1217" w:name="_Toc222031013"/>
      <w:bookmarkStart w:id="1218" w:name="_Toc229305371"/>
      <w:bookmarkStart w:id="1219" w:name="_Toc491089738"/>
      <w:bookmarkStart w:id="1220" w:name="_Toc517172458"/>
      <w:bookmarkStart w:id="1221" w:name="_Toc2664"/>
      <w:bookmarkStart w:id="1222" w:name="_Toc222032680"/>
      <w:r>
        <w:rPr>
          <w:color w:val="auto"/>
        </w:rPr>
        <w:t>10</w:t>
      </w:r>
      <w:r>
        <w:rPr>
          <w:rFonts w:hint="eastAsia"/>
          <w:color w:val="auto"/>
        </w:rPr>
        <w:t>. 进度计划</w:t>
      </w:r>
      <w:bookmarkEnd w:id="1213"/>
      <w:bookmarkEnd w:id="1214"/>
      <w:bookmarkEnd w:id="1215"/>
      <w:bookmarkEnd w:id="1216"/>
      <w:bookmarkEnd w:id="1217"/>
      <w:bookmarkEnd w:id="1218"/>
      <w:bookmarkEnd w:id="1219"/>
      <w:bookmarkEnd w:id="1220"/>
      <w:bookmarkEnd w:id="1221"/>
      <w:bookmarkEnd w:id="1222"/>
    </w:p>
    <w:p>
      <w:pPr>
        <w:keepNext/>
        <w:keepLines/>
        <w:spacing w:line="400" w:lineRule="exact"/>
        <w:outlineLvl w:val="3"/>
        <w:rPr>
          <w:rFonts w:hint="eastAsia" w:eastAsia="黑体"/>
          <w:color w:val="auto"/>
          <w:sz w:val="24"/>
          <w:szCs w:val="20"/>
        </w:rPr>
      </w:pPr>
      <w:bookmarkStart w:id="1223" w:name="_Toc517172459"/>
      <w:bookmarkStart w:id="1224" w:name="_Toc32138"/>
      <w:bookmarkStart w:id="1225" w:name="_Toc221950843"/>
      <w:r>
        <w:rPr>
          <w:rFonts w:hint="eastAsia" w:eastAsia="黑体"/>
          <w:color w:val="auto"/>
          <w:sz w:val="24"/>
          <w:szCs w:val="20"/>
        </w:rPr>
        <w:t>10.1 合同进度计划</w:t>
      </w:r>
      <w:bookmarkEnd w:id="1223"/>
      <w:bookmarkEnd w:id="1224"/>
    </w:p>
    <w:bookmarkEnd w:id="1225"/>
    <w:p>
      <w:pPr>
        <w:spacing w:line="400" w:lineRule="exact"/>
        <w:ind w:firstLine="420" w:firstLineChars="200"/>
        <w:rPr>
          <w:rFonts w:hint="eastAsia"/>
          <w:color w:val="auto"/>
        </w:rPr>
      </w:pPr>
      <w:bookmarkStart w:id="1226" w:name="_Toc221950845"/>
      <w:r>
        <w:rPr>
          <w:rFonts w:hint="eastAsia"/>
          <w:color w:val="auto"/>
        </w:rPr>
        <w:t>承包人应按技术标准和要求（合同技术条款）约定的内容和期限以及监理人的指示，编制详细的施工总进度计划及其说明提交监理人审批。监理人应在技术标准和要求（合同技术条款）约定的期限内批复承包人，否则该进度计划视为已得到批准。经监理人批准的施工进度计划称合同进度计划，是控制合同工程进度的依据。承包人还应根据合同进度计划，编制更为详细的分阶段或单位工程或分部工程进度计划，报监理人审批。</w:t>
      </w:r>
    </w:p>
    <w:p>
      <w:pPr>
        <w:keepNext/>
        <w:keepLines/>
        <w:spacing w:line="400" w:lineRule="exact"/>
        <w:outlineLvl w:val="3"/>
        <w:rPr>
          <w:rFonts w:hint="eastAsia" w:eastAsia="黑体"/>
          <w:color w:val="auto"/>
          <w:sz w:val="24"/>
          <w:szCs w:val="20"/>
        </w:rPr>
      </w:pPr>
      <w:bookmarkStart w:id="1227" w:name="_Toc517172460"/>
      <w:bookmarkStart w:id="1228" w:name="_Toc13120"/>
      <w:r>
        <w:rPr>
          <w:rFonts w:hint="eastAsia" w:eastAsia="黑体"/>
          <w:color w:val="auto"/>
          <w:sz w:val="24"/>
          <w:szCs w:val="20"/>
        </w:rPr>
        <w:t>10.2 合同进度计划的修订</w:t>
      </w:r>
      <w:bookmarkEnd w:id="1227"/>
      <w:bookmarkEnd w:id="1228"/>
    </w:p>
    <w:p>
      <w:pPr>
        <w:spacing w:line="400" w:lineRule="exact"/>
        <w:ind w:firstLine="420" w:firstLineChars="200"/>
        <w:rPr>
          <w:rFonts w:hint="eastAsia"/>
          <w:color w:val="auto"/>
        </w:rPr>
      </w:pPr>
      <w:r>
        <w:rPr>
          <w:rFonts w:hint="eastAsia"/>
          <w:color w:val="auto"/>
        </w:rPr>
        <w:t>不论何种原因造成工程的实际进度与第10.1款的合同进度计划不符时，承包人均应在14天内向监理人提交修订合同进度计划的申请报告，并附有关措施和相关资料，报监理人审批；监理人应在收到申请报告后的14天内批复。当监理人认为需要修订合同进度计划时，承包人应按监理人的指示，在14天内向监理人提交修订的合同进度计划，并附调整计划的相关资料，提交监理人审批。监理人应在收到进度计划后的14天内批复。</w:t>
      </w:r>
    </w:p>
    <w:p>
      <w:pPr>
        <w:spacing w:line="400" w:lineRule="exact"/>
        <w:ind w:firstLine="420" w:firstLineChars="200"/>
        <w:rPr>
          <w:rFonts w:hint="eastAsia"/>
          <w:color w:val="auto"/>
        </w:rPr>
      </w:pPr>
      <w:r>
        <w:rPr>
          <w:rFonts w:hint="eastAsia"/>
          <w:color w:val="auto"/>
        </w:rPr>
        <w:t>不论何种原因造成施工进度计划延迟，承包人均应按监理人的指示，采取有效措施赶上进度。承包人应在向监理人提交修订合同进度计划的同时，编制一份赶工措施报告提交监理人审批。由于发包人原因造成施工进度延迟，应按第11.3款的约定办理；由于承包人原因造成施工进度延迟，应按第11.5款的约定办理。</w:t>
      </w:r>
      <w:bookmarkEnd w:id="1226"/>
    </w:p>
    <w:p>
      <w:pPr>
        <w:keepNext/>
        <w:keepLines/>
        <w:spacing w:line="400" w:lineRule="exact"/>
        <w:outlineLvl w:val="3"/>
        <w:rPr>
          <w:rFonts w:hint="eastAsia" w:eastAsia="黑体"/>
          <w:color w:val="auto"/>
          <w:sz w:val="24"/>
          <w:szCs w:val="20"/>
        </w:rPr>
      </w:pPr>
      <w:bookmarkStart w:id="1229" w:name="_Toc17019"/>
      <w:bookmarkStart w:id="1230" w:name="_Toc221950846"/>
      <w:bookmarkStart w:id="1231" w:name="_Toc517172461"/>
      <w:r>
        <w:rPr>
          <w:rFonts w:hint="eastAsia" w:eastAsia="黑体"/>
          <w:color w:val="auto"/>
          <w:sz w:val="24"/>
          <w:szCs w:val="20"/>
        </w:rPr>
        <w:t>10.3 单位工程进度计划</w:t>
      </w:r>
      <w:bookmarkEnd w:id="1229"/>
      <w:bookmarkEnd w:id="1230"/>
      <w:bookmarkEnd w:id="1231"/>
    </w:p>
    <w:p>
      <w:pPr>
        <w:spacing w:line="400" w:lineRule="exact"/>
        <w:ind w:firstLine="420" w:firstLineChars="200"/>
        <w:rPr>
          <w:rFonts w:hint="eastAsia"/>
          <w:color w:val="auto"/>
        </w:rPr>
      </w:pPr>
      <w:bookmarkStart w:id="1232" w:name="_Toc221950847"/>
      <w:r>
        <w:rPr>
          <w:rFonts w:hint="eastAsia"/>
          <w:color w:val="auto"/>
        </w:rPr>
        <w:t>监理人认为有必要时，承包人应按监理人指示的内容和期限，并根据合同进度计划的进度控制要求，编制单位工程进度计划，提交监理人审批。</w:t>
      </w:r>
      <w:bookmarkEnd w:id="1232"/>
    </w:p>
    <w:p>
      <w:pPr>
        <w:keepNext/>
        <w:keepLines/>
        <w:spacing w:line="400" w:lineRule="exact"/>
        <w:outlineLvl w:val="3"/>
        <w:rPr>
          <w:rFonts w:hint="eastAsia" w:eastAsia="黑体"/>
          <w:color w:val="auto"/>
          <w:sz w:val="24"/>
          <w:szCs w:val="20"/>
        </w:rPr>
      </w:pPr>
      <w:bookmarkStart w:id="1233" w:name="_Toc10916"/>
      <w:bookmarkStart w:id="1234" w:name="_Toc221950848"/>
      <w:bookmarkStart w:id="1235" w:name="_Toc517172462"/>
      <w:r>
        <w:rPr>
          <w:rFonts w:hint="eastAsia" w:eastAsia="黑体"/>
          <w:color w:val="auto"/>
          <w:sz w:val="24"/>
          <w:szCs w:val="20"/>
        </w:rPr>
        <w:t>10</w:t>
      </w:r>
      <w:r>
        <w:rPr>
          <w:rFonts w:eastAsia="黑体"/>
          <w:color w:val="auto"/>
          <w:sz w:val="24"/>
          <w:szCs w:val="20"/>
        </w:rPr>
        <w:t>.</w:t>
      </w:r>
      <w:r>
        <w:rPr>
          <w:rFonts w:hint="eastAsia" w:eastAsia="黑体"/>
          <w:color w:val="auto"/>
          <w:sz w:val="24"/>
          <w:szCs w:val="20"/>
        </w:rPr>
        <w:t>4</w:t>
      </w:r>
      <w:r>
        <w:rPr>
          <w:rFonts w:eastAsia="黑体"/>
          <w:color w:val="auto"/>
          <w:sz w:val="24"/>
          <w:szCs w:val="20"/>
        </w:rPr>
        <w:t xml:space="preserve"> </w:t>
      </w:r>
      <w:r>
        <w:rPr>
          <w:rFonts w:hint="eastAsia" w:eastAsia="黑体"/>
          <w:color w:val="auto"/>
          <w:sz w:val="24"/>
          <w:szCs w:val="20"/>
        </w:rPr>
        <w:t>提交资金流估算表</w:t>
      </w:r>
      <w:bookmarkEnd w:id="1233"/>
      <w:bookmarkEnd w:id="1234"/>
      <w:bookmarkEnd w:id="1235"/>
      <w:r>
        <w:rPr>
          <w:rFonts w:hint="eastAsia" w:eastAsia="黑体"/>
          <w:color w:val="auto"/>
          <w:sz w:val="24"/>
          <w:szCs w:val="20"/>
        </w:rPr>
        <w:t xml:space="preserve">  </w:t>
      </w:r>
    </w:p>
    <w:p>
      <w:pPr>
        <w:spacing w:line="400" w:lineRule="exact"/>
        <w:ind w:firstLine="420" w:firstLineChars="200"/>
        <w:rPr>
          <w:rFonts w:hint="eastAsia"/>
          <w:color w:val="auto"/>
        </w:rPr>
      </w:pPr>
      <w:bookmarkStart w:id="1236" w:name="_Toc221950849"/>
      <w:r>
        <w:rPr>
          <w:rFonts w:hint="eastAsia"/>
          <w:color w:val="auto"/>
        </w:rPr>
        <w:t>承包人应在按第10.</w:t>
      </w:r>
      <w:r>
        <w:rPr>
          <w:color w:val="auto"/>
        </w:rPr>
        <w:t>1</w:t>
      </w:r>
      <w:r>
        <w:rPr>
          <w:rFonts w:hint="eastAsia"/>
          <w:color w:val="auto"/>
        </w:rPr>
        <w:t>款约定向监理人提交施工总进度计划的同时，按下表约定的格式，向监理人提交按月的资金流估算表。估算表应包括承包人计划可从发包人处得到的全部款额，以供发包人参考。此后，当监理人提出要求时，承包人应在监理人指定的期限内提交修订的资金流估算表。</w:t>
      </w:r>
      <w:bookmarkEnd w:id="1236"/>
    </w:p>
    <w:p>
      <w:pPr>
        <w:spacing w:line="400" w:lineRule="exact"/>
        <w:ind w:firstLine="480" w:firstLineChars="200"/>
        <w:rPr>
          <w:rFonts w:hint="eastAsia" w:ascii="宋体" w:hAnsi="宋体"/>
          <w:color w:val="auto"/>
          <w:szCs w:val="21"/>
        </w:rPr>
      </w:pPr>
      <w:r>
        <w:rPr>
          <w:rFonts w:hint="eastAsia" w:ascii="宋体"/>
          <w:color w:val="auto"/>
          <w:sz w:val="24"/>
        </w:rPr>
        <w:t xml:space="preserve">                      </w:t>
      </w:r>
      <w:r>
        <w:rPr>
          <w:rFonts w:hint="eastAsia" w:ascii="宋体"/>
          <w:color w:val="auto"/>
          <w:szCs w:val="21"/>
        </w:rPr>
        <w:t xml:space="preserve"> </w:t>
      </w:r>
      <w:bookmarkStart w:id="1237" w:name="_Toc221950850"/>
      <w:r>
        <w:rPr>
          <w:rFonts w:hint="eastAsia"/>
          <w:color w:val="auto"/>
        </w:rPr>
        <w:t>资金流估算表</w:t>
      </w:r>
      <w:r>
        <w:rPr>
          <w:color w:val="auto"/>
        </w:rPr>
        <w:t>(</w:t>
      </w:r>
      <w:r>
        <w:rPr>
          <w:rFonts w:hint="eastAsia"/>
          <w:color w:val="auto"/>
        </w:rPr>
        <w:t>参考格式</w:t>
      </w:r>
      <w:r>
        <w:rPr>
          <w:color w:val="auto"/>
        </w:rPr>
        <w:t>)</w:t>
      </w:r>
      <w:r>
        <w:rPr>
          <w:rFonts w:hint="eastAsia"/>
          <w:color w:val="auto"/>
        </w:rPr>
        <w:t xml:space="preserve">          金额单位</w:t>
      </w:r>
      <w:bookmarkEnd w:id="1237"/>
      <w:r>
        <w:rPr>
          <w:rFonts w:hint="eastAsia" w:ascii="宋体" w:hAnsi="宋体"/>
          <w:color w:val="auto"/>
          <w:szCs w:val="21"/>
          <w:u w:val="single"/>
        </w:rPr>
        <w:t xml:space="preserve">       </w:t>
      </w:r>
    </w:p>
    <w:tbl>
      <w:tblPr>
        <w:tblStyle w:val="3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14"/>
        <w:gridCol w:w="403"/>
        <w:gridCol w:w="992"/>
        <w:gridCol w:w="1276"/>
        <w:gridCol w:w="992"/>
        <w:gridCol w:w="993"/>
        <w:gridCol w:w="992"/>
        <w:gridCol w:w="766"/>
        <w:gridCol w:w="1050"/>
        <w:gridCol w:w="11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 w:type="dxa"/>
            <w:noWrap w:val="0"/>
            <w:vAlign w:val="center"/>
          </w:tcPr>
          <w:p>
            <w:pPr>
              <w:ind w:right="248"/>
              <w:jc w:val="center"/>
              <w:rPr>
                <w:rFonts w:hint="eastAsia" w:ascii="宋体"/>
                <w:color w:val="auto"/>
                <w:sz w:val="15"/>
                <w:szCs w:val="15"/>
              </w:rPr>
            </w:pPr>
            <w:bookmarkStart w:id="1238" w:name="_Toc221950851"/>
            <w:r>
              <w:rPr>
                <w:rFonts w:hint="eastAsia" w:ascii="宋体"/>
                <w:color w:val="auto"/>
                <w:sz w:val="15"/>
                <w:szCs w:val="15"/>
              </w:rPr>
              <w:t>年</w:t>
            </w:r>
            <w:bookmarkEnd w:id="1238"/>
          </w:p>
        </w:tc>
        <w:tc>
          <w:tcPr>
            <w:tcW w:w="403" w:type="dxa"/>
            <w:noWrap w:val="0"/>
            <w:vAlign w:val="center"/>
          </w:tcPr>
          <w:p>
            <w:pPr>
              <w:ind w:right="248"/>
              <w:jc w:val="center"/>
              <w:rPr>
                <w:rFonts w:hint="eastAsia" w:ascii="宋体"/>
                <w:color w:val="auto"/>
                <w:sz w:val="15"/>
                <w:szCs w:val="15"/>
              </w:rPr>
            </w:pPr>
            <w:bookmarkStart w:id="1239" w:name="_Toc221950852"/>
            <w:r>
              <w:rPr>
                <w:rFonts w:hint="eastAsia" w:ascii="宋体"/>
                <w:color w:val="auto"/>
                <w:sz w:val="15"/>
                <w:szCs w:val="15"/>
              </w:rPr>
              <w:t>月</w:t>
            </w:r>
            <w:bookmarkEnd w:id="1239"/>
          </w:p>
        </w:tc>
        <w:tc>
          <w:tcPr>
            <w:tcW w:w="992" w:type="dxa"/>
            <w:noWrap w:val="0"/>
            <w:vAlign w:val="center"/>
          </w:tcPr>
          <w:p>
            <w:pPr>
              <w:ind w:right="7"/>
              <w:jc w:val="center"/>
              <w:rPr>
                <w:rFonts w:hint="eastAsia" w:ascii="宋体"/>
                <w:color w:val="auto"/>
                <w:sz w:val="15"/>
                <w:szCs w:val="15"/>
              </w:rPr>
            </w:pPr>
            <w:bookmarkStart w:id="1240" w:name="_Toc221950853"/>
            <w:r>
              <w:rPr>
                <w:rFonts w:hint="eastAsia" w:ascii="宋体"/>
                <w:color w:val="auto"/>
                <w:sz w:val="15"/>
                <w:szCs w:val="15"/>
              </w:rPr>
              <w:t>工程</w:t>
            </w:r>
            <w:bookmarkEnd w:id="1240"/>
            <w:bookmarkStart w:id="1241" w:name="_Toc221950854"/>
            <w:r>
              <w:rPr>
                <w:rFonts w:hint="eastAsia" w:ascii="宋体"/>
                <w:color w:val="auto"/>
                <w:sz w:val="15"/>
                <w:szCs w:val="15"/>
              </w:rPr>
              <w:t>预付款</w:t>
            </w:r>
            <w:bookmarkEnd w:id="1241"/>
          </w:p>
        </w:tc>
        <w:tc>
          <w:tcPr>
            <w:tcW w:w="1276" w:type="dxa"/>
            <w:noWrap w:val="0"/>
            <w:vAlign w:val="center"/>
          </w:tcPr>
          <w:p>
            <w:pPr>
              <w:jc w:val="center"/>
              <w:rPr>
                <w:rFonts w:hint="eastAsia" w:ascii="宋体"/>
                <w:color w:val="auto"/>
                <w:sz w:val="15"/>
                <w:szCs w:val="15"/>
              </w:rPr>
            </w:pPr>
            <w:bookmarkStart w:id="1242" w:name="_Toc221950855"/>
            <w:r>
              <w:rPr>
                <w:rFonts w:hint="eastAsia" w:ascii="宋体"/>
                <w:color w:val="auto"/>
                <w:sz w:val="15"/>
                <w:szCs w:val="15"/>
              </w:rPr>
              <w:t>完成工作量付款</w:t>
            </w:r>
            <w:bookmarkEnd w:id="1242"/>
          </w:p>
        </w:tc>
        <w:tc>
          <w:tcPr>
            <w:tcW w:w="992" w:type="dxa"/>
            <w:noWrap w:val="0"/>
            <w:vAlign w:val="center"/>
          </w:tcPr>
          <w:p>
            <w:pPr>
              <w:jc w:val="center"/>
              <w:rPr>
                <w:rFonts w:hint="eastAsia" w:ascii="宋体"/>
                <w:color w:val="auto"/>
                <w:sz w:val="15"/>
                <w:szCs w:val="15"/>
              </w:rPr>
            </w:pPr>
            <w:bookmarkStart w:id="1243" w:name="_Toc221950856"/>
            <w:r>
              <w:rPr>
                <w:rFonts w:hint="eastAsia" w:ascii="宋体"/>
                <w:color w:val="auto"/>
                <w:sz w:val="15"/>
                <w:szCs w:val="15"/>
              </w:rPr>
              <w:t>保留金</w:t>
            </w:r>
            <w:bookmarkEnd w:id="1243"/>
            <w:bookmarkStart w:id="1244" w:name="_Toc221950857"/>
            <w:r>
              <w:rPr>
                <w:rFonts w:hint="eastAsia" w:ascii="宋体"/>
                <w:color w:val="auto"/>
                <w:sz w:val="15"/>
                <w:szCs w:val="15"/>
              </w:rPr>
              <w:t>扣留</w:t>
            </w:r>
            <w:bookmarkEnd w:id="1244"/>
          </w:p>
        </w:tc>
        <w:tc>
          <w:tcPr>
            <w:tcW w:w="993" w:type="dxa"/>
            <w:noWrap w:val="0"/>
            <w:vAlign w:val="center"/>
          </w:tcPr>
          <w:p>
            <w:pPr>
              <w:ind w:right="-21"/>
              <w:jc w:val="center"/>
              <w:rPr>
                <w:rFonts w:hint="eastAsia" w:ascii="宋体"/>
                <w:color w:val="auto"/>
                <w:sz w:val="15"/>
                <w:szCs w:val="15"/>
              </w:rPr>
            </w:pPr>
            <w:bookmarkStart w:id="1245" w:name="_Toc221950858"/>
            <w:r>
              <w:rPr>
                <w:rFonts w:hint="eastAsia" w:ascii="宋体"/>
                <w:color w:val="auto"/>
                <w:sz w:val="15"/>
                <w:szCs w:val="15"/>
              </w:rPr>
              <w:t>材料款</w:t>
            </w:r>
            <w:bookmarkEnd w:id="1245"/>
            <w:bookmarkStart w:id="1246" w:name="_Toc221950859"/>
            <w:r>
              <w:rPr>
                <w:rFonts w:hint="eastAsia" w:ascii="宋体"/>
                <w:color w:val="auto"/>
                <w:sz w:val="15"/>
                <w:szCs w:val="15"/>
              </w:rPr>
              <w:t>扣除</w:t>
            </w:r>
            <w:bookmarkEnd w:id="1246"/>
          </w:p>
        </w:tc>
        <w:tc>
          <w:tcPr>
            <w:tcW w:w="992" w:type="dxa"/>
            <w:noWrap w:val="0"/>
            <w:vAlign w:val="center"/>
          </w:tcPr>
          <w:p>
            <w:pPr>
              <w:ind w:right="-21"/>
              <w:jc w:val="center"/>
              <w:rPr>
                <w:rFonts w:hint="eastAsia" w:ascii="宋体"/>
                <w:color w:val="auto"/>
                <w:sz w:val="15"/>
                <w:szCs w:val="15"/>
              </w:rPr>
            </w:pPr>
            <w:bookmarkStart w:id="1247" w:name="_Toc221950860"/>
            <w:r>
              <w:rPr>
                <w:rFonts w:hint="eastAsia" w:ascii="宋体"/>
                <w:color w:val="auto"/>
                <w:sz w:val="15"/>
                <w:szCs w:val="15"/>
              </w:rPr>
              <w:t>预付款</w:t>
            </w:r>
            <w:bookmarkEnd w:id="1247"/>
            <w:bookmarkStart w:id="1248" w:name="_Toc221950861"/>
            <w:r>
              <w:rPr>
                <w:rFonts w:hint="eastAsia" w:ascii="宋体"/>
                <w:color w:val="auto"/>
                <w:sz w:val="15"/>
                <w:szCs w:val="15"/>
              </w:rPr>
              <w:t>扣还</w:t>
            </w:r>
            <w:bookmarkEnd w:id="1248"/>
          </w:p>
        </w:tc>
        <w:tc>
          <w:tcPr>
            <w:tcW w:w="766" w:type="dxa"/>
            <w:noWrap w:val="0"/>
            <w:vAlign w:val="center"/>
          </w:tcPr>
          <w:p>
            <w:pPr>
              <w:jc w:val="center"/>
              <w:rPr>
                <w:rFonts w:hint="eastAsia" w:ascii="宋体"/>
                <w:color w:val="auto"/>
                <w:sz w:val="15"/>
                <w:szCs w:val="15"/>
              </w:rPr>
            </w:pPr>
            <w:bookmarkStart w:id="1249" w:name="_Toc221950862"/>
            <w:r>
              <w:rPr>
                <w:rFonts w:hint="eastAsia" w:ascii="宋体"/>
                <w:color w:val="auto"/>
                <w:sz w:val="15"/>
                <w:szCs w:val="15"/>
              </w:rPr>
              <w:t>其他</w:t>
            </w:r>
            <w:bookmarkEnd w:id="1249"/>
          </w:p>
        </w:tc>
        <w:tc>
          <w:tcPr>
            <w:tcW w:w="1050" w:type="dxa"/>
            <w:noWrap w:val="0"/>
            <w:vAlign w:val="center"/>
          </w:tcPr>
          <w:p>
            <w:pPr>
              <w:jc w:val="center"/>
              <w:rPr>
                <w:rFonts w:hint="eastAsia" w:ascii="宋体"/>
                <w:color w:val="auto"/>
                <w:sz w:val="15"/>
                <w:szCs w:val="15"/>
              </w:rPr>
            </w:pPr>
            <w:bookmarkStart w:id="1250" w:name="_Toc221950863"/>
            <w:r>
              <w:rPr>
                <w:rFonts w:hint="eastAsia" w:ascii="宋体"/>
                <w:color w:val="auto"/>
                <w:sz w:val="15"/>
                <w:szCs w:val="15"/>
              </w:rPr>
              <w:t>应收款</w:t>
            </w:r>
            <w:bookmarkEnd w:id="1250"/>
          </w:p>
        </w:tc>
        <w:tc>
          <w:tcPr>
            <w:tcW w:w="1155" w:type="dxa"/>
            <w:noWrap w:val="0"/>
            <w:vAlign w:val="center"/>
          </w:tcPr>
          <w:p>
            <w:pPr>
              <w:jc w:val="center"/>
              <w:rPr>
                <w:rFonts w:hint="eastAsia" w:ascii="宋体"/>
                <w:color w:val="auto"/>
                <w:sz w:val="15"/>
                <w:szCs w:val="15"/>
              </w:rPr>
            </w:pPr>
            <w:bookmarkStart w:id="1251" w:name="_Toc221950864"/>
            <w:r>
              <w:rPr>
                <w:rFonts w:hint="eastAsia" w:ascii="宋体"/>
                <w:color w:val="auto"/>
                <w:sz w:val="15"/>
                <w:szCs w:val="15"/>
              </w:rPr>
              <w:t>累计</w:t>
            </w:r>
            <w:bookmarkEnd w:id="1251"/>
            <w:bookmarkStart w:id="1252" w:name="_Toc221950865"/>
            <w:r>
              <w:rPr>
                <w:rFonts w:hint="eastAsia" w:ascii="宋体"/>
                <w:color w:val="auto"/>
                <w:sz w:val="15"/>
                <w:szCs w:val="15"/>
              </w:rPr>
              <w:t>应收款</w:t>
            </w:r>
            <w:bookmarkEnd w:id="125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 w:type="dxa"/>
            <w:noWrap w:val="0"/>
            <w:vAlign w:val="center"/>
          </w:tcPr>
          <w:p>
            <w:pPr>
              <w:ind w:right="248"/>
              <w:jc w:val="center"/>
              <w:rPr>
                <w:rFonts w:hint="eastAsia" w:ascii="宋体"/>
                <w:color w:val="auto"/>
                <w:sz w:val="24"/>
              </w:rPr>
            </w:pPr>
          </w:p>
        </w:tc>
        <w:tc>
          <w:tcPr>
            <w:tcW w:w="40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1276"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99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766" w:type="dxa"/>
            <w:noWrap w:val="0"/>
            <w:vAlign w:val="top"/>
          </w:tcPr>
          <w:p>
            <w:pPr>
              <w:ind w:right="248"/>
              <w:jc w:val="center"/>
              <w:rPr>
                <w:rFonts w:hint="eastAsia" w:ascii="宋体"/>
                <w:color w:val="auto"/>
                <w:sz w:val="24"/>
              </w:rPr>
            </w:pPr>
          </w:p>
        </w:tc>
        <w:tc>
          <w:tcPr>
            <w:tcW w:w="1050" w:type="dxa"/>
            <w:noWrap w:val="0"/>
            <w:vAlign w:val="top"/>
          </w:tcPr>
          <w:p>
            <w:pPr>
              <w:ind w:right="248"/>
              <w:jc w:val="center"/>
              <w:rPr>
                <w:rFonts w:hint="eastAsia" w:ascii="宋体"/>
                <w:color w:val="auto"/>
                <w:sz w:val="24"/>
              </w:rPr>
            </w:pPr>
          </w:p>
        </w:tc>
        <w:tc>
          <w:tcPr>
            <w:tcW w:w="1155" w:type="dxa"/>
            <w:noWrap w:val="0"/>
            <w:vAlign w:val="center"/>
          </w:tcPr>
          <w:p>
            <w:pPr>
              <w:ind w:right="248"/>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 w:type="dxa"/>
            <w:noWrap w:val="0"/>
            <w:vAlign w:val="center"/>
          </w:tcPr>
          <w:p>
            <w:pPr>
              <w:ind w:right="248"/>
              <w:jc w:val="center"/>
              <w:rPr>
                <w:rFonts w:hint="eastAsia" w:ascii="宋体"/>
                <w:color w:val="auto"/>
                <w:sz w:val="24"/>
              </w:rPr>
            </w:pPr>
          </w:p>
        </w:tc>
        <w:tc>
          <w:tcPr>
            <w:tcW w:w="40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1276"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99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766" w:type="dxa"/>
            <w:noWrap w:val="0"/>
            <w:vAlign w:val="top"/>
          </w:tcPr>
          <w:p>
            <w:pPr>
              <w:ind w:right="248"/>
              <w:jc w:val="center"/>
              <w:rPr>
                <w:rFonts w:hint="eastAsia" w:ascii="宋体"/>
                <w:color w:val="auto"/>
                <w:sz w:val="24"/>
              </w:rPr>
            </w:pPr>
          </w:p>
        </w:tc>
        <w:tc>
          <w:tcPr>
            <w:tcW w:w="1050" w:type="dxa"/>
            <w:noWrap w:val="0"/>
            <w:vAlign w:val="top"/>
          </w:tcPr>
          <w:p>
            <w:pPr>
              <w:ind w:right="248"/>
              <w:jc w:val="center"/>
              <w:rPr>
                <w:rFonts w:hint="eastAsia" w:ascii="宋体"/>
                <w:color w:val="auto"/>
                <w:sz w:val="24"/>
              </w:rPr>
            </w:pPr>
          </w:p>
        </w:tc>
        <w:tc>
          <w:tcPr>
            <w:tcW w:w="1155" w:type="dxa"/>
            <w:noWrap w:val="0"/>
            <w:vAlign w:val="center"/>
          </w:tcPr>
          <w:p>
            <w:pPr>
              <w:ind w:right="248"/>
              <w:jc w:val="center"/>
              <w:rPr>
                <w:rFonts w:hint="eastAsia" w:ascii="宋体"/>
                <w:color w:val="auto"/>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 w:type="dxa"/>
            <w:noWrap w:val="0"/>
            <w:vAlign w:val="center"/>
          </w:tcPr>
          <w:p>
            <w:pPr>
              <w:ind w:right="248"/>
              <w:jc w:val="center"/>
              <w:rPr>
                <w:rFonts w:hint="eastAsia" w:ascii="宋体"/>
                <w:color w:val="auto"/>
                <w:sz w:val="24"/>
              </w:rPr>
            </w:pPr>
          </w:p>
        </w:tc>
        <w:tc>
          <w:tcPr>
            <w:tcW w:w="40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1276"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993" w:type="dxa"/>
            <w:noWrap w:val="0"/>
            <w:vAlign w:val="center"/>
          </w:tcPr>
          <w:p>
            <w:pPr>
              <w:ind w:right="248"/>
              <w:jc w:val="center"/>
              <w:rPr>
                <w:rFonts w:hint="eastAsia" w:ascii="宋体"/>
                <w:color w:val="auto"/>
                <w:sz w:val="24"/>
              </w:rPr>
            </w:pPr>
          </w:p>
        </w:tc>
        <w:tc>
          <w:tcPr>
            <w:tcW w:w="992" w:type="dxa"/>
            <w:noWrap w:val="0"/>
            <w:vAlign w:val="center"/>
          </w:tcPr>
          <w:p>
            <w:pPr>
              <w:ind w:right="248"/>
              <w:jc w:val="center"/>
              <w:rPr>
                <w:rFonts w:hint="eastAsia" w:ascii="宋体"/>
                <w:color w:val="auto"/>
                <w:sz w:val="24"/>
              </w:rPr>
            </w:pPr>
          </w:p>
        </w:tc>
        <w:tc>
          <w:tcPr>
            <w:tcW w:w="766" w:type="dxa"/>
            <w:noWrap w:val="0"/>
            <w:vAlign w:val="top"/>
          </w:tcPr>
          <w:p>
            <w:pPr>
              <w:ind w:right="248"/>
              <w:jc w:val="center"/>
              <w:rPr>
                <w:rFonts w:hint="eastAsia" w:ascii="宋体"/>
                <w:color w:val="auto"/>
                <w:sz w:val="24"/>
              </w:rPr>
            </w:pPr>
          </w:p>
        </w:tc>
        <w:tc>
          <w:tcPr>
            <w:tcW w:w="1050" w:type="dxa"/>
            <w:noWrap w:val="0"/>
            <w:vAlign w:val="top"/>
          </w:tcPr>
          <w:p>
            <w:pPr>
              <w:ind w:right="248"/>
              <w:jc w:val="center"/>
              <w:rPr>
                <w:rFonts w:hint="eastAsia" w:ascii="宋体"/>
                <w:color w:val="auto"/>
                <w:sz w:val="24"/>
              </w:rPr>
            </w:pPr>
          </w:p>
        </w:tc>
        <w:tc>
          <w:tcPr>
            <w:tcW w:w="1155" w:type="dxa"/>
            <w:noWrap w:val="0"/>
            <w:vAlign w:val="center"/>
          </w:tcPr>
          <w:p>
            <w:pPr>
              <w:ind w:right="248"/>
              <w:jc w:val="center"/>
              <w:rPr>
                <w:rFonts w:hint="eastAsia" w:ascii="宋体"/>
                <w:color w:val="auto"/>
                <w:sz w:val="24"/>
              </w:rPr>
            </w:pPr>
          </w:p>
        </w:tc>
      </w:tr>
    </w:tbl>
    <w:p>
      <w:pPr>
        <w:pStyle w:val="80"/>
        <w:spacing w:before="120" w:after="120" w:afterLines="50"/>
        <w:outlineLvl w:val="2"/>
        <w:rPr>
          <w:color w:val="auto"/>
        </w:rPr>
      </w:pPr>
      <w:bookmarkStart w:id="1253" w:name="_Toc221950866"/>
      <w:bookmarkStart w:id="1254" w:name="_Toc222029512"/>
      <w:bookmarkStart w:id="1255" w:name="_Toc222031014"/>
      <w:bookmarkStart w:id="1256" w:name="_Toc222033863"/>
      <w:bookmarkStart w:id="1257" w:name="_Toc229305372"/>
      <w:bookmarkStart w:id="1258" w:name="_Toc222032681"/>
      <w:bookmarkStart w:id="1259" w:name="_Toc31694"/>
      <w:bookmarkStart w:id="1260" w:name="_Toc517172463"/>
      <w:bookmarkStart w:id="1261" w:name="_Toc491089739"/>
      <w:bookmarkStart w:id="1262" w:name="_Toc387753594"/>
      <w:r>
        <w:rPr>
          <w:color w:val="auto"/>
        </w:rPr>
        <w:t>11</w:t>
      </w:r>
      <w:r>
        <w:rPr>
          <w:rFonts w:hint="eastAsia"/>
          <w:color w:val="auto"/>
        </w:rPr>
        <w:t>. 开工和竣工</w:t>
      </w:r>
      <w:bookmarkEnd w:id="1253"/>
      <w:bookmarkEnd w:id="1254"/>
      <w:bookmarkEnd w:id="1255"/>
      <w:bookmarkEnd w:id="1256"/>
      <w:bookmarkEnd w:id="1257"/>
      <w:bookmarkEnd w:id="1258"/>
      <w:r>
        <w:rPr>
          <w:rFonts w:hint="eastAsia"/>
          <w:color w:val="auto"/>
        </w:rPr>
        <w:t>（完工）</w:t>
      </w:r>
      <w:bookmarkEnd w:id="1259"/>
      <w:bookmarkEnd w:id="1260"/>
      <w:bookmarkEnd w:id="1261"/>
      <w:bookmarkEnd w:id="1262"/>
    </w:p>
    <w:p>
      <w:pPr>
        <w:keepNext/>
        <w:keepLines/>
        <w:spacing w:line="400" w:lineRule="exact"/>
        <w:outlineLvl w:val="3"/>
        <w:rPr>
          <w:rFonts w:hint="eastAsia" w:eastAsia="黑体"/>
          <w:color w:val="auto"/>
          <w:sz w:val="24"/>
          <w:szCs w:val="20"/>
        </w:rPr>
      </w:pPr>
      <w:bookmarkStart w:id="1263" w:name="_Toc18898"/>
      <w:bookmarkStart w:id="1264" w:name="_Toc517172464"/>
      <w:bookmarkStart w:id="1265" w:name="_Toc221950869"/>
      <w:r>
        <w:rPr>
          <w:rFonts w:hint="eastAsia" w:eastAsia="黑体"/>
          <w:color w:val="auto"/>
          <w:sz w:val="24"/>
          <w:szCs w:val="20"/>
        </w:rPr>
        <w:t>11.1 开工</w:t>
      </w:r>
      <w:bookmarkEnd w:id="1263"/>
      <w:bookmarkEnd w:id="1264"/>
    </w:p>
    <w:p>
      <w:pPr>
        <w:spacing w:line="400" w:lineRule="exact"/>
        <w:ind w:firstLine="420" w:firstLineChars="200"/>
        <w:rPr>
          <w:rFonts w:hint="eastAsia"/>
          <w:color w:val="auto"/>
        </w:rPr>
      </w:pPr>
      <w:r>
        <w:rPr>
          <w:rFonts w:hint="eastAsia"/>
          <w:color w:val="auto"/>
        </w:rPr>
        <w:t>11.1.1 监理人应在开工日期7天前向承包人发出开工通知。监理人在发出开工通知前应获得发包人同意。工期自监理人发出的开工通知中载明的开工日期起计算。承包人应在开工日期后尽快施工。</w:t>
      </w:r>
    </w:p>
    <w:p>
      <w:pPr>
        <w:spacing w:line="400" w:lineRule="exact"/>
        <w:ind w:firstLine="420" w:firstLineChars="200"/>
        <w:rPr>
          <w:rFonts w:hint="eastAsia"/>
          <w:color w:val="auto"/>
          <w:shd w:val="pct10" w:color="auto" w:fill="FFFFFF"/>
        </w:rPr>
      </w:pPr>
      <w:r>
        <w:rPr>
          <w:rFonts w:hint="eastAsia"/>
          <w:color w:val="auto"/>
        </w:rPr>
        <w:t>11.1.2 承包人应按第10.1款约定的合同进度计划，向监理人提交工程开工报审表，经监理人审批后执行。开工报审表应详细说明按合同进度计划正常施工所需的施工道路、临时设施、材料设备、施工人员等施工组织措施的落实情况以及工程的进度安排。</w:t>
      </w:r>
    </w:p>
    <w:p>
      <w:pPr>
        <w:spacing w:line="400" w:lineRule="exact"/>
        <w:ind w:firstLine="420" w:firstLineChars="200"/>
        <w:rPr>
          <w:rFonts w:hint="eastAsia"/>
          <w:color w:val="auto"/>
        </w:rPr>
      </w:pPr>
      <w:r>
        <w:rPr>
          <w:rFonts w:hint="eastAsia"/>
          <w:color w:val="auto"/>
        </w:rPr>
        <w:t>11.1.3  若发包人未能按合同约定向承包人提供开工的必要条件，承包人有权要求延长工期。监理人应在收到承包人的书面要求后，按第3.5款的约定，与合同双方商定或确定增加的费用和延长的工期。</w:t>
      </w:r>
      <w:bookmarkEnd w:id="1265"/>
    </w:p>
    <w:p>
      <w:pPr>
        <w:spacing w:line="400" w:lineRule="exact"/>
        <w:ind w:firstLine="420" w:firstLineChars="200"/>
        <w:rPr>
          <w:rFonts w:hint="eastAsia"/>
          <w:color w:val="auto"/>
        </w:rPr>
      </w:pPr>
      <w:bookmarkStart w:id="1266" w:name="_Toc221950870"/>
      <w:r>
        <w:rPr>
          <w:rFonts w:hint="eastAsia"/>
          <w:color w:val="auto"/>
        </w:rPr>
        <w:t>11.1.4  承包人在接到开工通知后14天内未按进度计划要求及时进场组织施工，监理人可通知承包人在接到通知后7天内提交一份说明其进场延误的书面报告，报送监理人。书面报告应说明不能及时进场的原因和补救措施，由此增加的费用和工期延误责任由承包人承担。</w:t>
      </w:r>
      <w:bookmarkEnd w:id="1266"/>
    </w:p>
    <w:p>
      <w:pPr>
        <w:keepNext/>
        <w:keepLines/>
        <w:spacing w:line="400" w:lineRule="exact"/>
        <w:outlineLvl w:val="3"/>
        <w:rPr>
          <w:rFonts w:hint="eastAsia" w:eastAsia="黑体"/>
          <w:color w:val="auto"/>
          <w:sz w:val="24"/>
          <w:szCs w:val="20"/>
        </w:rPr>
      </w:pPr>
      <w:bookmarkStart w:id="1267" w:name="_Toc144974652"/>
      <w:bookmarkStart w:id="1268" w:name="_Toc152042462"/>
      <w:bookmarkStart w:id="1269" w:name="_Toc152045684"/>
      <w:bookmarkStart w:id="1270" w:name="_Toc179632702"/>
      <w:bookmarkStart w:id="1271" w:name="_Toc517172465"/>
      <w:bookmarkStart w:id="1272" w:name="_Toc16369"/>
      <w:r>
        <w:rPr>
          <w:rFonts w:hint="eastAsia" w:eastAsia="黑体"/>
          <w:color w:val="auto"/>
          <w:sz w:val="24"/>
          <w:szCs w:val="20"/>
        </w:rPr>
        <w:t>11.2 竣工</w:t>
      </w:r>
      <w:bookmarkEnd w:id="1267"/>
      <w:bookmarkEnd w:id="1268"/>
      <w:bookmarkEnd w:id="1269"/>
      <w:bookmarkEnd w:id="1270"/>
      <w:r>
        <w:rPr>
          <w:rFonts w:hint="eastAsia" w:eastAsia="黑体"/>
          <w:color w:val="auto"/>
          <w:sz w:val="24"/>
          <w:szCs w:val="20"/>
        </w:rPr>
        <w:t>（完工）</w:t>
      </w:r>
      <w:bookmarkEnd w:id="1271"/>
      <w:bookmarkEnd w:id="1272"/>
    </w:p>
    <w:p>
      <w:pPr>
        <w:spacing w:line="400" w:lineRule="exact"/>
        <w:ind w:firstLine="420" w:firstLineChars="200"/>
        <w:rPr>
          <w:rFonts w:hint="eastAsia"/>
          <w:color w:val="auto"/>
        </w:rPr>
      </w:pPr>
      <w:r>
        <w:rPr>
          <w:rFonts w:hint="eastAsia"/>
          <w:color w:val="auto"/>
        </w:rPr>
        <w:t>承包人应在第1.1.4.3目约定的期限内完成合同工程。合同工程实际完工日期在合同工程完工证书中明确。</w:t>
      </w:r>
    </w:p>
    <w:p>
      <w:pPr>
        <w:keepNext/>
        <w:keepLines/>
        <w:spacing w:line="400" w:lineRule="exact"/>
        <w:outlineLvl w:val="3"/>
        <w:rPr>
          <w:rFonts w:hint="eastAsia" w:eastAsia="黑体"/>
          <w:color w:val="auto"/>
          <w:sz w:val="24"/>
          <w:szCs w:val="20"/>
        </w:rPr>
      </w:pPr>
      <w:bookmarkStart w:id="1273" w:name="_Toc517172466"/>
      <w:bookmarkStart w:id="1274" w:name="_Toc144974653"/>
      <w:bookmarkStart w:id="1275" w:name="_Toc152045685"/>
      <w:bookmarkStart w:id="1276" w:name="_Toc179632703"/>
      <w:bookmarkStart w:id="1277" w:name="_Toc3841"/>
      <w:bookmarkStart w:id="1278" w:name="_Toc152042463"/>
      <w:r>
        <w:rPr>
          <w:rFonts w:hint="eastAsia" w:eastAsia="黑体"/>
          <w:color w:val="auto"/>
          <w:sz w:val="24"/>
          <w:szCs w:val="20"/>
        </w:rPr>
        <w:t>11.3 发包人的工期延误</w:t>
      </w:r>
      <w:bookmarkEnd w:id="1273"/>
      <w:bookmarkEnd w:id="1274"/>
      <w:bookmarkEnd w:id="1275"/>
      <w:bookmarkEnd w:id="1276"/>
      <w:bookmarkEnd w:id="1277"/>
      <w:bookmarkEnd w:id="1278"/>
    </w:p>
    <w:p>
      <w:pPr>
        <w:spacing w:line="400" w:lineRule="exact"/>
        <w:ind w:firstLine="420" w:firstLineChars="200"/>
        <w:rPr>
          <w:rFonts w:hint="eastAsia"/>
          <w:color w:val="auto"/>
        </w:rPr>
      </w:pPr>
      <w:r>
        <w:rPr>
          <w:rFonts w:hint="eastAsia"/>
          <w:color w:val="auto"/>
        </w:rPr>
        <w:t>在履行合同过程中，由于发包人的下列原因造成工期延误的，承包人有权要求发包人延长工期和（或）增加费用，并支付合理利润。需要修订合同进度计划的，按照第10.2款的约定办理。</w:t>
      </w:r>
    </w:p>
    <w:p>
      <w:pPr>
        <w:spacing w:line="400" w:lineRule="exact"/>
        <w:ind w:firstLine="359" w:firstLineChars="171"/>
        <w:rPr>
          <w:rFonts w:hint="eastAsia"/>
          <w:color w:val="auto"/>
        </w:rPr>
      </w:pPr>
      <w:r>
        <w:rPr>
          <w:rFonts w:hint="eastAsia"/>
          <w:color w:val="auto"/>
        </w:rPr>
        <w:t>（1）增加合同工作内容；</w:t>
      </w:r>
    </w:p>
    <w:p>
      <w:pPr>
        <w:spacing w:line="400" w:lineRule="exact"/>
        <w:ind w:firstLine="359" w:firstLineChars="171"/>
        <w:rPr>
          <w:rFonts w:hint="eastAsia"/>
          <w:color w:val="auto"/>
        </w:rPr>
      </w:pPr>
      <w:r>
        <w:rPr>
          <w:rFonts w:hint="eastAsia"/>
          <w:color w:val="auto"/>
        </w:rPr>
        <w:t>（2）改变合同中任何一项工作的质量要求或其他特性；</w:t>
      </w:r>
    </w:p>
    <w:p>
      <w:pPr>
        <w:spacing w:line="400" w:lineRule="exact"/>
        <w:ind w:firstLine="359" w:firstLineChars="171"/>
        <w:rPr>
          <w:rFonts w:hint="eastAsia"/>
          <w:color w:val="auto"/>
        </w:rPr>
      </w:pPr>
      <w:r>
        <w:rPr>
          <w:rFonts w:hint="eastAsia"/>
          <w:color w:val="auto"/>
        </w:rPr>
        <w:t>（3）发包人迟延提供材料、工程设备或变更交货地点的；</w:t>
      </w:r>
    </w:p>
    <w:p>
      <w:pPr>
        <w:spacing w:line="400" w:lineRule="exact"/>
        <w:ind w:firstLine="359" w:firstLineChars="171"/>
        <w:rPr>
          <w:rFonts w:hint="eastAsia"/>
          <w:color w:val="auto"/>
        </w:rPr>
      </w:pPr>
      <w:r>
        <w:rPr>
          <w:rFonts w:hint="eastAsia"/>
          <w:color w:val="auto"/>
        </w:rPr>
        <w:t>（4）因发包人原因导致的暂停施工；</w:t>
      </w:r>
    </w:p>
    <w:p>
      <w:pPr>
        <w:spacing w:line="400" w:lineRule="exact"/>
        <w:ind w:firstLine="359" w:firstLineChars="171"/>
        <w:rPr>
          <w:rFonts w:hint="eastAsia"/>
          <w:color w:val="auto"/>
        </w:rPr>
      </w:pPr>
      <w:r>
        <w:rPr>
          <w:rFonts w:hint="eastAsia"/>
          <w:color w:val="auto"/>
        </w:rPr>
        <w:t>（5）提供图纸延误；</w:t>
      </w:r>
    </w:p>
    <w:p>
      <w:pPr>
        <w:spacing w:line="400" w:lineRule="exact"/>
        <w:ind w:firstLine="359" w:firstLineChars="171"/>
        <w:rPr>
          <w:rFonts w:hint="eastAsia"/>
          <w:color w:val="auto"/>
        </w:rPr>
      </w:pPr>
      <w:r>
        <w:rPr>
          <w:rFonts w:hint="eastAsia"/>
          <w:color w:val="auto"/>
        </w:rPr>
        <w:t>（6）未按合同约定及时支付预付款、进度款；</w:t>
      </w:r>
    </w:p>
    <w:p>
      <w:pPr>
        <w:spacing w:line="400" w:lineRule="exact"/>
        <w:ind w:firstLine="359" w:firstLineChars="171"/>
        <w:rPr>
          <w:rFonts w:hint="eastAsia"/>
          <w:color w:val="auto"/>
        </w:rPr>
      </w:pPr>
      <w:r>
        <w:rPr>
          <w:rFonts w:hint="eastAsia"/>
          <w:color w:val="auto"/>
        </w:rPr>
        <w:t>（7）发包人造成工期延误的其他原因。</w:t>
      </w:r>
    </w:p>
    <w:p>
      <w:pPr>
        <w:keepNext/>
        <w:keepLines/>
        <w:spacing w:line="400" w:lineRule="exact"/>
        <w:outlineLvl w:val="3"/>
        <w:rPr>
          <w:rFonts w:hint="eastAsia" w:eastAsia="黑体"/>
          <w:color w:val="auto"/>
          <w:sz w:val="24"/>
          <w:szCs w:val="20"/>
        </w:rPr>
      </w:pPr>
      <w:bookmarkStart w:id="1279" w:name="_Toc517172467"/>
      <w:bookmarkStart w:id="1280" w:name="_Toc22459"/>
      <w:r>
        <w:rPr>
          <w:rFonts w:hint="eastAsia" w:eastAsia="黑体"/>
          <w:color w:val="auto"/>
          <w:sz w:val="24"/>
          <w:szCs w:val="20"/>
        </w:rPr>
        <w:t>11.4 异常恶劣的气候条件</w:t>
      </w:r>
      <w:bookmarkEnd w:id="1279"/>
      <w:bookmarkEnd w:id="1280"/>
    </w:p>
    <w:p>
      <w:pPr>
        <w:spacing w:line="400" w:lineRule="exact"/>
        <w:ind w:firstLine="420" w:firstLineChars="200"/>
        <w:rPr>
          <w:rFonts w:hint="eastAsia"/>
          <w:color w:val="auto"/>
        </w:rPr>
      </w:pPr>
      <w:r>
        <w:rPr>
          <w:rFonts w:hint="eastAsia"/>
          <w:color w:val="auto"/>
        </w:rPr>
        <w:t>11.4.1当工程所在地发生危及施工安全的异常恶劣气候时，发包人和承包人应按本合同通用合同条款第12条的约定，及时采取暂停施工或部分暂停施工措施。异常恶劣气候条件解除后，承包人应及时安排复工。</w:t>
      </w:r>
    </w:p>
    <w:p>
      <w:pPr>
        <w:spacing w:line="400" w:lineRule="exact"/>
        <w:ind w:firstLine="420" w:firstLineChars="200"/>
        <w:rPr>
          <w:rFonts w:hint="eastAsia"/>
          <w:color w:val="auto"/>
        </w:rPr>
      </w:pPr>
      <w:r>
        <w:rPr>
          <w:rFonts w:hint="eastAsia"/>
          <w:color w:val="auto"/>
        </w:rPr>
        <w:t>11.4.2异常恶劣气候条件造成的工期延误和工程损坏，应由发包人与承包人参照本合同通用合同条款第21.3款的约定共同协商处理。</w:t>
      </w:r>
    </w:p>
    <w:p>
      <w:pPr>
        <w:spacing w:line="400" w:lineRule="exact"/>
        <w:ind w:firstLine="420" w:firstLineChars="200"/>
        <w:rPr>
          <w:rFonts w:hint="eastAsia"/>
          <w:color w:val="auto"/>
        </w:rPr>
      </w:pPr>
      <w:r>
        <w:rPr>
          <w:rFonts w:hint="eastAsia"/>
          <w:color w:val="auto"/>
        </w:rPr>
        <w:t>11.4.3 本合同工程界定异常恶劣气候条件的范围在专用合同条款中约定。</w:t>
      </w:r>
    </w:p>
    <w:p>
      <w:pPr>
        <w:keepNext/>
        <w:keepLines/>
        <w:spacing w:line="400" w:lineRule="exact"/>
        <w:outlineLvl w:val="3"/>
        <w:rPr>
          <w:rFonts w:hint="eastAsia" w:eastAsia="黑体"/>
          <w:color w:val="auto"/>
          <w:sz w:val="24"/>
          <w:szCs w:val="20"/>
        </w:rPr>
      </w:pPr>
      <w:bookmarkStart w:id="1281" w:name="_Toc517172468"/>
      <w:bookmarkStart w:id="1282" w:name="_Toc15680"/>
      <w:r>
        <w:rPr>
          <w:rFonts w:hint="eastAsia" w:eastAsia="黑体"/>
          <w:color w:val="auto"/>
          <w:sz w:val="24"/>
          <w:szCs w:val="20"/>
        </w:rPr>
        <w:t>11.5 承包人工期延误</w:t>
      </w:r>
      <w:bookmarkEnd w:id="1281"/>
      <w:bookmarkEnd w:id="1282"/>
      <w:r>
        <w:rPr>
          <w:rFonts w:hint="eastAsia" w:eastAsia="黑体"/>
          <w:color w:val="auto"/>
          <w:sz w:val="24"/>
          <w:szCs w:val="20"/>
        </w:rPr>
        <w:t xml:space="preserve"> </w:t>
      </w:r>
    </w:p>
    <w:p>
      <w:pPr>
        <w:spacing w:line="400" w:lineRule="exact"/>
        <w:ind w:firstLine="420" w:firstLineChars="200"/>
        <w:rPr>
          <w:rFonts w:hint="eastAsia"/>
          <w:color w:val="auto"/>
        </w:rPr>
      </w:pPr>
      <w:r>
        <w:rPr>
          <w:rFonts w:hint="eastAsia"/>
          <w:color w:val="auto"/>
        </w:rPr>
        <w:t>由于承包人原因，未能按合同进度计划完成工作，或监理人认为承包人施工进度不能满足合同工期要求的，承包人应采取措施加快进度，并承担加快进度所增加的费用。由于承包人原因造成工期延误，承包人应支付逾期竣工违约金。逾期竣工违约金的计算方法在专用合同条款中约定。承包人支付逾期竣工违约金，不免除承包人完成工程及修补缺陷的义务。</w:t>
      </w:r>
      <w:bookmarkStart w:id="1283" w:name="_Toc221950882"/>
    </w:p>
    <w:p>
      <w:pPr>
        <w:keepNext/>
        <w:keepLines/>
        <w:spacing w:line="400" w:lineRule="exact"/>
        <w:outlineLvl w:val="3"/>
        <w:rPr>
          <w:rFonts w:hint="eastAsia" w:eastAsia="黑体"/>
          <w:color w:val="auto"/>
          <w:sz w:val="24"/>
          <w:szCs w:val="20"/>
        </w:rPr>
      </w:pPr>
      <w:bookmarkStart w:id="1284" w:name="_Toc517172469"/>
      <w:bookmarkStart w:id="1285" w:name="_Toc26952"/>
      <w:r>
        <w:rPr>
          <w:rFonts w:hint="eastAsia" w:eastAsia="黑体"/>
          <w:color w:val="auto"/>
          <w:sz w:val="24"/>
          <w:szCs w:val="20"/>
        </w:rPr>
        <w:t>11.6 工期提前</w:t>
      </w:r>
      <w:bookmarkEnd w:id="1284"/>
      <w:bookmarkEnd w:id="1285"/>
    </w:p>
    <w:p>
      <w:pPr>
        <w:spacing w:line="400" w:lineRule="exact"/>
        <w:ind w:firstLine="420" w:firstLineChars="200"/>
        <w:rPr>
          <w:rFonts w:hint="eastAsia"/>
          <w:color w:val="auto"/>
        </w:rPr>
      </w:pPr>
      <w:r>
        <w:rPr>
          <w:rFonts w:hint="eastAsia"/>
          <w:color w:val="auto"/>
        </w:rPr>
        <w:t>发包人要求承包人提前完工，或承包人提出提前完工的建议能够给发包人带来效益的，应由监理人与承包人共同协商采取加快工程进度的措施和修订合同进度计划。发包人应承担承包人由此增加的费用，并向承包人支付专用合同条款约定的相应奖金。</w:t>
      </w:r>
    </w:p>
    <w:p>
      <w:pPr>
        <w:spacing w:line="400" w:lineRule="exact"/>
        <w:ind w:firstLine="420" w:firstLineChars="200"/>
        <w:rPr>
          <w:rFonts w:hint="eastAsia"/>
          <w:color w:val="auto"/>
        </w:rPr>
      </w:pPr>
      <w:r>
        <w:rPr>
          <w:rFonts w:hint="eastAsia"/>
          <w:color w:val="auto"/>
        </w:rPr>
        <w:t>发包人要求提前完工的，双方协商一致后应签订提前完工协议，协议内容包括：</w:t>
      </w:r>
      <w:bookmarkEnd w:id="1283"/>
    </w:p>
    <w:p>
      <w:pPr>
        <w:spacing w:line="400" w:lineRule="exact"/>
        <w:ind w:firstLine="420" w:firstLineChars="200"/>
        <w:rPr>
          <w:rFonts w:hint="eastAsia"/>
          <w:color w:val="auto"/>
        </w:rPr>
      </w:pPr>
      <w:bookmarkStart w:id="1286" w:name="_Toc221950883"/>
      <w:r>
        <w:rPr>
          <w:rFonts w:hint="eastAsia"/>
          <w:color w:val="auto"/>
        </w:rPr>
        <w:t>（1） 提前的时间和修订后的进度计划。</w:t>
      </w:r>
      <w:bookmarkEnd w:id="1286"/>
    </w:p>
    <w:p>
      <w:pPr>
        <w:spacing w:line="400" w:lineRule="exact"/>
        <w:ind w:firstLine="420" w:firstLineChars="200"/>
        <w:rPr>
          <w:rFonts w:hint="eastAsia"/>
          <w:color w:val="auto"/>
        </w:rPr>
      </w:pPr>
      <w:bookmarkStart w:id="1287" w:name="_Toc221950884"/>
      <w:r>
        <w:rPr>
          <w:rFonts w:hint="eastAsia"/>
          <w:color w:val="auto"/>
        </w:rPr>
        <w:t>（2）承包人的赶工措施。</w:t>
      </w:r>
      <w:bookmarkEnd w:id="1287"/>
    </w:p>
    <w:p>
      <w:pPr>
        <w:spacing w:line="400" w:lineRule="exact"/>
        <w:ind w:firstLine="420" w:firstLineChars="200"/>
        <w:rPr>
          <w:rFonts w:hint="eastAsia"/>
          <w:color w:val="auto"/>
        </w:rPr>
      </w:pPr>
      <w:bookmarkStart w:id="1288" w:name="_Toc221950885"/>
      <w:r>
        <w:rPr>
          <w:rFonts w:hint="eastAsia"/>
          <w:color w:val="auto"/>
        </w:rPr>
        <w:t>（3）发包人为赶工提供的条件。</w:t>
      </w:r>
      <w:bookmarkEnd w:id="1288"/>
    </w:p>
    <w:p>
      <w:pPr>
        <w:spacing w:line="400" w:lineRule="exact"/>
        <w:ind w:firstLine="420" w:firstLineChars="200"/>
        <w:rPr>
          <w:rFonts w:hint="eastAsia"/>
          <w:color w:val="auto"/>
        </w:rPr>
      </w:pPr>
      <w:bookmarkStart w:id="1289" w:name="_Toc221950886"/>
      <w:r>
        <w:rPr>
          <w:rFonts w:hint="eastAsia"/>
          <w:color w:val="auto"/>
        </w:rPr>
        <w:t>（4）</w:t>
      </w:r>
      <w:bookmarkEnd w:id="1289"/>
      <w:r>
        <w:rPr>
          <w:rFonts w:hint="eastAsia"/>
          <w:color w:val="auto"/>
        </w:rPr>
        <w:t>赶工费用（包括利润和奖金）</w:t>
      </w:r>
    </w:p>
    <w:p>
      <w:pPr>
        <w:pStyle w:val="80"/>
        <w:spacing w:before="120" w:after="120" w:afterLines="50"/>
        <w:outlineLvl w:val="2"/>
        <w:rPr>
          <w:color w:val="auto"/>
        </w:rPr>
      </w:pPr>
      <w:bookmarkStart w:id="1290" w:name="_Toc222033864"/>
      <w:bookmarkStart w:id="1291" w:name="_Toc221950888"/>
      <w:bookmarkStart w:id="1292" w:name="_Toc222029513"/>
      <w:bookmarkStart w:id="1293" w:name="_Toc222031015"/>
      <w:bookmarkStart w:id="1294" w:name="_Toc229305373"/>
      <w:bookmarkStart w:id="1295" w:name="_Toc387753595"/>
      <w:bookmarkStart w:id="1296" w:name="_Toc491089740"/>
      <w:bookmarkStart w:id="1297" w:name="_Toc517172470"/>
      <w:bookmarkStart w:id="1298" w:name="_Toc15452"/>
      <w:bookmarkStart w:id="1299" w:name="_Toc222032682"/>
      <w:r>
        <w:rPr>
          <w:color w:val="auto"/>
        </w:rPr>
        <w:t xml:space="preserve">12. </w:t>
      </w:r>
      <w:r>
        <w:rPr>
          <w:rFonts w:hint="eastAsia"/>
          <w:color w:val="auto"/>
        </w:rPr>
        <w:t>暂停施工</w:t>
      </w:r>
      <w:bookmarkEnd w:id="1290"/>
      <w:bookmarkEnd w:id="1291"/>
      <w:bookmarkEnd w:id="1292"/>
      <w:bookmarkEnd w:id="1293"/>
      <w:bookmarkEnd w:id="1294"/>
      <w:bookmarkEnd w:id="1295"/>
      <w:bookmarkEnd w:id="1296"/>
      <w:bookmarkEnd w:id="1297"/>
      <w:bookmarkEnd w:id="1298"/>
      <w:bookmarkEnd w:id="1299"/>
    </w:p>
    <w:p>
      <w:pPr>
        <w:keepNext/>
        <w:keepLines/>
        <w:spacing w:line="400" w:lineRule="exact"/>
        <w:outlineLvl w:val="3"/>
        <w:rPr>
          <w:rFonts w:hint="eastAsia" w:eastAsia="黑体"/>
          <w:color w:val="auto"/>
          <w:sz w:val="24"/>
          <w:szCs w:val="20"/>
        </w:rPr>
      </w:pPr>
      <w:bookmarkStart w:id="1300" w:name="_Toc517172471"/>
      <w:bookmarkStart w:id="1301" w:name="_Toc179632708"/>
      <w:bookmarkStart w:id="1302" w:name="_Toc14024"/>
      <w:bookmarkStart w:id="1303" w:name="_Toc152045690"/>
      <w:bookmarkStart w:id="1304" w:name="_Toc152042468"/>
      <w:bookmarkStart w:id="1305" w:name="_Toc144974659"/>
      <w:r>
        <w:rPr>
          <w:rFonts w:hint="eastAsia" w:eastAsia="黑体"/>
          <w:color w:val="auto"/>
          <w:sz w:val="24"/>
          <w:szCs w:val="20"/>
        </w:rPr>
        <w:t>12.1 承包人暂停施工的责任</w:t>
      </w:r>
      <w:bookmarkEnd w:id="1300"/>
      <w:bookmarkEnd w:id="1301"/>
      <w:bookmarkEnd w:id="1302"/>
      <w:bookmarkEnd w:id="1303"/>
      <w:bookmarkEnd w:id="1304"/>
      <w:bookmarkEnd w:id="1305"/>
    </w:p>
    <w:p>
      <w:pPr>
        <w:spacing w:line="400" w:lineRule="exact"/>
        <w:ind w:firstLine="420" w:firstLineChars="200"/>
        <w:rPr>
          <w:rFonts w:hint="eastAsia"/>
          <w:color w:val="auto"/>
        </w:rPr>
      </w:pPr>
      <w:r>
        <w:rPr>
          <w:rFonts w:hint="eastAsia"/>
          <w:color w:val="auto"/>
        </w:rPr>
        <w:t>因下列暂停施工增加的费用和（或）工期延误由承包人承担：</w:t>
      </w:r>
    </w:p>
    <w:p>
      <w:pPr>
        <w:spacing w:line="400" w:lineRule="exact"/>
        <w:ind w:firstLine="420" w:firstLineChars="200"/>
        <w:rPr>
          <w:rFonts w:hint="eastAsia"/>
          <w:color w:val="auto"/>
        </w:rPr>
      </w:pPr>
      <w:r>
        <w:rPr>
          <w:rFonts w:hint="eastAsia"/>
          <w:color w:val="auto"/>
        </w:rPr>
        <w:t>（1）承包人违约引起的暂停施工；</w:t>
      </w:r>
    </w:p>
    <w:p>
      <w:pPr>
        <w:spacing w:line="400" w:lineRule="exact"/>
        <w:ind w:firstLine="420" w:firstLineChars="200"/>
        <w:rPr>
          <w:rFonts w:hint="eastAsia"/>
          <w:color w:val="auto"/>
        </w:rPr>
      </w:pPr>
      <w:r>
        <w:rPr>
          <w:rFonts w:hint="eastAsia"/>
          <w:color w:val="auto"/>
        </w:rPr>
        <w:t>（2）由于承包人原因为工程合理施工和安全保障所必需的暂停施工；</w:t>
      </w:r>
    </w:p>
    <w:p>
      <w:pPr>
        <w:spacing w:line="400" w:lineRule="exact"/>
        <w:ind w:firstLine="420" w:firstLineChars="200"/>
        <w:rPr>
          <w:rFonts w:hint="eastAsia"/>
          <w:color w:val="auto"/>
        </w:rPr>
      </w:pPr>
      <w:r>
        <w:rPr>
          <w:rFonts w:hint="eastAsia"/>
          <w:color w:val="auto"/>
        </w:rPr>
        <w:t>（3）承包人擅自暂停施工；</w:t>
      </w:r>
    </w:p>
    <w:p>
      <w:pPr>
        <w:spacing w:line="400" w:lineRule="exact"/>
        <w:ind w:firstLine="420" w:firstLineChars="200"/>
        <w:rPr>
          <w:rFonts w:hint="eastAsia"/>
          <w:color w:val="auto"/>
        </w:rPr>
      </w:pPr>
      <w:r>
        <w:rPr>
          <w:rFonts w:hint="eastAsia"/>
          <w:color w:val="auto"/>
        </w:rPr>
        <w:t>（4）承包人其他原因引起的暂停施工；</w:t>
      </w:r>
    </w:p>
    <w:p>
      <w:pPr>
        <w:spacing w:line="400" w:lineRule="exact"/>
        <w:ind w:firstLine="420" w:firstLineChars="200"/>
        <w:rPr>
          <w:rFonts w:hint="eastAsia"/>
          <w:color w:val="auto"/>
        </w:rPr>
      </w:pPr>
      <w:r>
        <w:rPr>
          <w:rFonts w:hint="eastAsia"/>
          <w:color w:val="auto"/>
        </w:rPr>
        <w:t>（5）专用合同条款约定由承包人承担的其他暂停施工。</w:t>
      </w:r>
    </w:p>
    <w:p>
      <w:pPr>
        <w:keepNext/>
        <w:keepLines/>
        <w:spacing w:line="400" w:lineRule="exact"/>
        <w:outlineLvl w:val="3"/>
        <w:rPr>
          <w:rFonts w:hint="eastAsia" w:eastAsia="黑体"/>
          <w:color w:val="auto"/>
          <w:sz w:val="24"/>
          <w:szCs w:val="20"/>
        </w:rPr>
      </w:pPr>
      <w:bookmarkStart w:id="1306" w:name="_Toc517172472"/>
      <w:bookmarkStart w:id="1307" w:name="_Toc16629"/>
      <w:bookmarkStart w:id="1308" w:name="_Toc221950893"/>
      <w:r>
        <w:rPr>
          <w:rFonts w:hint="eastAsia" w:eastAsia="黑体"/>
          <w:color w:val="auto"/>
          <w:sz w:val="24"/>
          <w:szCs w:val="20"/>
        </w:rPr>
        <w:t>12.2 发包人暂停施工的责任</w:t>
      </w:r>
      <w:bookmarkEnd w:id="1306"/>
      <w:bookmarkEnd w:id="1307"/>
    </w:p>
    <w:p>
      <w:pPr>
        <w:spacing w:line="400" w:lineRule="exact"/>
        <w:ind w:firstLine="420" w:firstLineChars="200"/>
        <w:rPr>
          <w:rFonts w:hint="eastAsia"/>
          <w:color w:val="auto"/>
        </w:rPr>
      </w:pPr>
      <w:r>
        <w:rPr>
          <w:rFonts w:hint="eastAsia"/>
          <w:color w:val="auto"/>
        </w:rPr>
        <w:t>由于发包人原因引起的暂停施工造成工期延误的，承包人有权要求发包人延长工期和（或）增加费用，并支付合理利润。</w:t>
      </w:r>
    </w:p>
    <w:p>
      <w:pPr>
        <w:spacing w:line="400" w:lineRule="exact"/>
        <w:ind w:firstLine="420" w:firstLineChars="200"/>
        <w:rPr>
          <w:rFonts w:hint="eastAsia"/>
          <w:color w:val="auto"/>
        </w:rPr>
      </w:pPr>
      <w:r>
        <w:rPr>
          <w:rFonts w:hint="eastAsia"/>
          <w:color w:val="auto"/>
        </w:rPr>
        <w:t>属于下列任何一种情况引起的暂停施工，均为发包人的责任：</w:t>
      </w:r>
      <w:bookmarkEnd w:id="1308"/>
    </w:p>
    <w:p>
      <w:pPr>
        <w:spacing w:line="400" w:lineRule="exact"/>
        <w:ind w:firstLine="420" w:firstLineChars="200"/>
        <w:rPr>
          <w:rFonts w:hint="eastAsia"/>
          <w:color w:val="auto"/>
        </w:rPr>
      </w:pPr>
      <w:bookmarkStart w:id="1309" w:name="_Toc221950894"/>
      <w:r>
        <w:rPr>
          <w:rFonts w:hint="eastAsia"/>
          <w:color w:val="auto"/>
        </w:rPr>
        <w:t>(1)由于发包人违约引起的暂停施工。</w:t>
      </w:r>
      <w:bookmarkEnd w:id="1309"/>
    </w:p>
    <w:p>
      <w:pPr>
        <w:spacing w:line="400" w:lineRule="exact"/>
        <w:ind w:firstLine="420" w:firstLineChars="200"/>
        <w:rPr>
          <w:rFonts w:hint="eastAsia"/>
          <w:color w:val="auto"/>
        </w:rPr>
      </w:pPr>
      <w:bookmarkStart w:id="1310" w:name="_Toc221950895"/>
      <w:r>
        <w:rPr>
          <w:rFonts w:hint="eastAsia"/>
          <w:color w:val="auto"/>
        </w:rPr>
        <w:t>(2)由于不可抗力的自然或社会因素引起的暂停施工。</w:t>
      </w:r>
      <w:bookmarkEnd w:id="1310"/>
    </w:p>
    <w:p>
      <w:pPr>
        <w:spacing w:line="400" w:lineRule="exact"/>
        <w:ind w:firstLine="420" w:firstLineChars="200"/>
        <w:rPr>
          <w:rFonts w:hint="eastAsia"/>
          <w:color w:val="auto"/>
        </w:rPr>
      </w:pPr>
      <w:bookmarkStart w:id="1311" w:name="_Toc221950896"/>
      <w:r>
        <w:rPr>
          <w:rFonts w:hint="eastAsia"/>
          <w:color w:val="auto"/>
        </w:rPr>
        <w:t>(3)专用合同条款中约定的其它由于发包人原因引起的暂停施工。</w:t>
      </w:r>
      <w:bookmarkEnd w:id="1311"/>
    </w:p>
    <w:p>
      <w:pPr>
        <w:keepNext/>
        <w:keepLines/>
        <w:spacing w:line="400" w:lineRule="exact"/>
        <w:outlineLvl w:val="3"/>
        <w:rPr>
          <w:rFonts w:hint="eastAsia" w:eastAsia="黑体"/>
          <w:color w:val="auto"/>
          <w:sz w:val="24"/>
          <w:szCs w:val="20"/>
        </w:rPr>
      </w:pPr>
      <w:bookmarkStart w:id="1312" w:name="_Toc144974661"/>
      <w:bookmarkStart w:id="1313" w:name="_Toc152042470"/>
      <w:bookmarkStart w:id="1314" w:name="_Toc152045692"/>
      <w:bookmarkStart w:id="1315" w:name="_Toc517172473"/>
      <w:bookmarkStart w:id="1316" w:name="_Toc30923"/>
      <w:bookmarkStart w:id="1317" w:name="_Toc179632710"/>
      <w:r>
        <w:rPr>
          <w:rFonts w:hint="eastAsia" w:eastAsia="黑体"/>
          <w:color w:val="auto"/>
          <w:sz w:val="24"/>
          <w:szCs w:val="20"/>
        </w:rPr>
        <w:t>12.3 监理人暂停施工指示</w:t>
      </w:r>
      <w:bookmarkEnd w:id="1312"/>
      <w:bookmarkEnd w:id="1313"/>
      <w:bookmarkEnd w:id="1314"/>
      <w:bookmarkEnd w:id="1315"/>
      <w:bookmarkEnd w:id="1316"/>
      <w:bookmarkEnd w:id="1317"/>
    </w:p>
    <w:p>
      <w:pPr>
        <w:spacing w:line="400" w:lineRule="exact"/>
        <w:ind w:firstLine="420" w:firstLineChars="200"/>
        <w:rPr>
          <w:rFonts w:hint="eastAsia"/>
          <w:color w:val="auto"/>
        </w:rPr>
      </w:pPr>
      <w:r>
        <w:rPr>
          <w:rFonts w:hint="eastAsia"/>
          <w:color w:val="auto"/>
        </w:rPr>
        <w:t>12.3.1 监理人认为有必要时，可向承包人作出暂停施工的指示，承包人应按监理人指示暂停施工。不论由于何种原因引起的暂停施工，暂停施工期间承包人应负责妥善保护工程并提供安全保障。</w:t>
      </w:r>
    </w:p>
    <w:p>
      <w:pPr>
        <w:spacing w:line="400" w:lineRule="exact"/>
        <w:ind w:firstLine="420" w:firstLineChars="200"/>
        <w:rPr>
          <w:rFonts w:hint="eastAsia"/>
          <w:color w:val="auto"/>
        </w:rPr>
      </w:pPr>
      <w:r>
        <w:rPr>
          <w:rFonts w:hint="eastAsia"/>
          <w:color w:val="auto"/>
        </w:rPr>
        <w:t>12.3.2 由于发包人的原因发生暂停施工的紧急情况，且监理人未及时下达暂停施工指示的，承包人可先暂停施工，并及时向监理人提出暂停施工的书面请求。监理人应在接到书面请求后的24小时内予以答复，逾期未答复的，视为同意承包人的暂停施工请求。</w:t>
      </w:r>
    </w:p>
    <w:p>
      <w:pPr>
        <w:keepNext/>
        <w:keepLines/>
        <w:spacing w:line="400" w:lineRule="exact"/>
        <w:outlineLvl w:val="3"/>
        <w:rPr>
          <w:rFonts w:hint="eastAsia" w:eastAsia="黑体"/>
          <w:color w:val="auto"/>
          <w:sz w:val="24"/>
          <w:szCs w:val="20"/>
        </w:rPr>
      </w:pPr>
      <w:bookmarkStart w:id="1318" w:name="_Toc144974662"/>
      <w:bookmarkStart w:id="1319" w:name="_Toc152042471"/>
      <w:bookmarkStart w:id="1320" w:name="_Toc152045693"/>
      <w:bookmarkStart w:id="1321" w:name="_Toc179632711"/>
      <w:bookmarkStart w:id="1322" w:name="_Toc517172474"/>
      <w:bookmarkStart w:id="1323" w:name="_Toc17954"/>
      <w:r>
        <w:rPr>
          <w:rFonts w:hint="eastAsia" w:eastAsia="黑体"/>
          <w:color w:val="auto"/>
          <w:sz w:val="24"/>
          <w:szCs w:val="20"/>
        </w:rPr>
        <w:t>12.4 暂停施工后的复工</w:t>
      </w:r>
      <w:bookmarkEnd w:id="1318"/>
      <w:bookmarkEnd w:id="1319"/>
      <w:bookmarkEnd w:id="1320"/>
      <w:bookmarkEnd w:id="1321"/>
      <w:bookmarkEnd w:id="1322"/>
      <w:bookmarkEnd w:id="1323"/>
    </w:p>
    <w:p>
      <w:pPr>
        <w:spacing w:line="400" w:lineRule="exact"/>
        <w:ind w:firstLine="420" w:firstLineChars="200"/>
        <w:rPr>
          <w:rFonts w:hint="eastAsia"/>
          <w:color w:val="auto"/>
        </w:rPr>
      </w:pPr>
      <w:r>
        <w:rPr>
          <w:rFonts w:hint="eastAsia"/>
          <w:color w:val="auto"/>
        </w:rPr>
        <w:t>12.4.1 暂停施工后，监理人应与发包人和承包人协商，采取有效措施积极消除暂停施工的影响。当工程具备复工条件时，监理人应立即向承包人发出复工通知。承包人收到复工通知后，应在监理人指定的期限内复工。</w:t>
      </w:r>
    </w:p>
    <w:p>
      <w:pPr>
        <w:spacing w:line="400" w:lineRule="exact"/>
        <w:ind w:firstLine="420" w:firstLineChars="200"/>
        <w:rPr>
          <w:rFonts w:hint="eastAsia"/>
          <w:color w:val="auto"/>
        </w:rPr>
      </w:pPr>
      <w:r>
        <w:rPr>
          <w:rFonts w:hint="eastAsia"/>
          <w:color w:val="auto"/>
        </w:rPr>
        <w:t>12.4.2 承包人无故拖延和拒绝复工的，由此增加的费用和工期延误由承包人承担；因发包人原因无法按时复工的，承包人有权要求发包人延长工期和（或）增加费用，并支付合理利润。</w:t>
      </w:r>
    </w:p>
    <w:p>
      <w:pPr>
        <w:keepNext/>
        <w:keepLines/>
        <w:spacing w:line="400" w:lineRule="exact"/>
        <w:outlineLvl w:val="3"/>
        <w:rPr>
          <w:rFonts w:hint="eastAsia" w:eastAsia="黑体"/>
          <w:color w:val="auto"/>
          <w:sz w:val="24"/>
          <w:szCs w:val="20"/>
        </w:rPr>
      </w:pPr>
      <w:bookmarkStart w:id="1324" w:name="_Toc152045694"/>
      <w:bookmarkStart w:id="1325" w:name="_Toc144974663"/>
      <w:bookmarkStart w:id="1326" w:name="_Toc152042472"/>
      <w:bookmarkStart w:id="1327" w:name="_Toc517172475"/>
      <w:bookmarkStart w:id="1328" w:name="_Toc22469"/>
      <w:bookmarkStart w:id="1329" w:name="_Toc179632712"/>
      <w:r>
        <w:rPr>
          <w:rFonts w:hint="eastAsia" w:eastAsia="黑体"/>
          <w:color w:val="auto"/>
          <w:sz w:val="24"/>
          <w:szCs w:val="20"/>
        </w:rPr>
        <w:t xml:space="preserve">12.5 </w:t>
      </w:r>
      <w:r>
        <w:rPr>
          <w:rFonts w:eastAsia="黑体"/>
          <w:color w:val="auto"/>
          <w:sz w:val="24"/>
          <w:szCs w:val="20"/>
        </w:rPr>
        <w:t>暂停施工</w:t>
      </w:r>
      <w:r>
        <w:rPr>
          <w:rFonts w:hint="eastAsia" w:eastAsia="黑体"/>
          <w:color w:val="auto"/>
          <w:sz w:val="24"/>
          <w:szCs w:val="20"/>
        </w:rPr>
        <w:t>持续56天以上</w:t>
      </w:r>
      <w:bookmarkEnd w:id="1324"/>
      <w:bookmarkEnd w:id="1325"/>
      <w:bookmarkEnd w:id="1326"/>
      <w:bookmarkEnd w:id="1327"/>
      <w:bookmarkEnd w:id="1328"/>
      <w:bookmarkEnd w:id="1329"/>
    </w:p>
    <w:p>
      <w:pPr>
        <w:spacing w:line="400" w:lineRule="exact"/>
        <w:ind w:firstLine="411" w:firstLineChars="196"/>
        <w:rPr>
          <w:rFonts w:hint="eastAsia"/>
          <w:color w:val="auto"/>
        </w:rPr>
      </w:pPr>
      <w:r>
        <w:rPr>
          <w:rFonts w:hint="eastAsia"/>
          <w:color w:val="auto"/>
        </w:rPr>
        <w:t xml:space="preserve">12.5.1 </w:t>
      </w:r>
      <w:r>
        <w:rPr>
          <w:color w:val="auto"/>
        </w:rPr>
        <w:t>监理人</w:t>
      </w:r>
      <w:r>
        <w:rPr>
          <w:rFonts w:hint="eastAsia"/>
          <w:color w:val="auto"/>
        </w:rPr>
        <w:t>发出</w:t>
      </w:r>
      <w:r>
        <w:rPr>
          <w:color w:val="auto"/>
        </w:rPr>
        <w:t>暂停施工指示</w:t>
      </w:r>
      <w:r>
        <w:rPr>
          <w:rFonts w:hint="eastAsia"/>
          <w:color w:val="auto"/>
        </w:rPr>
        <w:t>后56天内未向</w:t>
      </w:r>
      <w:r>
        <w:rPr>
          <w:color w:val="auto"/>
        </w:rPr>
        <w:t>承包人</w:t>
      </w:r>
      <w:r>
        <w:rPr>
          <w:rFonts w:hint="eastAsia"/>
          <w:color w:val="auto"/>
        </w:rPr>
        <w:t>发出复工通知，除了该项停工属于第12.1款的情况外，</w:t>
      </w:r>
      <w:r>
        <w:rPr>
          <w:color w:val="auto"/>
        </w:rPr>
        <w:t>承包人</w:t>
      </w:r>
      <w:r>
        <w:rPr>
          <w:rFonts w:hint="eastAsia"/>
          <w:color w:val="auto"/>
        </w:rPr>
        <w:t>可向</w:t>
      </w:r>
      <w:r>
        <w:rPr>
          <w:color w:val="auto"/>
        </w:rPr>
        <w:t>监理人</w:t>
      </w:r>
      <w:r>
        <w:rPr>
          <w:rFonts w:hint="eastAsia"/>
          <w:color w:val="auto"/>
        </w:rPr>
        <w:t>提交书面通知，要求</w:t>
      </w:r>
      <w:r>
        <w:rPr>
          <w:color w:val="auto"/>
        </w:rPr>
        <w:t>监理人</w:t>
      </w:r>
      <w:r>
        <w:rPr>
          <w:rFonts w:hint="eastAsia"/>
          <w:color w:val="auto"/>
        </w:rPr>
        <w:t>在收到书面通知后28天内准许已</w:t>
      </w:r>
      <w:r>
        <w:rPr>
          <w:color w:val="auto"/>
        </w:rPr>
        <w:t>暂停施工</w:t>
      </w:r>
      <w:r>
        <w:rPr>
          <w:rFonts w:hint="eastAsia"/>
          <w:color w:val="auto"/>
        </w:rPr>
        <w:t>的工程或其中一部分工程继续施工。如</w:t>
      </w:r>
      <w:r>
        <w:rPr>
          <w:color w:val="auto"/>
        </w:rPr>
        <w:t>监理人</w:t>
      </w:r>
      <w:r>
        <w:rPr>
          <w:rFonts w:hint="eastAsia"/>
          <w:color w:val="auto"/>
        </w:rPr>
        <w:t>逾期不予批准，则承包人可以通知</w:t>
      </w:r>
      <w:r>
        <w:rPr>
          <w:color w:val="auto"/>
        </w:rPr>
        <w:t>监理人</w:t>
      </w:r>
      <w:r>
        <w:rPr>
          <w:rFonts w:hint="eastAsia"/>
          <w:color w:val="auto"/>
        </w:rPr>
        <w:t>，将工程受影响的部分视为按第15.1（1）项的可取消工作。如</w:t>
      </w:r>
      <w:r>
        <w:rPr>
          <w:color w:val="auto"/>
        </w:rPr>
        <w:t>暂停施工</w:t>
      </w:r>
      <w:r>
        <w:rPr>
          <w:rFonts w:hint="eastAsia"/>
          <w:color w:val="auto"/>
        </w:rPr>
        <w:t>影响到整个工程，可视为发包人违约，应按第22.2款的约定办理。</w:t>
      </w:r>
    </w:p>
    <w:p>
      <w:pPr>
        <w:spacing w:line="400" w:lineRule="exact"/>
        <w:ind w:firstLine="420" w:firstLineChars="200"/>
        <w:rPr>
          <w:rFonts w:hint="eastAsia"/>
          <w:color w:val="auto"/>
        </w:rPr>
      </w:pPr>
      <w:r>
        <w:rPr>
          <w:rFonts w:hint="eastAsia"/>
          <w:color w:val="auto"/>
        </w:rPr>
        <w:t>12.5.2 由于</w:t>
      </w:r>
      <w:r>
        <w:rPr>
          <w:color w:val="auto"/>
        </w:rPr>
        <w:t>承包人</w:t>
      </w:r>
      <w:r>
        <w:rPr>
          <w:rFonts w:hint="eastAsia"/>
          <w:color w:val="auto"/>
        </w:rPr>
        <w:t>责任引起的</w:t>
      </w:r>
      <w:r>
        <w:rPr>
          <w:color w:val="auto"/>
        </w:rPr>
        <w:t>暂停施工</w:t>
      </w:r>
      <w:r>
        <w:rPr>
          <w:rFonts w:hint="eastAsia"/>
          <w:color w:val="auto"/>
        </w:rPr>
        <w:t>，如</w:t>
      </w:r>
      <w:r>
        <w:rPr>
          <w:color w:val="auto"/>
        </w:rPr>
        <w:t>承包人</w:t>
      </w:r>
      <w:r>
        <w:rPr>
          <w:rFonts w:hint="eastAsia"/>
          <w:color w:val="auto"/>
        </w:rPr>
        <w:t>在收到</w:t>
      </w:r>
      <w:r>
        <w:rPr>
          <w:color w:val="auto"/>
        </w:rPr>
        <w:t>监理人暂停施工指示</w:t>
      </w:r>
      <w:r>
        <w:rPr>
          <w:rFonts w:hint="eastAsia"/>
          <w:color w:val="auto"/>
        </w:rPr>
        <w:t>后56天内不认真采取有效的复工措施，造成工期延误，可视为</w:t>
      </w:r>
      <w:r>
        <w:rPr>
          <w:color w:val="auto"/>
        </w:rPr>
        <w:t>承包人</w:t>
      </w:r>
      <w:r>
        <w:rPr>
          <w:rFonts w:hint="eastAsia"/>
          <w:color w:val="auto"/>
        </w:rPr>
        <w:t>违约，应按第22.1款的约定办理。</w:t>
      </w:r>
    </w:p>
    <w:p>
      <w:pPr>
        <w:pStyle w:val="80"/>
        <w:spacing w:before="120" w:after="120" w:afterLines="50"/>
        <w:outlineLvl w:val="2"/>
        <w:rPr>
          <w:color w:val="auto"/>
        </w:rPr>
      </w:pPr>
      <w:bookmarkStart w:id="1330" w:name="_Toc222032683"/>
      <w:bookmarkStart w:id="1331" w:name="_Toc221950903"/>
      <w:bookmarkStart w:id="1332" w:name="_Toc222029514"/>
      <w:bookmarkStart w:id="1333" w:name="_Toc222031016"/>
      <w:bookmarkStart w:id="1334" w:name="_Toc222033865"/>
      <w:bookmarkStart w:id="1335" w:name="_Toc229305374"/>
      <w:bookmarkStart w:id="1336" w:name="_Toc387753596"/>
      <w:bookmarkStart w:id="1337" w:name="_Toc491089741"/>
      <w:bookmarkStart w:id="1338" w:name="_Toc27990"/>
      <w:bookmarkStart w:id="1339" w:name="_Toc517172476"/>
      <w:r>
        <w:rPr>
          <w:color w:val="auto"/>
        </w:rPr>
        <w:t xml:space="preserve">13. </w:t>
      </w:r>
      <w:r>
        <w:rPr>
          <w:rFonts w:hint="eastAsia"/>
          <w:color w:val="auto"/>
        </w:rPr>
        <w:t>工程质量</w:t>
      </w:r>
      <w:bookmarkEnd w:id="1330"/>
      <w:bookmarkEnd w:id="1331"/>
      <w:bookmarkEnd w:id="1332"/>
      <w:bookmarkEnd w:id="1333"/>
      <w:bookmarkEnd w:id="1334"/>
      <w:bookmarkEnd w:id="1335"/>
      <w:bookmarkEnd w:id="1336"/>
      <w:bookmarkEnd w:id="1337"/>
      <w:bookmarkEnd w:id="1338"/>
      <w:bookmarkEnd w:id="1339"/>
    </w:p>
    <w:p>
      <w:pPr>
        <w:keepNext/>
        <w:keepLines/>
        <w:spacing w:line="400" w:lineRule="exact"/>
        <w:outlineLvl w:val="3"/>
        <w:rPr>
          <w:rFonts w:hint="eastAsia" w:eastAsia="黑体"/>
          <w:color w:val="auto"/>
          <w:sz w:val="24"/>
          <w:szCs w:val="20"/>
        </w:rPr>
      </w:pPr>
      <w:bookmarkStart w:id="1340" w:name="_Toc26339"/>
      <w:bookmarkStart w:id="1341" w:name="_Toc517172477"/>
      <w:bookmarkStart w:id="1342" w:name="_Toc179632714"/>
      <w:bookmarkStart w:id="1343" w:name="_Toc152045696"/>
      <w:bookmarkStart w:id="1344" w:name="_Toc152042474"/>
      <w:bookmarkStart w:id="1345" w:name="_Toc144974665"/>
      <w:bookmarkStart w:id="1346" w:name="_Toc229305375"/>
      <w:bookmarkStart w:id="1347" w:name="_Toc221950917"/>
      <w:bookmarkStart w:id="1348" w:name="_Toc222031017"/>
      <w:bookmarkStart w:id="1349" w:name="_Toc222029515"/>
      <w:bookmarkStart w:id="1350" w:name="_Toc222033866"/>
      <w:bookmarkStart w:id="1351" w:name="_Toc222032684"/>
      <w:r>
        <w:rPr>
          <w:rFonts w:hint="eastAsia" w:eastAsia="黑体"/>
          <w:color w:val="auto"/>
          <w:sz w:val="24"/>
          <w:szCs w:val="20"/>
        </w:rPr>
        <w:t>13.1 工程质量要求</w:t>
      </w:r>
      <w:bookmarkEnd w:id="1340"/>
      <w:bookmarkEnd w:id="1341"/>
      <w:bookmarkEnd w:id="1342"/>
      <w:bookmarkEnd w:id="1343"/>
      <w:bookmarkEnd w:id="1344"/>
      <w:bookmarkEnd w:id="1345"/>
    </w:p>
    <w:p>
      <w:pPr>
        <w:spacing w:line="400" w:lineRule="exact"/>
        <w:ind w:firstLine="420" w:firstLineChars="200"/>
        <w:rPr>
          <w:rFonts w:hint="eastAsia"/>
          <w:color w:val="auto"/>
        </w:rPr>
      </w:pPr>
      <w:r>
        <w:rPr>
          <w:rFonts w:hint="eastAsia"/>
          <w:color w:val="auto"/>
        </w:rPr>
        <w:t>13.1.1 工程质量验收按合同约定验收标准执行。</w:t>
      </w:r>
    </w:p>
    <w:p>
      <w:pPr>
        <w:spacing w:line="400" w:lineRule="exact"/>
        <w:ind w:firstLine="420" w:firstLineChars="200"/>
        <w:rPr>
          <w:rFonts w:hint="eastAsia"/>
          <w:color w:val="auto"/>
        </w:rPr>
      </w:pPr>
      <w:r>
        <w:rPr>
          <w:rFonts w:hint="eastAsia"/>
          <w:color w:val="auto"/>
        </w:rPr>
        <w:t>13.1.2 因承包人原因造成工程质量达不到合同约定验收标准的，监理人有权要求承包人返工直至符合合同要求为止，由此造成的费用增加和（或）工期延误由承包人承担。</w:t>
      </w:r>
    </w:p>
    <w:p>
      <w:pPr>
        <w:spacing w:line="400" w:lineRule="exact"/>
        <w:ind w:firstLine="420" w:firstLineChars="200"/>
        <w:rPr>
          <w:rFonts w:hint="eastAsia"/>
          <w:color w:val="auto"/>
        </w:rPr>
      </w:pPr>
      <w:r>
        <w:rPr>
          <w:rFonts w:hint="eastAsia"/>
          <w:color w:val="auto"/>
        </w:rPr>
        <w:t>13.1.3 因发包人原因造成工程质量达不到合同约定验收标准的，发包人应承担由于承包人返工造成的费用增加和（或）工期延误，并支付承包人合理利润。</w:t>
      </w:r>
    </w:p>
    <w:p>
      <w:pPr>
        <w:keepNext/>
        <w:keepLines/>
        <w:spacing w:line="400" w:lineRule="exact"/>
        <w:outlineLvl w:val="3"/>
        <w:rPr>
          <w:rFonts w:hint="eastAsia" w:eastAsia="黑体"/>
          <w:color w:val="auto"/>
          <w:sz w:val="24"/>
          <w:szCs w:val="20"/>
        </w:rPr>
      </w:pPr>
      <w:bookmarkStart w:id="1352" w:name="_Toc179632715"/>
      <w:bookmarkStart w:id="1353" w:name="_Toc152045697"/>
      <w:bookmarkStart w:id="1354" w:name="_Toc144974666"/>
      <w:bookmarkStart w:id="1355" w:name="_Toc152042475"/>
      <w:bookmarkStart w:id="1356" w:name="_Toc517172478"/>
      <w:bookmarkStart w:id="1357" w:name="_Toc15982"/>
      <w:r>
        <w:rPr>
          <w:rFonts w:hint="eastAsia" w:eastAsia="黑体"/>
          <w:color w:val="auto"/>
          <w:sz w:val="24"/>
          <w:szCs w:val="20"/>
        </w:rPr>
        <w:t>13.2 承包人的质量管理</w:t>
      </w:r>
      <w:bookmarkEnd w:id="1352"/>
      <w:bookmarkEnd w:id="1353"/>
      <w:bookmarkEnd w:id="1354"/>
      <w:bookmarkEnd w:id="1355"/>
      <w:bookmarkEnd w:id="1356"/>
      <w:bookmarkEnd w:id="1357"/>
    </w:p>
    <w:p>
      <w:pPr>
        <w:spacing w:line="400" w:lineRule="exact"/>
        <w:ind w:firstLine="420" w:firstLineChars="200"/>
        <w:rPr>
          <w:rFonts w:hint="eastAsia"/>
          <w:color w:val="auto"/>
        </w:rPr>
      </w:pPr>
      <w:r>
        <w:rPr>
          <w:rFonts w:hint="eastAsia"/>
          <w:color w:val="auto"/>
        </w:rPr>
        <w:t>13.2.1 承包人应在施工场地设置专门的质量检查机构，配备专职质量检查人员，建立完善的质量检查制度。承包人应按技术标准和要求（合同技术条款）约定的内容和期限，编制工程质量保证措施文件，包括质量检查机构的组织和岗位责任、质量检查人员的组成、质量检查程序和实施细则等，提交监理人监批。监理人应在技术标准和要求（合同技术条款）约定期限内批复承包人。</w:t>
      </w:r>
    </w:p>
    <w:p>
      <w:pPr>
        <w:spacing w:line="400" w:lineRule="exact"/>
        <w:ind w:firstLine="420" w:firstLineChars="200"/>
        <w:rPr>
          <w:rFonts w:hint="eastAsia"/>
          <w:color w:val="auto"/>
        </w:rPr>
      </w:pPr>
      <w:r>
        <w:rPr>
          <w:rFonts w:hint="eastAsia"/>
          <w:color w:val="auto"/>
        </w:rPr>
        <w:t>13.2.2 承包人应加强对施工人员的质量教育和技术培训，定期考核施工人员的劳动技能，严格执行规范和操作规程。</w:t>
      </w:r>
    </w:p>
    <w:p>
      <w:pPr>
        <w:keepNext/>
        <w:keepLines/>
        <w:spacing w:line="400" w:lineRule="exact"/>
        <w:outlineLvl w:val="3"/>
        <w:rPr>
          <w:rFonts w:hint="eastAsia" w:eastAsia="黑体"/>
          <w:color w:val="auto"/>
          <w:sz w:val="24"/>
          <w:szCs w:val="20"/>
        </w:rPr>
      </w:pPr>
      <w:bookmarkStart w:id="1358" w:name="_Toc152042476"/>
      <w:bookmarkStart w:id="1359" w:name="_Toc21100"/>
      <w:bookmarkStart w:id="1360" w:name="_Toc517172479"/>
      <w:bookmarkStart w:id="1361" w:name="_Toc152045698"/>
      <w:bookmarkStart w:id="1362" w:name="_Toc144974667"/>
      <w:bookmarkStart w:id="1363" w:name="_Toc179632716"/>
      <w:r>
        <w:rPr>
          <w:rFonts w:hint="eastAsia" w:eastAsia="黑体"/>
          <w:color w:val="auto"/>
          <w:sz w:val="24"/>
          <w:szCs w:val="20"/>
        </w:rPr>
        <w:t>13.3 承包人的质量检查</w:t>
      </w:r>
      <w:bookmarkEnd w:id="1358"/>
      <w:bookmarkEnd w:id="1359"/>
      <w:bookmarkEnd w:id="1360"/>
      <w:bookmarkEnd w:id="1361"/>
      <w:bookmarkEnd w:id="1362"/>
      <w:bookmarkEnd w:id="1363"/>
    </w:p>
    <w:p>
      <w:pPr>
        <w:spacing w:line="400" w:lineRule="exact"/>
        <w:ind w:firstLine="420" w:firstLineChars="200"/>
        <w:rPr>
          <w:rFonts w:hint="eastAsia"/>
          <w:color w:val="auto"/>
        </w:rPr>
      </w:pPr>
      <w:r>
        <w:rPr>
          <w:rFonts w:hint="eastAsia"/>
          <w:color w:val="auto"/>
        </w:rPr>
        <w:t>承包人应按合同约定对材料、工程设备以及工程的所有部位及其施工工艺进行全过程的质量检查和检验，并作详细记录，编制工程质量报表，报送监理人审查。</w:t>
      </w:r>
    </w:p>
    <w:p>
      <w:pPr>
        <w:keepNext/>
        <w:keepLines/>
        <w:spacing w:line="400" w:lineRule="exact"/>
        <w:outlineLvl w:val="3"/>
        <w:rPr>
          <w:rFonts w:hint="eastAsia" w:eastAsia="黑体"/>
          <w:color w:val="auto"/>
          <w:sz w:val="24"/>
          <w:szCs w:val="20"/>
        </w:rPr>
      </w:pPr>
      <w:bookmarkStart w:id="1364" w:name="_Toc517172480"/>
      <w:bookmarkStart w:id="1365" w:name="_Toc152042477"/>
      <w:bookmarkStart w:id="1366" w:name="_Toc144974668"/>
      <w:bookmarkStart w:id="1367" w:name="_Toc179632717"/>
      <w:bookmarkStart w:id="1368" w:name="_Toc20737"/>
      <w:bookmarkStart w:id="1369" w:name="_Toc152045699"/>
      <w:r>
        <w:rPr>
          <w:rFonts w:hint="eastAsia" w:eastAsia="黑体"/>
          <w:color w:val="auto"/>
          <w:sz w:val="24"/>
          <w:szCs w:val="20"/>
        </w:rPr>
        <w:t>13.4 监理人的质量检查</w:t>
      </w:r>
      <w:bookmarkEnd w:id="1364"/>
      <w:bookmarkEnd w:id="1365"/>
      <w:bookmarkEnd w:id="1366"/>
      <w:bookmarkEnd w:id="1367"/>
      <w:bookmarkEnd w:id="1368"/>
      <w:bookmarkEnd w:id="1369"/>
    </w:p>
    <w:p>
      <w:pPr>
        <w:spacing w:line="400" w:lineRule="exact"/>
        <w:ind w:firstLine="420" w:firstLineChars="200"/>
        <w:rPr>
          <w:rFonts w:hint="eastAsia"/>
          <w:color w:val="auto"/>
        </w:rPr>
      </w:pPr>
      <w:r>
        <w:rPr>
          <w:rFonts w:hint="eastAsia"/>
          <w:color w:val="auto"/>
        </w:rPr>
        <w:t>监理人有权对工程的所有部位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pPr>
        <w:keepNext/>
        <w:keepLines/>
        <w:spacing w:line="400" w:lineRule="exact"/>
        <w:outlineLvl w:val="3"/>
        <w:rPr>
          <w:rFonts w:hint="eastAsia" w:eastAsia="黑体"/>
          <w:color w:val="auto"/>
          <w:sz w:val="24"/>
          <w:szCs w:val="20"/>
        </w:rPr>
      </w:pPr>
      <w:bookmarkStart w:id="1370" w:name="_Toc152045700"/>
      <w:bookmarkStart w:id="1371" w:name="_Toc144974669"/>
      <w:bookmarkStart w:id="1372" w:name="_Toc152042478"/>
      <w:bookmarkStart w:id="1373" w:name="_Toc517172481"/>
      <w:bookmarkStart w:id="1374" w:name="_Toc17986"/>
      <w:bookmarkStart w:id="1375" w:name="_Toc179632718"/>
      <w:r>
        <w:rPr>
          <w:rFonts w:hint="eastAsia" w:eastAsia="黑体"/>
          <w:color w:val="auto"/>
          <w:sz w:val="24"/>
          <w:szCs w:val="20"/>
        </w:rPr>
        <w:t>13.5 工程隐蔽部位覆盖前的检查</w:t>
      </w:r>
      <w:bookmarkEnd w:id="1370"/>
      <w:bookmarkEnd w:id="1371"/>
      <w:bookmarkEnd w:id="1372"/>
      <w:bookmarkEnd w:id="1373"/>
      <w:bookmarkEnd w:id="1374"/>
      <w:bookmarkEnd w:id="1375"/>
    </w:p>
    <w:p>
      <w:pPr>
        <w:spacing w:line="400" w:lineRule="exact"/>
        <w:ind w:firstLine="420" w:firstLineChars="200"/>
        <w:rPr>
          <w:rFonts w:hint="eastAsia"/>
          <w:color w:val="auto"/>
        </w:rPr>
      </w:pPr>
      <w:r>
        <w:rPr>
          <w:rFonts w:hint="eastAsia"/>
          <w:color w:val="auto"/>
        </w:rPr>
        <w:t xml:space="preserve">13.5.1 </w:t>
      </w:r>
      <w:r>
        <w:rPr>
          <w:rFonts w:hint="eastAsia" w:ascii="黑体" w:eastAsia="黑体"/>
          <w:color w:val="auto"/>
        </w:rPr>
        <w:t>通知监理人检查</w:t>
      </w:r>
    </w:p>
    <w:p>
      <w:pPr>
        <w:spacing w:line="400" w:lineRule="exact"/>
        <w:ind w:firstLine="420" w:firstLineChars="200"/>
        <w:rPr>
          <w:rFonts w:hint="eastAsia"/>
          <w:color w:val="auto"/>
        </w:rPr>
      </w:pPr>
      <w:r>
        <w:rPr>
          <w:rFonts w:hint="eastAsia"/>
          <w:color w:val="auto"/>
        </w:rPr>
        <w:t>经承包人自检确认的工程隐蔽部位具备覆盖条件后，承包人应通知监理人在约定的期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pPr>
        <w:spacing w:line="400" w:lineRule="exact"/>
        <w:ind w:firstLine="420" w:firstLineChars="200"/>
        <w:rPr>
          <w:rFonts w:hint="eastAsia"/>
          <w:color w:val="auto"/>
        </w:rPr>
      </w:pPr>
      <w:r>
        <w:rPr>
          <w:rFonts w:hint="eastAsia"/>
          <w:color w:val="auto"/>
        </w:rPr>
        <w:t xml:space="preserve">13.5.2 </w:t>
      </w:r>
      <w:r>
        <w:rPr>
          <w:rFonts w:hint="eastAsia" w:ascii="黑体" w:eastAsia="黑体"/>
          <w:color w:val="auto"/>
        </w:rPr>
        <w:t>监理人未到场检查</w:t>
      </w:r>
    </w:p>
    <w:p>
      <w:pPr>
        <w:spacing w:line="400" w:lineRule="exact"/>
        <w:ind w:firstLine="420" w:firstLineChars="200"/>
        <w:rPr>
          <w:rFonts w:hint="eastAsia"/>
          <w:color w:val="auto"/>
        </w:rPr>
      </w:pPr>
      <w:r>
        <w:rPr>
          <w:rFonts w:hint="eastAsia"/>
          <w:color w:val="auto"/>
        </w:rPr>
        <w:t>监理人未按第13.5.1项约定的时间进行检查的，除监理人另有指示外，承包人可自行完成覆盖工作，并作相应记录报送监理人，监理人应签字确认。监理人事后对检查记录有疑问的，可按第13.5.3项的约定重新检查。</w:t>
      </w:r>
    </w:p>
    <w:p>
      <w:pPr>
        <w:spacing w:line="400" w:lineRule="exact"/>
        <w:ind w:firstLine="420" w:firstLineChars="200"/>
        <w:rPr>
          <w:rFonts w:hint="eastAsia"/>
          <w:color w:val="auto"/>
        </w:rPr>
      </w:pPr>
      <w:r>
        <w:rPr>
          <w:rFonts w:hint="eastAsia"/>
          <w:color w:val="auto"/>
        </w:rPr>
        <w:t xml:space="preserve">13.5.3 </w:t>
      </w:r>
      <w:r>
        <w:rPr>
          <w:rFonts w:hint="eastAsia" w:ascii="黑体" w:eastAsia="黑体"/>
          <w:color w:val="auto"/>
        </w:rPr>
        <w:t>监理人重新检查</w:t>
      </w:r>
    </w:p>
    <w:p>
      <w:pPr>
        <w:spacing w:line="400" w:lineRule="exact"/>
        <w:ind w:firstLine="420" w:firstLineChars="200"/>
        <w:rPr>
          <w:rFonts w:hint="eastAsia"/>
          <w:color w:val="auto"/>
        </w:rPr>
      </w:pPr>
      <w:r>
        <w:rPr>
          <w:rFonts w:hint="eastAsia"/>
          <w:color w:val="auto"/>
        </w:rPr>
        <w:t>承包人按第13.5.1项或第13.5.2项覆盖工程隐蔽部位后，监理人对质量有疑问的，可要求承包人对已覆盖的部位进行钻孔探测或揭开重新检验，承包人应遵照执行，并在检验后重新覆盖恢复原状。经检验证明工程质量符合合同要求的，由发包人承担由此增加的费用和（或）工期延误，并支付承包人合理利润；经检验证明工程质量不符合合同要求的，由此增加的费用和（或）工期延误由承包人承担。</w:t>
      </w:r>
    </w:p>
    <w:p>
      <w:pPr>
        <w:spacing w:line="400" w:lineRule="exact"/>
        <w:ind w:firstLine="420" w:firstLineChars="200"/>
        <w:rPr>
          <w:rFonts w:hint="eastAsia"/>
          <w:color w:val="auto"/>
        </w:rPr>
      </w:pPr>
      <w:r>
        <w:rPr>
          <w:rFonts w:hint="eastAsia"/>
          <w:color w:val="auto"/>
        </w:rPr>
        <w:t xml:space="preserve">13.5.4 </w:t>
      </w:r>
      <w:r>
        <w:rPr>
          <w:rFonts w:hint="eastAsia" w:ascii="黑体" w:eastAsia="黑体"/>
          <w:color w:val="auto"/>
        </w:rPr>
        <w:t>承包人私自覆盖</w:t>
      </w:r>
    </w:p>
    <w:p>
      <w:pPr>
        <w:spacing w:line="400" w:lineRule="exact"/>
        <w:ind w:firstLine="420" w:firstLineChars="200"/>
        <w:rPr>
          <w:rFonts w:hint="eastAsia"/>
          <w:color w:val="auto"/>
        </w:rPr>
      </w:pPr>
      <w:r>
        <w:rPr>
          <w:rFonts w:hint="eastAsia"/>
          <w:color w:val="auto"/>
        </w:rPr>
        <w:t>承包人未通知监理人到场检查，私自将工程隐蔽部位覆盖的，监理人有权指示承包人钻孔探测或揭开检查，由此增加的费用和（或）工期延误由承包人承担。</w:t>
      </w:r>
    </w:p>
    <w:p>
      <w:pPr>
        <w:keepNext/>
        <w:keepLines/>
        <w:spacing w:line="400" w:lineRule="exact"/>
        <w:outlineLvl w:val="3"/>
        <w:rPr>
          <w:rFonts w:hint="eastAsia" w:eastAsia="黑体"/>
          <w:color w:val="auto"/>
          <w:sz w:val="24"/>
          <w:szCs w:val="20"/>
        </w:rPr>
      </w:pPr>
      <w:bookmarkStart w:id="1376" w:name="_Toc29041"/>
      <w:bookmarkStart w:id="1377" w:name="_Toc144974670"/>
      <w:bookmarkStart w:id="1378" w:name="_Toc152045701"/>
      <w:bookmarkStart w:id="1379" w:name="_Toc517172482"/>
      <w:bookmarkStart w:id="1380" w:name="_Toc152042479"/>
      <w:bookmarkStart w:id="1381" w:name="_Toc179632719"/>
      <w:r>
        <w:rPr>
          <w:rFonts w:hint="eastAsia" w:eastAsia="黑体"/>
          <w:color w:val="auto"/>
          <w:sz w:val="24"/>
          <w:szCs w:val="20"/>
        </w:rPr>
        <w:t>13.6 清除不合格工程</w:t>
      </w:r>
      <w:bookmarkEnd w:id="1376"/>
      <w:bookmarkEnd w:id="1377"/>
      <w:bookmarkEnd w:id="1378"/>
      <w:bookmarkEnd w:id="1379"/>
      <w:bookmarkEnd w:id="1380"/>
      <w:bookmarkEnd w:id="1381"/>
    </w:p>
    <w:p>
      <w:pPr>
        <w:spacing w:line="400" w:lineRule="exact"/>
        <w:ind w:firstLine="420" w:firstLineChars="200"/>
        <w:rPr>
          <w:rFonts w:hint="eastAsia"/>
          <w:color w:val="auto"/>
        </w:rPr>
      </w:pPr>
      <w:r>
        <w:rPr>
          <w:rFonts w:hint="eastAsia"/>
          <w:color w:val="auto"/>
        </w:rPr>
        <w:t>13.6.1 承包人使用不合格材料、工程设备，或采用不适当的施工工艺，或施工不当，造成工程不合格的，监理人可以随时发出指示，要求承包人立即采取措施进行补救，直至达到合同要求的质量标准，由此增加的费用和（或）工期延误由承包人承担。</w:t>
      </w:r>
    </w:p>
    <w:p>
      <w:pPr>
        <w:spacing w:line="400" w:lineRule="exact"/>
        <w:ind w:firstLine="420" w:firstLineChars="200"/>
        <w:rPr>
          <w:rFonts w:hint="eastAsia"/>
          <w:color w:val="auto"/>
        </w:rPr>
      </w:pPr>
      <w:r>
        <w:rPr>
          <w:rFonts w:hint="eastAsia"/>
          <w:color w:val="auto"/>
        </w:rPr>
        <w:t>13.6.2 由于发包人提供的材料或工程设备不合格造成的工程不合格，需要承包人采取措施补救的，发包人应承担由此增加的费用和（或）工期延误，并支付承包人合理利润。</w:t>
      </w:r>
    </w:p>
    <w:p>
      <w:pPr>
        <w:keepNext/>
        <w:keepLines/>
        <w:spacing w:line="400" w:lineRule="exact"/>
        <w:outlineLvl w:val="3"/>
        <w:rPr>
          <w:rFonts w:hint="eastAsia" w:eastAsia="黑体"/>
          <w:color w:val="auto"/>
          <w:sz w:val="24"/>
          <w:szCs w:val="20"/>
        </w:rPr>
      </w:pPr>
      <w:bookmarkStart w:id="1382" w:name="_Toc30010"/>
      <w:bookmarkStart w:id="1383" w:name="_Toc517172483"/>
      <w:r>
        <w:rPr>
          <w:rFonts w:eastAsia="黑体"/>
          <w:color w:val="auto"/>
          <w:sz w:val="24"/>
          <w:szCs w:val="20"/>
        </w:rPr>
        <w:t xml:space="preserve">13.7 </w:t>
      </w:r>
      <w:r>
        <w:rPr>
          <w:rFonts w:hint="eastAsia" w:eastAsia="黑体"/>
          <w:color w:val="auto"/>
          <w:sz w:val="24"/>
          <w:szCs w:val="20"/>
        </w:rPr>
        <w:t>质量评定</w:t>
      </w:r>
      <w:bookmarkEnd w:id="1382"/>
      <w:bookmarkEnd w:id="1383"/>
    </w:p>
    <w:p>
      <w:pPr>
        <w:spacing w:line="400" w:lineRule="exact"/>
        <w:ind w:firstLine="420" w:firstLineChars="200"/>
        <w:rPr>
          <w:rFonts w:hint="eastAsia"/>
          <w:color w:val="auto"/>
        </w:rPr>
      </w:pPr>
      <w:r>
        <w:rPr>
          <w:rFonts w:hint="eastAsia"/>
          <w:color w:val="auto"/>
        </w:rPr>
        <w:t>13.7.1发包人应组织进行工程项目划分，并确定单位工程、主要分部工程、重要隐蔽单元工程和关键部位单元工程。</w:t>
      </w:r>
    </w:p>
    <w:p>
      <w:pPr>
        <w:spacing w:line="400" w:lineRule="exact"/>
        <w:ind w:firstLine="420" w:firstLineChars="200"/>
        <w:rPr>
          <w:rFonts w:hint="eastAsia"/>
          <w:color w:val="auto"/>
        </w:rPr>
      </w:pPr>
      <w:r>
        <w:rPr>
          <w:rFonts w:hint="eastAsia"/>
          <w:color w:val="auto"/>
        </w:rPr>
        <w:t>13.7.2工程实施过程中，单位工程、主要分部工程、重要隐蔽单元工程和关键部位单元工程的项目划分需要调整时，承包人应报发包人确认。</w:t>
      </w:r>
    </w:p>
    <w:p>
      <w:pPr>
        <w:spacing w:line="400" w:lineRule="exact"/>
        <w:ind w:firstLine="420" w:firstLineChars="200"/>
        <w:rPr>
          <w:color w:val="auto"/>
        </w:rPr>
      </w:pPr>
      <w:r>
        <w:rPr>
          <w:rFonts w:hint="eastAsia"/>
          <w:color w:val="auto"/>
        </w:rPr>
        <w:t>13.7.3承包人应在单元（工序）工程质量自评合格后，报监理人核定质量等级并签证认可</w:t>
      </w:r>
      <w:r>
        <w:rPr>
          <w:color w:val="auto"/>
        </w:rPr>
        <w:t>。</w:t>
      </w:r>
    </w:p>
    <w:p>
      <w:pPr>
        <w:spacing w:line="400" w:lineRule="exact"/>
        <w:ind w:firstLine="420" w:firstLineChars="200"/>
        <w:rPr>
          <w:rFonts w:hint="eastAsia"/>
          <w:color w:val="auto"/>
        </w:rPr>
      </w:pPr>
      <w:r>
        <w:rPr>
          <w:rFonts w:hint="eastAsia"/>
          <w:color w:val="auto"/>
        </w:rPr>
        <w:t>13.7.4除专用合同条款另有约定外，承包人应在</w:t>
      </w:r>
      <w:r>
        <w:rPr>
          <w:color w:val="auto"/>
        </w:rPr>
        <w:t>重要隐蔽</w:t>
      </w:r>
      <w:r>
        <w:rPr>
          <w:rFonts w:hint="eastAsia"/>
          <w:color w:val="auto"/>
        </w:rPr>
        <w:t>单元</w:t>
      </w:r>
      <w:r>
        <w:rPr>
          <w:color w:val="auto"/>
        </w:rPr>
        <w:t>工程</w:t>
      </w:r>
      <w:r>
        <w:rPr>
          <w:rFonts w:hint="eastAsia"/>
          <w:color w:val="auto"/>
        </w:rPr>
        <w:t>及</w:t>
      </w:r>
      <w:r>
        <w:rPr>
          <w:color w:val="auto"/>
        </w:rPr>
        <w:t>关键部位</w:t>
      </w:r>
      <w:r>
        <w:rPr>
          <w:rFonts w:hint="eastAsia"/>
          <w:color w:val="auto"/>
        </w:rPr>
        <w:t>单元工程质量自评合格后以及监理人抽检后，由监理人组织承包人等单位组成的联合小组</w:t>
      </w:r>
      <w:r>
        <w:rPr>
          <w:color w:val="auto"/>
        </w:rPr>
        <w:t>，共同</w:t>
      </w:r>
      <w:r>
        <w:rPr>
          <w:rFonts w:hint="eastAsia"/>
          <w:color w:val="auto"/>
        </w:rPr>
        <w:t>检查</w:t>
      </w:r>
      <w:r>
        <w:rPr>
          <w:color w:val="auto"/>
        </w:rPr>
        <w:t>核定其质量等级</w:t>
      </w:r>
      <w:r>
        <w:rPr>
          <w:rFonts w:hint="eastAsia"/>
          <w:color w:val="auto"/>
        </w:rPr>
        <w:t>并填写签证表。发包人按有关规定完成质量结论报工程质量监督机构核备手续。</w:t>
      </w:r>
    </w:p>
    <w:p>
      <w:pPr>
        <w:spacing w:line="400" w:lineRule="exact"/>
        <w:ind w:firstLine="420" w:firstLineChars="200"/>
        <w:rPr>
          <w:rFonts w:hint="eastAsia"/>
          <w:color w:val="auto"/>
        </w:rPr>
      </w:pPr>
      <w:r>
        <w:rPr>
          <w:rFonts w:hint="eastAsia"/>
          <w:color w:val="auto"/>
        </w:rPr>
        <w:t>13.7.5承包人应在</w:t>
      </w:r>
      <w:r>
        <w:rPr>
          <w:color w:val="auto"/>
        </w:rPr>
        <w:t>分部工程质量</w:t>
      </w:r>
      <w:r>
        <w:rPr>
          <w:rFonts w:hint="eastAsia"/>
          <w:color w:val="auto"/>
        </w:rPr>
        <w:t>自评合格后，报</w:t>
      </w:r>
      <w:r>
        <w:rPr>
          <w:color w:val="auto"/>
        </w:rPr>
        <w:t>监理</w:t>
      </w:r>
      <w:r>
        <w:rPr>
          <w:rFonts w:hint="eastAsia"/>
          <w:color w:val="auto"/>
        </w:rPr>
        <w:t>人</w:t>
      </w:r>
      <w:r>
        <w:rPr>
          <w:color w:val="auto"/>
        </w:rPr>
        <w:t>复核</w:t>
      </w:r>
      <w:r>
        <w:rPr>
          <w:rFonts w:hint="eastAsia"/>
          <w:color w:val="auto"/>
        </w:rPr>
        <w:t>和发包人认定。发包人负责按有关规定完成分部工程质量结论报工程质量监督机构核备（核定）手续。</w:t>
      </w:r>
    </w:p>
    <w:p>
      <w:pPr>
        <w:spacing w:line="400" w:lineRule="exact"/>
        <w:ind w:firstLine="420" w:firstLineChars="200"/>
        <w:rPr>
          <w:rFonts w:hint="eastAsia"/>
          <w:color w:val="auto"/>
        </w:rPr>
      </w:pPr>
      <w:r>
        <w:rPr>
          <w:rFonts w:hint="eastAsia"/>
          <w:color w:val="auto"/>
        </w:rPr>
        <w:t>13.7.6承包人应在</w:t>
      </w:r>
      <w:r>
        <w:rPr>
          <w:color w:val="auto"/>
        </w:rPr>
        <w:t>单位工程质量</w:t>
      </w:r>
      <w:r>
        <w:rPr>
          <w:rFonts w:hint="eastAsia"/>
          <w:color w:val="auto"/>
        </w:rPr>
        <w:t>自评合格后，报</w:t>
      </w:r>
      <w:r>
        <w:rPr>
          <w:color w:val="auto"/>
        </w:rPr>
        <w:t>监理</w:t>
      </w:r>
      <w:r>
        <w:rPr>
          <w:rFonts w:hint="eastAsia"/>
          <w:color w:val="auto"/>
        </w:rPr>
        <w:t>人</w:t>
      </w:r>
      <w:r>
        <w:rPr>
          <w:color w:val="auto"/>
        </w:rPr>
        <w:t>复核</w:t>
      </w:r>
      <w:r>
        <w:rPr>
          <w:rFonts w:hint="eastAsia"/>
          <w:color w:val="auto"/>
        </w:rPr>
        <w:t>和发包人认定。发包人负责按有关规定完成单位工程质量结论报工程质量监督机构核定手续。</w:t>
      </w:r>
    </w:p>
    <w:p>
      <w:pPr>
        <w:spacing w:line="400" w:lineRule="exact"/>
        <w:ind w:firstLine="420" w:firstLineChars="200"/>
        <w:rPr>
          <w:rFonts w:hint="eastAsia"/>
          <w:color w:val="auto"/>
        </w:rPr>
      </w:pPr>
      <w:r>
        <w:rPr>
          <w:rFonts w:hint="eastAsia"/>
          <w:color w:val="auto"/>
        </w:rPr>
        <w:t>13.7.7除专用合同条款另有约定外，工程质量等级分为合格和优良，应分别达到约定的标准。</w:t>
      </w:r>
    </w:p>
    <w:p>
      <w:pPr>
        <w:keepNext/>
        <w:keepLines/>
        <w:spacing w:line="400" w:lineRule="exact"/>
        <w:outlineLvl w:val="3"/>
        <w:rPr>
          <w:rFonts w:hint="eastAsia" w:eastAsia="黑体"/>
          <w:color w:val="auto"/>
          <w:sz w:val="24"/>
          <w:szCs w:val="20"/>
        </w:rPr>
      </w:pPr>
      <w:bookmarkStart w:id="1384" w:name="_Toc517172484"/>
      <w:bookmarkStart w:id="1385" w:name="_Toc10066"/>
      <w:r>
        <w:rPr>
          <w:rFonts w:hint="eastAsia" w:eastAsia="黑体"/>
          <w:color w:val="auto"/>
          <w:sz w:val="24"/>
          <w:szCs w:val="20"/>
        </w:rPr>
        <w:t>13.8 质量事故处理</w:t>
      </w:r>
      <w:bookmarkEnd w:id="1384"/>
      <w:bookmarkEnd w:id="1385"/>
    </w:p>
    <w:p>
      <w:pPr>
        <w:spacing w:line="400" w:lineRule="exact"/>
        <w:ind w:firstLine="420" w:firstLineChars="200"/>
        <w:rPr>
          <w:rFonts w:hint="eastAsia"/>
          <w:color w:val="auto"/>
        </w:rPr>
      </w:pPr>
      <w:r>
        <w:rPr>
          <w:rFonts w:hint="eastAsia"/>
          <w:color w:val="auto"/>
        </w:rPr>
        <w:t>13.8.1发生质量事故时，承包人应及时向发包人和监理人报告。</w:t>
      </w:r>
    </w:p>
    <w:p>
      <w:pPr>
        <w:spacing w:line="400" w:lineRule="exact"/>
        <w:ind w:firstLine="420" w:firstLineChars="200"/>
        <w:rPr>
          <w:rFonts w:hint="eastAsia"/>
          <w:color w:val="auto"/>
        </w:rPr>
      </w:pPr>
      <w:r>
        <w:rPr>
          <w:rFonts w:hint="eastAsia"/>
          <w:color w:val="auto"/>
        </w:rPr>
        <w:t>13.8.2质量事故调查处理由发包人按相关规定履行手续，承包人应配合。</w:t>
      </w:r>
    </w:p>
    <w:p>
      <w:pPr>
        <w:spacing w:line="400" w:lineRule="exact"/>
        <w:ind w:firstLine="420" w:firstLineChars="200"/>
        <w:rPr>
          <w:rFonts w:hint="eastAsia"/>
          <w:color w:val="auto"/>
        </w:rPr>
      </w:pPr>
      <w:r>
        <w:rPr>
          <w:rFonts w:hint="eastAsia"/>
          <w:color w:val="auto"/>
        </w:rPr>
        <w:t>13.8.3承包人应对质量缺陷进行备案。发包人委托监理人对质量缺陷备案情况进行监督检查并履行相关手续。</w:t>
      </w:r>
    </w:p>
    <w:p>
      <w:pPr>
        <w:spacing w:line="400" w:lineRule="exact"/>
        <w:ind w:firstLine="420" w:firstLineChars="200"/>
        <w:rPr>
          <w:rFonts w:hint="eastAsia"/>
          <w:color w:val="auto"/>
        </w:rPr>
      </w:pPr>
      <w:r>
        <w:rPr>
          <w:rFonts w:hint="eastAsia"/>
          <w:color w:val="auto"/>
        </w:rPr>
        <w:t>13.8.4除专用合同条款另有约定外，工程竣工验收时，发包人负责向竣工验收委员会汇报并提交历次质量缺陷处理的备案资料。</w:t>
      </w:r>
    </w:p>
    <w:p>
      <w:pPr>
        <w:pStyle w:val="80"/>
        <w:spacing w:before="120" w:after="120" w:afterLines="50"/>
        <w:outlineLvl w:val="2"/>
        <w:rPr>
          <w:color w:val="auto"/>
        </w:rPr>
      </w:pPr>
      <w:bookmarkStart w:id="1386" w:name="_Toc387753597"/>
      <w:bookmarkStart w:id="1387" w:name="_Toc491089742"/>
      <w:bookmarkStart w:id="1388" w:name="_Toc517172485"/>
      <w:bookmarkStart w:id="1389" w:name="_Toc12386"/>
      <w:r>
        <w:rPr>
          <w:color w:val="auto"/>
        </w:rPr>
        <w:t xml:space="preserve">14. </w:t>
      </w:r>
      <w:r>
        <w:rPr>
          <w:rFonts w:hint="eastAsia"/>
          <w:color w:val="auto"/>
        </w:rPr>
        <w:t>试验和检验</w:t>
      </w:r>
      <w:bookmarkEnd w:id="1346"/>
      <w:bookmarkEnd w:id="1347"/>
      <w:bookmarkEnd w:id="1348"/>
      <w:bookmarkEnd w:id="1349"/>
      <w:bookmarkEnd w:id="1350"/>
      <w:bookmarkEnd w:id="1351"/>
      <w:bookmarkEnd w:id="1386"/>
      <w:bookmarkEnd w:id="1387"/>
      <w:bookmarkEnd w:id="1388"/>
      <w:bookmarkEnd w:id="1389"/>
    </w:p>
    <w:p>
      <w:pPr>
        <w:keepNext/>
        <w:keepLines/>
        <w:spacing w:line="400" w:lineRule="exact"/>
        <w:outlineLvl w:val="3"/>
        <w:rPr>
          <w:rFonts w:hint="eastAsia" w:eastAsia="黑体"/>
          <w:color w:val="auto"/>
          <w:sz w:val="24"/>
          <w:szCs w:val="20"/>
        </w:rPr>
      </w:pPr>
      <w:bookmarkStart w:id="1390" w:name="_Toc517172486"/>
      <w:bookmarkStart w:id="1391" w:name="_Toc28695"/>
      <w:r>
        <w:rPr>
          <w:rFonts w:hint="eastAsia" w:eastAsia="黑体"/>
          <w:color w:val="auto"/>
          <w:sz w:val="24"/>
          <w:szCs w:val="20"/>
        </w:rPr>
        <w:t>14.1 材料、工程设备和工程的试验和检验</w:t>
      </w:r>
      <w:bookmarkEnd w:id="1390"/>
      <w:bookmarkEnd w:id="1391"/>
    </w:p>
    <w:p>
      <w:pPr>
        <w:spacing w:line="400" w:lineRule="exact"/>
        <w:ind w:firstLine="420" w:firstLineChars="200"/>
        <w:rPr>
          <w:rFonts w:hint="eastAsia"/>
          <w:color w:val="auto"/>
        </w:rPr>
      </w:pPr>
      <w:r>
        <w:rPr>
          <w:rFonts w:hint="eastAsia"/>
          <w:color w:val="auto"/>
        </w:rPr>
        <w:t>14.1.1 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spacing w:line="400" w:lineRule="exact"/>
        <w:ind w:firstLine="420" w:firstLineChars="200"/>
        <w:rPr>
          <w:rFonts w:hint="eastAsia"/>
          <w:color w:val="auto"/>
        </w:rPr>
      </w:pPr>
      <w:r>
        <w:rPr>
          <w:rFonts w:hint="eastAsia"/>
          <w:color w:val="auto"/>
        </w:rPr>
        <w:t>14.1.2 监理人未按合同约定派员参加试验和检验的，除监理人另有指示外，承包人可自行试验和检验，并应立即将试验和检验结果报送监理人，监理人应签字确认。</w:t>
      </w:r>
    </w:p>
    <w:p>
      <w:pPr>
        <w:spacing w:line="400" w:lineRule="exact"/>
        <w:ind w:firstLine="420" w:firstLineChars="200"/>
        <w:rPr>
          <w:rFonts w:hint="eastAsia"/>
          <w:color w:val="auto"/>
        </w:rPr>
      </w:pPr>
      <w:r>
        <w:rPr>
          <w:rFonts w:hint="eastAsia"/>
          <w:color w:val="auto"/>
        </w:rPr>
        <w:t>14.1.3 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并支付承包人合理利润。</w:t>
      </w:r>
    </w:p>
    <w:p>
      <w:pPr>
        <w:spacing w:line="400" w:lineRule="exact"/>
        <w:ind w:firstLine="420" w:firstLineChars="200"/>
        <w:rPr>
          <w:rFonts w:hint="eastAsia"/>
          <w:color w:val="auto"/>
        </w:rPr>
      </w:pPr>
      <w:r>
        <w:rPr>
          <w:rFonts w:hint="eastAsia"/>
          <w:color w:val="auto"/>
        </w:rPr>
        <w:t>14.1.4承包人</w:t>
      </w:r>
      <w:r>
        <w:rPr>
          <w:color w:val="auto"/>
        </w:rPr>
        <w:t>应按</w:t>
      </w:r>
      <w:r>
        <w:rPr>
          <w:rFonts w:hint="eastAsia"/>
          <w:color w:val="auto"/>
        </w:rPr>
        <w:t>相关规定和</w:t>
      </w:r>
      <w:r>
        <w:rPr>
          <w:color w:val="auto"/>
        </w:rPr>
        <w:t>标准对水泥、钢材等原材料与中间产品质量进行检验，</w:t>
      </w:r>
      <w:r>
        <w:rPr>
          <w:rFonts w:hint="eastAsia"/>
          <w:color w:val="auto"/>
        </w:rPr>
        <w:t>并报监理人复核。</w:t>
      </w:r>
    </w:p>
    <w:p>
      <w:pPr>
        <w:spacing w:line="400" w:lineRule="exact"/>
        <w:ind w:firstLine="420" w:firstLineChars="200"/>
        <w:rPr>
          <w:rFonts w:hint="eastAsia"/>
          <w:color w:val="auto"/>
        </w:rPr>
      </w:pPr>
      <w:r>
        <w:rPr>
          <w:rFonts w:hint="eastAsia"/>
          <w:color w:val="auto"/>
        </w:rPr>
        <w:t>14.1.5除专用合同条款另有约定外，</w:t>
      </w:r>
      <w:r>
        <w:rPr>
          <w:color w:val="auto"/>
        </w:rPr>
        <w:t>水工金属结构、启闭机及机电产品</w:t>
      </w:r>
      <w:r>
        <w:rPr>
          <w:rFonts w:hint="eastAsia"/>
          <w:color w:val="auto"/>
        </w:rPr>
        <w:t>进场后，监理人组织发包人按合同进行交货检查和验收。安装前，承包人应</w:t>
      </w:r>
      <w:r>
        <w:rPr>
          <w:color w:val="auto"/>
        </w:rPr>
        <w:t>检查</w:t>
      </w:r>
      <w:r>
        <w:rPr>
          <w:rFonts w:hint="eastAsia"/>
          <w:color w:val="auto"/>
        </w:rPr>
        <w:t>产品</w:t>
      </w:r>
      <w:r>
        <w:rPr>
          <w:color w:val="auto"/>
        </w:rPr>
        <w:t>是否有出厂合格证、设备安装说明书及有关技术文件</w:t>
      </w:r>
      <w:r>
        <w:rPr>
          <w:rFonts w:hint="eastAsia"/>
          <w:color w:val="auto"/>
        </w:rPr>
        <w:t>，</w:t>
      </w:r>
      <w:r>
        <w:rPr>
          <w:color w:val="auto"/>
        </w:rPr>
        <w:t>对在运输和存放过程中发生的变形、受潮、损坏等问题应作好记录，并进行妥善处理。</w:t>
      </w:r>
    </w:p>
    <w:p>
      <w:pPr>
        <w:spacing w:line="400" w:lineRule="exact"/>
        <w:ind w:firstLine="420" w:firstLineChars="200"/>
        <w:rPr>
          <w:rFonts w:hint="eastAsia"/>
          <w:color w:val="auto"/>
        </w:rPr>
      </w:pPr>
      <w:r>
        <w:rPr>
          <w:rFonts w:hint="eastAsia"/>
          <w:color w:val="auto"/>
        </w:rPr>
        <w:t>14.1.6对专用合同条款约定的试块、试件及有关材料，监理人实行见证取样。见证取样资料由承包人制备，记录应真实齐全，监理人、承包人等参与见证取样人员均应在相关文件上签字。</w:t>
      </w:r>
    </w:p>
    <w:p>
      <w:pPr>
        <w:keepNext/>
        <w:keepLines/>
        <w:spacing w:line="400" w:lineRule="exact"/>
        <w:outlineLvl w:val="3"/>
        <w:rPr>
          <w:rFonts w:hint="eastAsia" w:eastAsia="黑体"/>
          <w:color w:val="auto"/>
          <w:sz w:val="24"/>
          <w:szCs w:val="20"/>
        </w:rPr>
      </w:pPr>
      <w:bookmarkStart w:id="1392" w:name="_Toc179632722"/>
      <w:bookmarkStart w:id="1393" w:name="_Toc144974673"/>
      <w:bookmarkStart w:id="1394" w:name="_Toc152042482"/>
      <w:bookmarkStart w:id="1395" w:name="_Toc517172487"/>
      <w:bookmarkStart w:id="1396" w:name="_Toc13693"/>
      <w:bookmarkStart w:id="1397" w:name="_Toc152045704"/>
      <w:r>
        <w:rPr>
          <w:rFonts w:hint="eastAsia" w:eastAsia="黑体"/>
          <w:color w:val="auto"/>
          <w:sz w:val="24"/>
          <w:szCs w:val="20"/>
        </w:rPr>
        <w:t>14.2 现场材料试验</w:t>
      </w:r>
      <w:bookmarkEnd w:id="1392"/>
      <w:bookmarkEnd w:id="1393"/>
      <w:bookmarkEnd w:id="1394"/>
      <w:bookmarkEnd w:id="1395"/>
      <w:bookmarkEnd w:id="1396"/>
      <w:bookmarkEnd w:id="1397"/>
    </w:p>
    <w:p>
      <w:pPr>
        <w:spacing w:line="400" w:lineRule="exact"/>
        <w:ind w:firstLine="420" w:firstLineChars="200"/>
        <w:rPr>
          <w:rFonts w:hint="eastAsia"/>
          <w:color w:val="auto"/>
        </w:rPr>
      </w:pPr>
      <w:r>
        <w:rPr>
          <w:rFonts w:hint="eastAsia"/>
          <w:color w:val="auto"/>
        </w:rPr>
        <w:t>14.2.1 承包人根据合同约定或监理人指示进行的现场材料试验，应由承包人提供试验场所、试验人员、试验设备器材以及其他必要的试验条件。</w:t>
      </w:r>
    </w:p>
    <w:p>
      <w:pPr>
        <w:spacing w:line="400" w:lineRule="exact"/>
        <w:ind w:firstLine="420" w:firstLineChars="200"/>
        <w:rPr>
          <w:rFonts w:hint="eastAsia"/>
          <w:color w:val="auto"/>
        </w:rPr>
      </w:pPr>
      <w:r>
        <w:rPr>
          <w:rFonts w:hint="eastAsia"/>
          <w:color w:val="auto"/>
        </w:rPr>
        <w:t>14.2.2 监理人在必要时可以使用承包人的试验场所、试验设备器材以及其他试验条件，进行以工程质量检查为目的的复核性材料试验，承包人应予以协助。</w:t>
      </w:r>
    </w:p>
    <w:p>
      <w:pPr>
        <w:keepNext/>
        <w:keepLines/>
        <w:spacing w:line="400" w:lineRule="exact"/>
        <w:outlineLvl w:val="3"/>
        <w:rPr>
          <w:rFonts w:hint="eastAsia" w:eastAsia="黑体"/>
          <w:color w:val="auto"/>
          <w:sz w:val="24"/>
          <w:szCs w:val="20"/>
        </w:rPr>
      </w:pPr>
      <w:bookmarkStart w:id="1398" w:name="_Toc144974674"/>
      <w:bookmarkStart w:id="1399" w:name="_Toc152042483"/>
      <w:bookmarkStart w:id="1400" w:name="_Toc152045705"/>
      <w:bookmarkStart w:id="1401" w:name="_Toc179632723"/>
      <w:bookmarkStart w:id="1402" w:name="_Toc517172488"/>
      <w:bookmarkStart w:id="1403" w:name="_Toc22572"/>
      <w:r>
        <w:rPr>
          <w:rFonts w:hint="eastAsia" w:eastAsia="黑体"/>
          <w:color w:val="auto"/>
          <w:sz w:val="24"/>
          <w:szCs w:val="20"/>
        </w:rPr>
        <w:t>14.3 现场工艺试验</w:t>
      </w:r>
      <w:bookmarkEnd w:id="1398"/>
      <w:bookmarkEnd w:id="1399"/>
      <w:bookmarkEnd w:id="1400"/>
      <w:bookmarkEnd w:id="1401"/>
      <w:bookmarkEnd w:id="1402"/>
      <w:bookmarkEnd w:id="1403"/>
    </w:p>
    <w:p>
      <w:pPr>
        <w:spacing w:line="400" w:lineRule="exact"/>
        <w:ind w:firstLine="420" w:firstLineChars="200"/>
        <w:rPr>
          <w:rFonts w:hint="eastAsia"/>
          <w:color w:val="auto"/>
        </w:rPr>
      </w:pPr>
      <w:r>
        <w:rPr>
          <w:rFonts w:hint="eastAsia"/>
          <w:color w:val="auto"/>
        </w:rPr>
        <w:t>承包人应按合同约定或监理人指示进行现场工艺试验。对大型的现场工艺试验，监理人认为必要时，应由承包人根据监理人提出的工艺试验要求，编制工艺试验措施计划，报送监理人审批。</w:t>
      </w:r>
    </w:p>
    <w:p>
      <w:pPr>
        <w:pStyle w:val="80"/>
        <w:spacing w:before="120" w:after="120" w:afterLines="50"/>
        <w:outlineLvl w:val="2"/>
        <w:rPr>
          <w:color w:val="auto"/>
        </w:rPr>
      </w:pPr>
      <w:bookmarkStart w:id="1404" w:name="_Toc221950924"/>
      <w:bookmarkStart w:id="1405" w:name="_Toc222031018"/>
      <w:bookmarkStart w:id="1406" w:name="_Toc222032685"/>
      <w:bookmarkStart w:id="1407" w:name="_Toc222033867"/>
      <w:bookmarkStart w:id="1408" w:name="_Toc229305376"/>
      <w:bookmarkStart w:id="1409" w:name="_Toc387753598"/>
      <w:bookmarkStart w:id="1410" w:name="_Toc491089743"/>
      <w:bookmarkStart w:id="1411" w:name="_Toc517172489"/>
      <w:bookmarkStart w:id="1412" w:name="_Toc222029516"/>
      <w:bookmarkStart w:id="1413" w:name="_Toc22062"/>
      <w:r>
        <w:rPr>
          <w:color w:val="auto"/>
        </w:rPr>
        <w:t xml:space="preserve">15. </w:t>
      </w:r>
      <w:r>
        <w:rPr>
          <w:rFonts w:hint="eastAsia"/>
          <w:color w:val="auto"/>
        </w:rPr>
        <w:t>变更</w:t>
      </w:r>
      <w:bookmarkEnd w:id="1404"/>
      <w:bookmarkEnd w:id="1405"/>
      <w:bookmarkEnd w:id="1406"/>
      <w:bookmarkEnd w:id="1407"/>
      <w:bookmarkEnd w:id="1408"/>
      <w:bookmarkEnd w:id="1409"/>
      <w:bookmarkEnd w:id="1410"/>
      <w:bookmarkEnd w:id="1411"/>
      <w:bookmarkEnd w:id="1412"/>
      <w:bookmarkEnd w:id="1413"/>
    </w:p>
    <w:p>
      <w:pPr>
        <w:keepNext/>
        <w:keepLines/>
        <w:spacing w:line="400" w:lineRule="exact"/>
        <w:outlineLvl w:val="3"/>
        <w:rPr>
          <w:rFonts w:eastAsia="黑体"/>
          <w:color w:val="auto"/>
          <w:sz w:val="24"/>
          <w:szCs w:val="20"/>
        </w:rPr>
      </w:pPr>
      <w:bookmarkStart w:id="1414" w:name="_Toc517172490"/>
      <w:bookmarkStart w:id="1415" w:name="_Toc11751"/>
      <w:bookmarkStart w:id="1416" w:name="_Toc221950925"/>
      <w:r>
        <w:rPr>
          <w:rFonts w:eastAsia="黑体"/>
          <w:color w:val="auto"/>
          <w:sz w:val="24"/>
          <w:szCs w:val="20"/>
        </w:rPr>
        <w:t xml:space="preserve">15.1 </w:t>
      </w:r>
      <w:r>
        <w:rPr>
          <w:rFonts w:hint="eastAsia" w:eastAsia="黑体"/>
          <w:color w:val="auto"/>
          <w:sz w:val="24"/>
          <w:szCs w:val="20"/>
        </w:rPr>
        <w:t>变更的范围和内容</w:t>
      </w:r>
      <w:bookmarkEnd w:id="1414"/>
      <w:bookmarkEnd w:id="1415"/>
      <w:bookmarkEnd w:id="1416"/>
    </w:p>
    <w:p>
      <w:pPr>
        <w:spacing w:line="400" w:lineRule="exact"/>
        <w:ind w:firstLine="420" w:firstLineChars="200"/>
        <w:rPr>
          <w:rFonts w:hint="eastAsia"/>
          <w:color w:val="auto"/>
        </w:rPr>
      </w:pPr>
      <w:r>
        <w:rPr>
          <w:rFonts w:hint="eastAsia"/>
          <w:color w:val="auto"/>
        </w:rPr>
        <w:t>在履行合同中发生以下情形之一，应按照本条规定进行变更。</w:t>
      </w:r>
    </w:p>
    <w:p>
      <w:pPr>
        <w:spacing w:line="400" w:lineRule="exact"/>
        <w:ind w:firstLine="359" w:firstLineChars="171"/>
        <w:rPr>
          <w:rFonts w:hint="eastAsia"/>
          <w:color w:val="auto"/>
        </w:rPr>
      </w:pPr>
      <w:r>
        <w:rPr>
          <w:rFonts w:hint="eastAsia"/>
          <w:color w:val="auto"/>
        </w:rPr>
        <w:t>（1）取消合同中任何一项工作，但被取消的工作不能转由发包人或其它人实施；</w:t>
      </w:r>
    </w:p>
    <w:p>
      <w:pPr>
        <w:spacing w:line="400" w:lineRule="exact"/>
        <w:ind w:firstLine="359" w:firstLineChars="171"/>
        <w:rPr>
          <w:rFonts w:hint="eastAsia"/>
          <w:color w:val="auto"/>
        </w:rPr>
      </w:pPr>
      <w:r>
        <w:rPr>
          <w:rFonts w:hint="eastAsia"/>
          <w:color w:val="auto"/>
        </w:rPr>
        <w:t>（2）改变合同中任何一项工作的质量或其它特性；</w:t>
      </w:r>
    </w:p>
    <w:p>
      <w:pPr>
        <w:spacing w:line="400" w:lineRule="exact"/>
        <w:ind w:firstLine="359" w:firstLineChars="171"/>
        <w:rPr>
          <w:rFonts w:hint="eastAsia"/>
          <w:color w:val="auto"/>
        </w:rPr>
      </w:pPr>
      <w:r>
        <w:rPr>
          <w:rFonts w:hint="eastAsia"/>
          <w:color w:val="auto"/>
        </w:rPr>
        <w:t>（3）改变合同工程的基线、标高、位置或尺寸；</w:t>
      </w:r>
    </w:p>
    <w:p>
      <w:pPr>
        <w:spacing w:line="400" w:lineRule="exact"/>
        <w:ind w:firstLine="359" w:firstLineChars="171"/>
        <w:rPr>
          <w:rFonts w:hint="eastAsia"/>
          <w:color w:val="auto"/>
        </w:rPr>
      </w:pPr>
      <w:r>
        <w:rPr>
          <w:rFonts w:hint="eastAsia"/>
          <w:color w:val="auto"/>
        </w:rPr>
        <w:t>（4）改变合同中任何一项工作的施工时间或改变已批准的施工工艺或顺序；</w:t>
      </w:r>
    </w:p>
    <w:p>
      <w:pPr>
        <w:spacing w:line="400" w:lineRule="exact"/>
        <w:ind w:firstLine="359" w:firstLineChars="171"/>
        <w:rPr>
          <w:rFonts w:hint="eastAsia"/>
          <w:color w:val="auto"/>
        </w:rPr>
      </w:pPr>
      <w:r>
        <w:rPr>
          <w:rFonts w:hint="eastAsia"/>
          <w:color w:val="auto"/>
        </w:rPr>
        <w:t>（5）为完成工程需要追加的额外工作。</w:t>
      </w:r>
    </w:p>
    <w:p>
      <w:pPr>
        <w:spacing w:line="400" w:lineRule="exact"/>
        <w:ind w:firstLine="359" w:firstLineChars="171"/>
        <w:rPr>
          <w:rFonts w:hint="eastAsia"/>
          <w:color w:val="auto"/>
        </w:rPr>
      </w:pPr>
      <w:r>
        <w:rPr>
          <w:rFonts w:hint="eastAsia"/>
          <w:color w:val="auto"/>
        </w:rPr>
        <w:t>（6）增加或减少专用合同条款中约定的关键项目工程量超过其工程总量的一定数量的百分比。</w:t>
      </w:r>
    </w:p>
    <w:p>
      <w:pPr>
        <w:spacing w:line="400" w:lineRule="exact"/>
        <w:ind w:firstLine="359" w:firstLineChars="171"/>
        <w:rPr>
          <w:rFonts w:hint="eastAsia"/>
          <w:color w:val="auto"/>
        </w:rPr>
      </w:pPr>
      <w:r>
        <w:rPr>
          <w:rFonts w:hint="eastAsia"/>
          <w:color w:val="auto"/>
        </w:rPr>
        <w:t>上述第（1）～（6）目的变更内容引起工程施工组织和进度计划发生实质性变动和影响其原定的价格时，才予调整该项目的单价。第（6）目情形下单价调整方式在专用合同条款中约定。</w:t>
      </w:r>
    </w:p>
    <w:p>
      <w:pPr>
        <w:keepNext/>
        <w:keepLines/>
        <w:spacing w:line="400" w:lineRule="exact"/>
        <w:outlineLvl w:val="3"/>
        <w:rPr>
          <w:rFonts w:hint="eastAsia" w:eastAsia="黑体"/>
          <w:color w:val="auto"/>
          <w:sz w:val="24"/>
          <w:szCs w:val="20"/>
        </w:rPr>
      </w:pPr>
      <w:bookmarkStart w:id="1417" w:name="_Toc144974677"/>
      <w:bookmarkStart w:id="1418" w:name="_Toc152042486"/>
      <w:bookmarkStart w:id="1419" w:name="_Toc179632726"/>
      <w:bookmarkStart w:id="1420" w:name="_Toc517172491"/>
      <w:bookmarkStart w:id="1421" w:name="_Toc152045708"/>
      <w:bookmarkStart w:id="1422" w:name="_Toc26029"/>
      <w:bookmarkStart w:id="1423" w:name="_Toc221950942"/>
      <w:r>
        <w:rPr>
          <w:rFonts w:hint="eastAsia" w:eastAsia="黑体"/>
          <w:color w:val="auto"/>
          <w:sz w:val="24"/>
          <w:szCs w:val="20"/>
        </w:rPr>
        <w:t>15.2 变更权</w:t>
      </w:r>
      <w:bookmarkEnd w:id="1417"/>
      <w:bookmarkEnd w:id="1418"/>
      <w:bookmarkEnd w:id="1419"/>
      <w:bookmarkEnd w:id="1420"/>
      <w:bookmarkEnd w:id="1421"/>
      <w:bookmarkEnd w:id="1422"/>
    </w:p>
    <w:p>
      <w:pPr>
        <w:spacing w:line="400" w:lineRule="exact"/>
        <w:ind w:firstLine="420" w:firstLineChars="200"/>
        <w:rPr>
          <w:rFonts w:hint="eastAsia"/>
          <w:color w:val="auto"/>
        </w:rPr>
      </w:pPr>
      <w:r>
        <w:rPr>
          <w:rFonts w:hint="eastAsia"/>
          <w:color w:val="auto"/>
        </w:rPr>
        <w:t>在履行合同过程中，经发包人同意，监理人可按第15.3款约定的变更程序向承包人作出变更指示，承包人应遵照执行。没有监理人的变更指示，承包人不得擅自变更。</w:t>
      </w:r>
    </w:p>
    <w:p>
      <w:pPr>
        <w:keepNext/>
        <w:keepLines/>
        <w:spacing w:line="400" w:lineRule="exact"/>
        <w:outlineLvl w:val="3"/>
        <w:rPr>
          <w:rFonts w:hint="eastAsia" w:eastAsia="黑体"/>
          <w:color w:val="auto"/>
          <w:sz w:val="24"/>
          <w:szCs w:val="20"/>
        </w:rPr>
      </w:pPr>
      <w:bookmarkStart w:id="1424" w:name="_Toc517172492"/>
      <w:bookmarkStart w:id="1425" w:name="_Toc9462"/>
      <w:bookmarkStart w:id="1426" w:name="_Toc152042487"/>
      <w:bookmarkStart w:id="1427" w:name="_Toc152045709"/>
      <w:bookmarkStart w:id="1428" w:name="_Toc144974678"/>
      <w:bookmarkStart w:id="1429" w:name="_Toc179632727"/>
      <w:r>
        <w:rPr>
          <w:rFonts w:hint="eastAsia" w:eastAsia="黑体"/>
          <w:color w:val="auto"/>
          <w:sz w:val="24"/>
          <w:szCs w:val="20"/>
        </w:rPr>
        <w:t>15.3 变更程序</w:t>
      </w:r>
      <w:bookmarkEnd w:id="1424"/>
      <w:bookmarkEnd w:id="1425"/>
      <w:bookmarkEnd w:id="1426"/>
      <w:bookmarkEnd w:id="1427"/>
      <w:bookmarkEnd w:id="1428"/>
      <w:bookmarkEnd w:id="1429"/>
    </w:p>
    <w:p>
      <w:pPr>
        <w:spacing w:line="400" w:lineRule="exact"/>
        <w:ind w:firstLine="420" w:firstLineChars="200"/>
        <w:rPr>
          <w:rFonts w:hint="eastAsia"/>
          <w:color w:val="auto"/>
        </w:rPr>
      </w:pPr>
      <w:r>
        <w:rPr>
          <w:rFonts w:hint="eastAsia"/>
          <w:color w:val="auto"/>
        </w:rPr>
        <w:t xml:space="preserve">15.3.1 </w:t>
      </w:r>
      <w:r>
        <w:rPr>
          <w:rFonts w:hint="eastAsia" w:ascii="黑体" w:eastAsia="黑体"/>
          <w:color w:val="auto"/>
        </w:rPr>
        <w:t>变更的提出</w:t>
      </w:r>
    </w:p>
    <w:p>
      <w:pPr>
        <w:spacing w:line="400" w:lineRule="exact"/>
        <w:ind w:firstLine="420" w:firstLineChars="200"/>
        <w:rPr>
          <w:rFonts w:hint="eastAsia"/>
          <w:color w:val="auto"/>
        </w:rPr>
      </w:pPr>
      <w:r>
        <w:rPr>
          <w:rFonts w:hint="eastAsia"/>
          <w:color w:val="auto"/>
        </w:rPr>
        <w:t xml:space="preserve">（1）在合同履行过程中，可能发生第15.1款约定情形的，监理人可向承包人发出变更意向书。变更意向书应说明变更的具体内容和发包人对变更的时间要求，并附必要的图纸和相关资料。变更意向书应要求承包人提交包括拟实施变更工作的计划、措施和竣工时间等内容的实施方案。发包人同意承包人根据变更意向书要求提交的变更实施方案的，由监理人按第15.3.3项约定发出变更指示。 </w:t>
      </w:r>
    </w:p>
    <w:p>
      <w:pPr>
        <w:spacing w:line="400" w:lineRule="exact"/>
        <w:ind w:firstLine="420" w:firstLineChars="200"/>
        <w:rPr>
          <w:rFonts w:hint="eastAsia"/>
          <w:color w:val="auto"/>
        </w:rPr>
      </w:pPr>
      <w:r>
        <w:rPr>
          <w:rFonts w:hint="eastAsia"/>
          <w:color w:val="auto"/>
        </w:rPr>
        <w:t>（2）在合同履行过程中，发生第15.1款约定情形的，监理人应按照第15.3.3项约定向承包人发出变更指示。</w:t>
      </w:r>
    </w:p>
    <w:p>
      <w:pPr>
        <w:spacing w:line="400" w:lineRule="exact"/>
        <w:ind w:firstLine="420" w:firstLineChars="200"/>
        <w:rPr>
          <w:rFonts w:hint="eastAsia"/>
          <w:color w:val="auto"/>
        </w:rPr>
      </w:pPr>
      <w:r>
        <w:rPr>
          <w:rFonts w:hint="eastAsia"/>
          <w:color w:val="auto"/>
        </w:rPr>
        <w:t>（3）承包人收到监理人按合同约定发出的图纸和文件，经检查认为其中存在第15.1款约定情形的，可向监理人提出书面变更建议。变更建议应阐明要求变更的依据，并附必要的图纸和说明。监理人收到承包人书面建议后，应与发包人共同研究，确认存在变更的，应在收到承包人书面建议后的14天内作出变更指示。经研究后不同意作为变更的，应由监理人书面答复承包人。</w:t>
      </w:r>
    </w:p>
    <w:p>
      <w:pPr>
        <w:spacing w:line="400" w:lineRule="exact"/>
        <w:ind w:firstLine="420" w:firstLineChars="200"/>
        <w:rPr>
          <w:rFonts w:hint="eastAsia"/>
          <w:color w:val="auto"/>
        </w:rPr>
      </w:pPr>
      <w:r>
        <w:rPr>
          <w:rFonts w:hint="eastAsia"/>
          <w:color w:val="auto"/>
        </w:rPr>
        <w:t>（4）若承包人收到监理人的变更意向书后认为难以实施此项变更，应立即通知监理人，说明原因并附详细依据。监理人与承包人和发包人协商后确定撤销</w:t>
      </w:r>
      <w:r>
        <w:rPr>
          <w:rFonts w:hint="eastAsia" w:ascii="宋体" w:hAnsi="宋体"/>
          <w:color w:val="auto"/>
        </w:rPr>
        <w:t>、</w:t>
      </w:r>
      <w:r>
        <w:rPr>
          <w:rFonts w:hint="eastAsia"/>
          <w:color w:val="auto"/>
        </w:rPr>
        <w:t>改变或不改变原变更意向书。</w:t>
      </w:r>
    </w:p>
    <w:p>
      <w:pPr>
        <w:spacing w:line="400" w:lineRule="exact"/>
        <w:ind w:firstLine="420" w:firstLineChars="200"/>
        <w:rPr>
          <w:rFonts w:hint="eastAsia"/>
          <w:color w:val="auto"/>
        </w:rPr>
      </w:pPr>
      <w:r>
        <w:rPr>
          <w:rFonts w:hint="eastAsia"/>
          <w:color w:val="auto"/>
        </w:rPr>
        <w:t xml:space="preserve">15.3.2 </w:t>
      </w:r>
      <w:r>
        <w:rPr>
          <w:rFonts w:hint="eastAsia" w:ascii="黑体" w:eastAsia="黑体"/>
          <w:color w:val="auto"/>
        </w:rPr>
        <w:t>变更估价</w:t>
      </w:r>
    </w:p>
    <w:p>
      <w:pPr>
        <w:spacing w:line="400" w:lineRule="exact"/>
        <w:ind w:firstLine="420" w:firstLineChars="200"/>
        <w:rPr>
          <w:rFonts w:hint="eastAsia"/>
          <w:color w:val="auto"/>
        </w:rPr>
      </w:pPr>
      <w:r>
        <w:rPr>
          <w:rFonts w:hint="eastAsia"/>
          <w:color w:val="auto"/>
        </w:rPr>
        <w:t>（1）除专用合同条款对期限另有约定外，承包人应在收到变更指示或变更意向书后的14天内，向监理人提交变更报价书，报价内容应根据第15.4款约定的估价原则，详细开列变更工作的价格组成及其依据，并附必要的施工方法说明和有关图纸。</w:t>
      </w:r>
    </w:p>
    <w:p>
      <w:pPr>
        <w:spacing w:line="400" w:lineRule="exact"/>
        <w:ind w:firstLine="420" w:firstLineChars="200"/>
        <w:rPr>
          <w:rFonts w:hint="eastAsia"/>
          <w:color w:val="auto"/>
        </w:rPr>
      </w:pPr>
      <w:r>
        <w:rPr>
          <w:rFonts w:hint="eastAsia"/>
          <w:color w:val="auto"/>
        </w:rPr>
        <w:t>（2）变更工作影响工期的，承包人应提出调整工期的具体细节。监理人认为有必要时，可要求承包人提交要求提前或延长工期的施工进度计划及相应施工措施等详细资料。</w:t>
      </w:r>
    </w:p>
    <w:p>
      <w:pPr>
        <w:spacing w:line="400" w:lineRule="exact"/>
        <w:ind w:firstLine="420" w:firstLineChars="200"/>
        <w:rPr>
          <w:rFonts w:hint="eastAsia"/>
          <w:color w:val="auto"/>
        </w:rPr>
      </w:pPr>
      <w:r>
        <w:rPr>
          <w:rFonts w:hint="eastAsia"/>
          <w:color w:val="auto"/>
        </w:rPr>
        <w:t>（3）除专用合同条款对期限另有约定外，监理人收到承包人变更报价书后的14天内，根据第15.4款约定的估价原则，按照第3.5款商定或确定变更价格。</w:t>
      </w:r>
    </w:p>
    <w:p>
      <w:pPr>
        <w:spacing w:line="400" w:lineRule="exact"/>
        <w:ind w:firstLine="420" w:firstLineChars="200"/>
        <w:rPr>
          <w:rFonts w:hint="eastAsia"/>
          <w:color w:val="auto"/>
        </w:rPr>
      </w:pPr>
      <w:r>
        <w:rPr>
          <w:rFonts w:hint="eastAsia"/>
          <w:color w:val="auto"/>
        </w:rPr>
        <w:t xml:space="preserve">15.3.3 </w:t>
      </w:r>
      <w:r>
        <w:rPr>
          <w:rFonts w:hint="eastAsia" w:ascii="黑体" w:eastAsia="黑体"/>
          <w:color w:val="auto"/>
        </w:rPr>
        <w:t>变更指示</w:t>
      </w:r>
    </w:p>
    <w:p>
      <w:pPr>
        <w:spacing w:line="400" w:lineRule="exact"/>
        <w:ind w:firstLine="420" w:firstLineChars="200"/>
        <w:rPr>
          <w:rFonts w:hint="eastAsia"/>
          <w:color w:val="auto"/>
        </w:rPr>
      </w:pPr>
      <w:r>
        <w:rPr>
          <w:rFonts w:hint="eastAsia"/>
          <w:color w:val="auto"/>
        </w:rPr>
        <w:t>（1）变更指示只能由监理人发出。</w:t>
      </w:r>
    </w:p>
    <w:p>
      <w:pPr>
        <w:spacing w:line="400" w:lineRule="exact"/>
        <w:ind w:firstLine="420" w:firstLineChars="200"/>
        <w:rPr>
          <w:rFonts w:hint="eastAsia"/>
          <w:color w:val="auto"/>
        </w:rPr>
      </w:pPr>
      <w:r>
        <w:rPr>
          <w:rFonts w:hint="eastAsia"/>
          <w:color w:val="auto"/>
        </w:rPr>
        <w:t>（2）变更指示应说明变更的目的、范围、变更内容以及变更的工程量及其进度和技术要求，并附有关图纸和文件。承包人收到变更指示后，应按变更指示进行变更工作。</w:t>
      </w:r>
    </w:p>
    <w:p>
      <w:pPr>
        <w:keepNext/>
        <w:keepLines/>
        <w:spacing w:line="400" w:lineRule="exact"/>
        <w:outlineLvl w:val="3"/>
        <w:rPr>
          <w:rFonts w:hint="eastAsia" w:eastAsia="黑体"/>
          <w:color w:val="auto"/>
          <w:sz w:val="24"/>
          <w:szCs w:val="20"/>
        </w:rPr>
      </w:pPr>
      <w:bookmarkStart w:id="1430" w:name="_Toc152042488"/>
      <w:bookmarkStart w:id="1431" w:name="_Toc2303"/>
      <w:bookmarkStart w:id="1432" w:name="_Toc517172493"/>
      <w:bookmarkStart w:id="1433" w:name="_Toc179632728"/>
      <w:bookmarkStart w:id="1434" w:name="_Toc152045710"/>
      <w:bookmarkStart w:id="1435" w:name="_Toc144974679"/>
      <w:r>
        <w:rPr>
          <w:rFonts w:hint="eastAsia" w:eastAsia="黑体"/>
          <w:color w:val="auto"/>
          <w:sz w:val="24"/>
          <w:szCs w:val="20"/>
        </w:rPr>
        <w:t>15.4 变更的估价原则</w:t>
      </w:r>
      <w:bookmarkEnd w:id="1430"/>
      <w:bookmarkEnd w:id="1431"/>
      <w:bookmarkEnd w:id="1432"/>
      <w:bookmarkEnd w:id="1433"/>
      <w:bookmarkEnd w:id="1434"/>
      <w:bookmarkEnd w:id="1435"/>
    </w:p>
    <w:p>
      <w:pPr>
        <w:spacing w:line="400" w:lineRule="exact"/>
        <w:ind w:firstLine="420" w:firstLineChars="200"/>
        <w:rPr>
          <w:rFonts w:hint="eastAsia"/>
          <w:color w:val="auto"/>
        </w:rPr>
      </w:pPr>
      <w:r>
        <w:rPr>
          <w:rFonts w:hint="eastAsia"/>
          <w:color w:val="auto"/>
        </w:rPr>
        <w:t>除专用合同条款另有约定外，因变更引起的价格调整按照本款约定处理。</w:t>
      </w:r>
    </w:p>
    <w:p>
      <w:pPr>
        <w:spacing w:line="400" w:lineRule="exact"/>
        <w:ind w:firstLine="420" w:firstLineChars="200"/>
        <w:rPr>
          <w:rFonts w:hint="eastAsia"/>
          <w:color w:val="auto"/>
        </w:rPr>
      </w:pPr>
      <w:r>
        <w:rPr>
          <w:rFonts w:hint="eastAsia"/>
          <w:color w:val="auto"/>
        </w:rPr>
        <w:t>15.4.1 已标价工程量清单中有适用于变更工作的子目的，采用该子目的单价。</w:t>
      </w:r>
    </w:p>
    <w:p>
      <w:pPr>
        <w:spacing w:line="400" w:lineRule="exact"/>
        <w:ind w:firstLine="420" w:firstLineChars="200"/>
        <w:rPr>
          <w:rFonts w:hint="eastAsia"/>
          <w:color w:val="auto"/>
        </w:rPr>
      </w:pPr>
      <w:r>
        <w:rPr>
          <w:rFonts w:hint="eastAsia"/>
          <w:color w:val="auto"/>
        </w:rPr>
        <w:t>15.4.2 已标价工程量清单中无适用于变更工作的子目，但有类似子目的，可在合理范围内参照类似子目的单价，由监理人按第3.5款商定或确定变更工作的单价。</w:t>
      </w:r>
    </w:p>
    <w:p>
      <w:pPr>
        <w:spacing w:line="400" w:lineRule="exact"/>
        <w:ind w:firstLine="420" w:firstLineChars="200"/>
        <w:rPr>
          <w:rFonts w:hint="eastAsia"/>
          <w:color w:val="auto"/>
        </w:rPr>
      </w:pPr>
      <w:r>
        <w:rPr>
          <w:rFonts w:hint="eastAsia"/>
          <w:color w:val="auto"/>
        </w:rPr>
        <w:t>15.4.3 已标价工程量清单中无适用或类似子目的单价，可按照成本加利润的原则，由监理人按第3.5款商定或确定变更工作的单价。</w:t>
      </w:r>
    </w:p>
    <w:p>
      <w:pPr>
        <w:keepNext/>
        <w:keepLines/>
        <w:spacing w:line="400" w:lineRule="exact"/>
        <w:outlineLvl w:val="3"/>
        <w:rPr>
          <w:rFonts w:hint="eastAsia" w:eastAsia="黑体"/>
          <w:color w:val="auto"/>
          <w:sz w:val="24"/>
          <w:szCs w:val="20"/>
        </w:rPr>
      </w:pPr>
      <w:bookmarkStart w:id="1436" w:name="_Toc152042489"/>
      <w:bookmarkStart w:id="1437" w:name="_Toc152045711"/>
      <w:bookmarkStart w:id="1438" w:name="_Toc13868"/>
      <w:bookmarkStart w:id="1439" w:name="_Toc144974680"/>
      <w:bookmarkStart w:id="1440" w:name="_Toc517172494"/>
      <w:bookmarkStart w:id="1441" w:name="_Toc179632729"/>
      <w:r>
        <w:rPr>
          <w:rFonts w:hint="eastAsia" w:eastAsia="黑体"/>
          <w:color w:val="auto"/>
          <w:sz w:val="24"/>
          <w:szCs w:val="20"/>
        </w:rPr>
        <w:t>15.5 承包人的合理化建议</w:t>
      </w:r>
      <w:bookmarkEnd w:id="1436"/>
      <w:bookmarkEnd w:id="1437"/>
      <w:bookmarkEnd w:id="1438"/>
      <w:bookmarkEnd w:id="1439"/>
      <w:bookmarkEnd w:id="1440"/>
      <w:bookmarkEnd w:id="1441"/>
    </w:p>
    <w:p>
      <w:pPr>
        <w:spacing w:line="400" w:lineRule="exact"/>
        <w:ind w:firstLine="420" w:firstLineChars="200"/>
        <w:rPr>
          <w:rFonts w:hint="eastAsia"/>
          <w:color w:val="auto"/>
        </w:rPr>
      </w:pPr>
      <w:r>
        <w:rPr>
          <w:rFonts w:hint="eastAsia"/>
          <w:color w:val="auto"/>
        </w:rPr>
        <w:t>15.5.1 在履行合同过程中，承包人对发包人提供的图纸、技术要求以及其他方面提出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15.3.3项约定向承包人发出变更指示。</w:t>
      </w:r>
    </w:p>
    <w:p>
      <w:pPr>
        <w:spacing w:line="400" w:lineRule="exact"/>
        <w:ind w:firstLine="420" w:firstLineChars="200"/>
        <w:rPr>
          <w:rFonts w:hint="eastAsia"/>
          <w:color w:val="auto"/>
        </w:rPr>
      </w:pPr>
      <w:r>
        <w:rPr>
          <w:rFonts w:hint="eastAsia"/>
          <w:color w:val="auto"/>
        </w:rPr>
        <w:t>15.5.2 承包人提出的合理化建议降低了合同价格、缩短了工期或者提高了工程经济效益的，发包人可按国家有关规定在专用合同条款中约定给予奖励。</w:t>
      </w:r>
    </w:p>
    <w:p>
      <w:pPr>
        <w:keepNext/>
        <w:keepLines/>
        <w:spacing w:line="400" w:lineRule="exact"/>
        <w:outlineLvl w:val="3"/>
        <w:rPr>
          <w:rFonts w:hint="eastAsia" w:eastAsia="黑体"/>
          <w:color w:val="auto"/>
          <w:sz w:val="24"/>
          <w:szCs w:val="20"/>
        </w:rPr>
      </w:pPr>
      <w:bookmarkStart w:id="1442" w:name="_Toc179632730"/>
      <w:bookmarkStart w:id="1443" w:name="_Toc152045712"/>
      <w:bookmarkStart w:id="1444" w:name="_Toc152042490"/>
      <w:bookmarkStart w:id="1445" w:name="_Toc9727"/>
      <w:bookmarkStart w:id="1446" w:name="_Toc144974681"/>
      <w:bookmarkStart w:id="1447" w:name="_Toc517172495"/>
      <w:r>
        <w:rPr>
          <w:rFonts w:hint="eastAsia" w:eastAsia="黑体"/>
          <w:color w:val="auto"/>
          <w:sz w:val="24"/>
          <w:szCs w:val="20"/>
        </w:rPr>
        <w:t>15.6 暂列金额</w:t>
      </w:r>
      <w:bookmarkEnd w:id="1442"/>
      <w:bookmarkEnd w:id="1443"/>
      <w:bookmarkEnd w:id="1444"/>
      <w:bookmarkEnd w:id="1445"/>
      <w:bookmarkEnd w:id="1446"/>
      <w:bookmarkEnd w:id="1447"/>
    </w:p>
    <w:p>
      <w:pPr>
        <w:spacing w:line="400" w:lineRule="exact"/>
        <w:ind w:firstLine="420" w:firstLineChars="200"/>
        <w:rPr>
          <w:rFonts w:hint="eastAsia"/>
          <w:color w:val="auto"/>
        </w:rPr>
      </w:pPr>
      <w:r>
        <w:rPr>
          <w:rFonts w:hint="eastAsia"/>
          <w:color w:val="auto"/>
        </w:rPr>
        <w:t>暂列金额只能按照监理人的指示使用，并对合同价格进行相应调整。</w:t>
      </w:r>
    </w:p>
    <w:p>
      <w:pPr>
        <w:keepNext/>
        <w:keepLines/>
        <w:spacing w:line="400" w:lineRule="exact"/>
        <w:outlineLvl w:val="3"/>
        <w:rPr>
          <w:rFonts w:hint="eastAsia" w:eastAsia="黑体"/>
          <w:color w:val="auto"/>
          <w:sz w:val="24"/>
          <w:szCs w:val="20"/>
        </w:rPr>
      </w:pPr>
      <w:bookmarkStart w:id="1448" w:name="_Toc517172496"/>
      <w:bookmarkStart w:id="1449" w:name="_Toc179632731"/>
      <w:bookmarkStart w:id="1450" w:name="_Toc144974682"/>
      <w:bookmarkStart w:id="1451" w:name="_Toc152045713"/>
      <w:bookmarkStart w:id="1452" w:name="_Toc9955"/>
      <w:bookmarkStart w:id="1453" w:name="_Toc152042491"/>
      <w:r>
        <w:rPr>
          <w:rFonts w:hint="eastAsia" w:eastAsia="黑体"/>
          <w:color w:val="auto"/>
          <w:sz w:val="24"/>
          <w:szCs w:val="20"/>
        </w:rPr>
        <w:t>15.7 计日工</w:t>
      </w:r>
      <w:bookmarkEnd w:id="1448"/>
      <w:bookmarkEnd w:id="1449"/>
      <w:bookmarkEnd w:id="1450"/>
      <w:bookmarkEnd w:id="1451"/>
      <w:bookmarkEnd w:id="1452"/>
      <w:bookmarkEnd w:id="1453"/>
    </w:p>
    <w:p>
      <w:pPr>
        <w:spacing w:line="400" w:lineRule="exact"/>
        <w:ind w:firstLine="420" w:firstLineChars="200"/>
        <w:rPr>
          <w:rFonts w:hint="eastAsia"/>
          <w:color w:val="auto"/>
          <w:shd w:val="pct10" w:color="auto" w:fill="FFFFFF"/>
        </w:rPr>
      </w:pPr>
      <w:r>
        <w:rPr>
          <w:rFonts w:hint="eastAsia"/>
          <w:color w:val="auto"/>
        </w:rPr>
        <w:t>15.7.1 发包人认为有必要时，</w:t>
      </w:r>
      <w:r>
        <w:rPr>
          <w:rFonts w:hint="eastAsia"/>
          <w:color w:val="auto"/>
          <w:szCs w:val="21"/>
        </w:rPr>
        <w:t>由</w:t>
      </w:r>
      <w:r>
        <w:rPr>
          <w:rFonts w:hint="eastAsia"/>
          <w:color w:val="auto"/>
        </w:rPr>
        <w:t>监理人通知承包人以计日工方式实施变更的零星工作。其价款按列入已标价工程量清单中的计日工计价子目及其单价进行计算。</w:t>
      </w:r>
    </w:p>
    <w:p>
      <w:pPr>
        <w:spacing w:line="400" w:lineRule="exact"/>
        <w:ind w:firstLine="420" w:firstLineChars="200"/>
        <w:rPr>
          <w:rFonts w:hint="eastAsia"/>
          <w:color w:val="auto"/>
        </w:rPr>
      </w:pPr>
      <w:r>
        <w:rPr>
          <w:rFonts w:hint="eastAsia"/>
          <w:color w:val="auto"/>
        </w:rPr>
        <w:t>15.7.2 采用计日工计价的任何一项变更工作，应从暂列金额中支付，承包人应在该项变更的实施过程中，每天提交以下报表和有关凭证报送监理人审批：</w:t>
      </w:r>
    </w:p>
    <w:p>
      <w:pPr>
        <w:spacing w:line="400" w:lineRule="exact"/>
        <w:ind w:firstLine="718" w:firstLineChars="342"/>
        <w:rPr>
          <w:rFonts w:hint="eastAsia"/>
          <w:color w:val="auto"/>
        </w:rPr>
      </w:pPr>
      <w:r>
        <w:rPr>
          <w:rFonts w:hint="eastAsia"/>
          <w:color w:val="auto"/>
        </w:rPr>
        <w:t>（1）工作名称、内容和数量；</w:t>
      </w:r>
    </w:p>
    <w:p>
      <w:pPr>
        <w:spacing w:line="400" w:lineRule="exact"/>
        <w:ind w:firstLine="718" w:firstLineChars="342"/>
        <w:rPr>
          <w:rFonts w:hint="eastAsia"/>
          <w:color w:val="auto"/>
        </w:rPr>
      </w:pPr>
      <w:r>
        <w:rPr>
          <w:rFonts w:hint="eastAsia"/>
          <w:color w:val="auto"/>
        </w:rPr>
        <w:t>（2）投入该工作所有人员的姓名、工种、级别和耗用工时；</w:t>
      </w:r>
    </w:p>
    <w:p>
      <w:pPr>
        <w:spacing w:line="400" w:lineRule="exact"/>
        <w:ind w:firstLine="718" w:firstLineChars="342"/>
        <w:rPr>
          <w:rFonts w:hint="eastAsia"/>
          <w:color w:val="auto"/>
        </w:rPr>
      </w:pPr>
      <w:r>
        <w:rPr>
          <w:rFonts w:hint="eastAsia"/>
          <w:color w:val="auto"/>
        </w:rPr>
        <w:t>（3）投入该工作的材料类别和数量；</w:t>
      </w:r>
    </w:p>
    <w:p>
      <w:pPr>
        <w:spacing w:line="400" w:lineRule="exact"/>
        <w:ind w:firstLine="718" w:firstLineChars="342"/>
        <w:rPr>
          <w:rFonts w:hint="eastAsia"/>
          <w:color w:val="auto"/>
        </w:rPr>
      </w:pPr>
      <w:r>
        <w:rPr>
          <w:rFonts w:hint="eastAsia"/>
          <w:color w:val="auto"/>
        </w:rPr>
        <w:t>（4）投入该工作的施工设备型号、台数和耗用台时；</w:t>
      </w:r>
    </w:p>
    <w:p>
      <w:pPr>
        <w:spacing w:line="400" w:lineRule="exact"/>
        <w:ind w:firstLine="718" w:firstLineChars="342"/>
        <w:rPr>
          <w:rFonts w:hint="eastAsia"/>
          <w:color w:val="auto"/>
        </w:rPr>
      </w:pPr>
      <w:r>
        <w:rPr>
          <w:rFonts w:hint="eastAsia"/>
          <w:color w:val="auto"/>
        </w:rPr>
        <w:t>（5）监理人要求提交的其他资料和凭证。</w:t>
      </w:r>
    </w:p>
    <w:p>
      <w:pPr>
        <w:spacing w:line="400" w:lineRule="exact"/>
        <w:ind w:firstLine="420" w:firstLineChars="200"/>
        <w:rPr>
          <w:rFonts w:hint="eastAsia"/>
          <w:color w:val="auto"/>
        </w:rPr>
      </w:pPr>
      <w:r>
        <w:rPr>
          <w:rFonts w:hint="eastAsia"/>
          <w:color w:val="auto"/>
        </w:rPr>
        <w:t>15.7.3 计日工由承包人汇总后，按第17.3.2项的约定列入进度付款申请单，由监理人复核并经发包人同意后列入进度付款。</w:t>
      </w:r>
    </w:p>
    <w:p>
      <w:pPr>
        <w:keepNext/>
        <w:keepLines/>
        <w:spacing w:line="400" w:lineRule="exact"/>
        <w:outlineLvl w:val="3"/>
        <w:rPr>
          <w:rFonts w:eastAsia="黑体"/>
          <w:color w:val="auto"/>
          <w:sz w:val="24"/>
          <w:szCs w:val="20"/>
        </w:rPr>
      </w:pPr>
      <w:bookmarkStart w:id="1454" w:name="_Toc517172497"/>
      <w:bookmarkStart w:id="1455" w:name="_Toc20425"/>
      <w:r>
        <w:rPr>
          <w:rFonts w:eastAsia="黑体"/>
          <w:color w:val="auto"/>
          <w:sz w:val="24"/>
          <w:szCs w:val="20"/>
        </w:rPr>
        <w:t xml:space="preserve">15.8 </w:t>
      </w:r>
      <w:r>
        <w:rPr>
          <w:rFonts w:hint="eastAsia" w:eastAsia="黑体"/>
          <w:color w:val="auto"/>
          <w:sz w:val="24"/>
          <w:szCs w:val="20"/>
        </w:rPr>
        <w:t>暂估价</w:t>
      </w:r>
      <w:bookmarkEnd w:id="1423"/>
      <w:bookmarkEnd w:id="1454"/>
      <w:bookmarkEnd w:id="1455"/>
    </w:p>
    <w:p>
      <w:pPr>
        <w:spacing w:line="400" w:lineRule="exact"/>
        <w:ind w:firstLine="424" w:firstLineChars="202"/>
        <w:rPr>
          <w:rFonts w:hint="eastAsia"/>
          <w:color w:val="auto"/>
        </w:rPr>
      </w:pPr>
      <w:bookmarkStart w:id="1456" w:name="_Toc222033868"/>
      <w:bookmarkStart w:id="1457" w:name="_Toc221950944"/>
      <w:bookmarkStart w:id="1458" w:name="_Toc222029517"/>
      <w:bookmarkStart w:id="1459" w:name="_Toc222031019"/>
      <w:bookmarkStart w:id="1460" w:name="_Toc229305377"/>
      <w:bookmarkStart w:id="1461" w:name="_Toc222032686"/>
      <w:r>
        <w:rPr>
          <w:rFonts w:hint="eastAsia"/>
          <w:color w:val="auto"/>
        </w:rPr>
        <w:t>15.8.1 发包人在工程量清单中给定暂估价的材料、工程设备和专业工程属于依法必须招标的范围并达到规定的规模标准的，若承包人不具备承担暂估价项目的能力或具备承担暂估价项目的能力但明确不参与投标的，由发包人和承包人组织招标；若承包人具备承担暂估价项目的能力且明确参与投标的，由发包人组织招标。暂估价项目中标金额与与工程量清单中所列金额差以及相应的税金等其他费用列入合同价格。必须招标的暂估价项目招标组织形式、发包人和承包人组织招标时双方的权利义务关系在专用合同条款中约定。</w:t>
      </w:r>
    </w:p>
    <w:p>
      <w:pPr>
        <w:spacing w:line="400" w:lineRule="exact"/>
        <w:ind w:firstLine="420" w:firstLineChars="200"/>
        <w:rPr>
          <w:rFonts w:hint="eastAsia"/>
          <w:color w:val="auto"/>
        </w:rPr>
      </w:pPr>
      <w:r>
        <w:rPr>
          <w:rFonts w:hint="eastAsia"/>
          <w:color w:val="auto"/>
        </w:rPr>
        <w:t>15.8.2 发包人在工程量清单中给定暂估价的材料和工程设备不属于依法必须招标的范围或未达到规定的规模标准的，应由承包人按第5.1款的约定提供。经监理人确认的材料、工程设备的价格与工程量清单中所列的暂估价的金额差以及相应的税金等其他费用列入合同价格。</w:t>
      </w:r>
    </w:p>
    <w:p>
      <w:pPr>
        <w:spacing w:line="400" w:lineRule="exact"/>
        <w:ind w:firstLine="420" w:firstLineChars="200"/>
        <w:rPr>
          <w:rFonts w:hint="eastAsia"/>
          <w:color w:val="auto"/>
        </w:rPr>
      </w:pPr>
      <w:r>
        <w:rPr>
          <w:rFonts w:hint="eastAsia"/>
          <w:color w:val="auto"/>
        </w:rPr>
        <w:t>15.8.3 发包人在工程量清单中给定暂估价的专业工程不属于依法必须招标的范围或未达到规定的规模标准的，由监理人按照第15.4款进行估价，但专用合同条款另有约定的除外。经估价的专业工程与工程量清单中所列的暂估价的金额差以及相应的税金等其他费用列入合同价格。</w:t>
      </w:r>
    </w:p>
    <w:p>
      <w:pPr>
        <w:pStyle w:val="80"/>
        <w:spacing w:before="120" w:after="120" w:afterLines="50"/>
        <w:outlineLvl w:val="2"/>
        <w:rPr>
          <w:color w:val="auto"/>
        </w:rPr>
      </w:pPr>
      <w:bookmarkStart w:id="1462" w:name="_Toc491089744"/>
      <w:bookmarkStart w:id="1463" w:name="_Toc387753599"/>
      <w:bookmarkStart w:id="1464" w:name="_Toc517172498"/>
      <w:bookmarkStart w:id="1465" w:name="_Toc15442"/>
      <w:r>
        <w:rPr>
          <w:color w:val="auto"/>
        </w:rPr>
        <w:t xml:space="preserve">16. </w:t>
      </w:r>
      <w:r>
        <w:rPr>
          <w:rFonts w:hint="eastAsia"/>
          <w:color w:val="auto"/>
        </w:rPr>
        <w:t>价格调整</w:t>
      </w:r>
      <w:bookmarkEnd w:id="1456"/>
      <w:bookmarkEnd w:id="1457"/>
      <w:bookmarkEnd w:id="1458"/>
      <w:bookmarkEnd w:id="1459"/>
      <w:bookmarkEnd w:id="1460"/>
      <w:bookmarkEnd w:id="1461"/>
      <w:bookmarkEnd w:id="1462"/>
      <w:bookmarkEnd w:id="1463"/>
      <w:bookmarkEnd w:id="1464"/>
      <w:bookmarkEnd w:id="1465"/>
    </w:p>
    <w:p>
      <w:pPr>
        <w:keepNext/>
        <w:keepLines/>
        <w:spacing w:line="400" w:lineRule="exact"/>
        <w:outlineLvl w:val="3"/>
        <w:rPr>
          <w:rFonts w:eastAsia="黑体"/>
          <w:color w:val="auto"/>
          <w:sz w:val="24"/>
          <w:szCs w:val="20"/>
        </w:rPr>
      </w:pPr>
      <w:bookmarkStart w:id="1466" w:name="_Toc221950945"/>
      <w:bookmarkStart w:id="1467" w:name="_Toc17208"/>
      <w:bookmarkStart w:id="1468" w:name="_Toc517172499"/>
      <w:r>
        <w:rPr>
          <w:rFonts w:eastAsia="黑体"/>
          <w:color w:val="auto"/>
          <w:sz w:val="24"/>
          <w:szCs w:val="20"/>
        </w:rPr>
        <w:t xml:space="preserve">16.1 </w:t>
      </w:r>
      <w:r>
        <w:rPr>
          <w:rFonts w:hint="eastAsia" w:eastAsia="黑体"/>
          <w:color w:val="auto"/>
          <w:sz w:val="24"/>
          <w:szCs w:val="20"/>
        </w:rPr>
        <w:t>物价波动引起的价格调整</w:t>
      </w:r>
      <w:bookmarkEnd w:id="1466"/>
      <w:bookmarkEnd w:id="1467"/>
      <w:bookmarkEnd w:id="1468"/>
    </w:p>
    <w:p>
      <w:pPr>
        <w:spacing w:line="400" w:lineRule="exact"/>
        <w:ind w:firstLine="420" w:firstLineChars="200"/>
        <w:rPr>
          <w:rFonts w:hint="eastAsia"/>
          <w:color w:val="auto"/>
        </w:rPr>
      </w:pPr>
      <w:r>
        <w:rPr>
          <w:rFonts w:hint="eastAsia"/>
          <w:color w:val="auto"/>
        </w:rPr>
        <w:t>由于物价波动原因引起合同价格需要调整的，其价格调整方式在专用合同条款中约定。</w:t>
      </w:r>
    </w:p>
    <w:p>
      <w:pPr>
        <w:spacing w:line="400" w:lineRule="exact"/>
        <w:ind w:firstLine="420" w:firstLineChars="200"/>
        <w:rPr>
          <w:rFonts w:hint="eastAsia"/>
          <w:color w:val="auto"/>
        </w:rPr>
      </w:pPr>
      <w:r>
        <w:rPr>
          <w:rFonts w:hint="eastAsia"/>
          <w:color w:val="auto"/>
        </w:rPr>
        <w:t xml:space="preserve">16.1.1 </w:t>
      </w:r>
      <w:r>
        <w:rPr>
          <w:rFonts w:hint="eastAsia" w:ascii="黑体" w:eastAsia="黑体"/>
          <w:color w:val="auto"/>
        </w:rPr>
        <w:t>采用价格指数调整价格差额</w:t>
      </w:r>
    </w:p>
    <w:p>
      <w:pPr>
        <w:spacing w:line="400" w:lineRule="exact"/>
        <w:ind w:firstLine="420" w:firstLineChars="200"/>
        <w:rPr>
          <w:rFonts w:hint="eastAsia"/>
          <w:color w:val="auto"/>
        </w:rPr>
      </w:pPr>
      <w:r>
        <w:rPr>
          <w:rFonts w:hint="eastAsia"/>
          <w:color w:val="auto"/>
        </w:rPr>
        <w:t>16.1.1.1 价格调整公式</w:t>
      </w:r>
    </w:p>
    <w:p>
      <w:pPr>
        <w:spacing w:line="400" w:lineRule="exact"/>
        <w:ind w:firstLine="420" w:firstLineChars="200"/>
        <w:rPr>
          <w:rFonts w:hint="eastAsia"/>
          <w:color w:val="auto"/>
        </w:rPr>
      </w:pPr>
      <w:r>
        <w:rPr>
          <w:rFonts w:hint="eastAsia"/>
          <w:color w:val="auto"/>
        </w:rPr>
        <w:t>因人工、材料和设备等价格波动影响合同价格时，根据投标函附录中的价格指数和权重表约定的数据，按以下公式计算差额并调整合同价格。</w:t>
      </w:r>
    </w:p>
    <w:p>
      <w:pPr>
        <w:autoSpaceDE w:val="0"/>
        <w:autoSpaceDN w:val="0"/>
        <w:adjustRightInd w:val="0"/>
        <w:spacing w:line="1200" w:lineRule="exact"/>
        <w:ind w:right="248" w:firstLine="756" w:firstLineChars="398"/>
        <w:rPr>
          <w:rFonts w:hint="eastAsia"/>
          <w:color w:val="auto"/>
        </w:rPr>
      </w:pPr>
      <w:r>
        <w:rPr>
          <w:rFonts w:hint="eastAsia"/>
          <w:bCs/>
          <w:color w:val="auto"/>
          <w:kern w:val="0"/>
          <w:sz w:val="19"/>
          <w:szCs w:val="19"/>
          <w:lang w:val="zh-CN"/>
        </w:rPr>
        <w:t xml:space="preserve">        </w:t>
      </w:r>
      <w:r>
        <w:rPr>
          <w:color w:val="auto"/>
          <w:position w:val="-34"/>
        </w:rPr>
        <w:object>
          <v:shape id="_x0000_i1028" o:spt="75" type="#_x0000_t75" style="height:40pt;width:306pt;" o:ole="t" filled="f" o:preferrelative="t" stroked="f" coordsize="21600,21600">
            <v:path/>
            <v:fill on="f" focussize="0,0"/>
            <v:stroke on="f"/>
            <v:imagedata r:id="rId29" o:title=""/>
            <o:lock v:ext="edit" grouping="f" rotation="f" text="f" aspectratio="t"/>
            <w10:wrap type="none"/>
            <w10:anchorlock/>
          </v:shape>
          <o:OLEObject Type="Embed" ProgID="Equation.3" ShapeID="_x0000_i1028" DrawAspect="Content" ObjectID="_1468075728" r:id="rId28">
            <o:LockedField>false</o:LockedField>
          </o:OLEObject>
        </w:object>
      </w:r>
    </w:p>
    <w:p>
      <w:pPr>
        <w:tabs>
          <w:tab w:val="left" w:pos="1260"/>
        </w:tabs>
        <w:spacing w:line="400" w:lineRule="exact"/>
        <w:ind w:firstLine="420" w:firstLineChars="200"/>
        <w:rPr>
          <w:rFonts w:hint="eastAsia"/>
          <w:color w:val="auto"/>
        </w:rPr>
      </w:pPr>
      <w:r>
        <w:rPr>
          <w:rFonts w:hint="eastAsia"/>
          <w:color w:val="auto"/>
        </w:rPr>
        <w:t xml:space="preserve"> </w:t>
      </w:r>
    </w:p>
    <w:p>
      <w:pPr>
        <w:tabs>
          <w:tab w:val="left" w:pos="1260"/>
        </w:tabs>
        <w:spacing w:line="400" w:lineRule="exact"/>
        <w:ind w:firstLine="420" w:firstLineChars="200"/>
        <w:rPr>
          <w:rFonts w:hint="eastAsia"/>
          <w:color w:val="auto"/>
        </w:rPr>
      </w:pPr>
      <w:r>
        <w:rPr>
          <w:rFonts w:hint="eastAsia"/>
          <w:color w:val="auto"/>
        </w:rPr>
        <w:t>式中： △P -- 需调整的价格差额；</w:t>
      </w:r>
    </w:p>
    <w:p>
      <w:pPr>
        <w:tabs>
          <w:tab w:val="left" w:pos="1260"/>
        </w:tabs>
        <w:spacing w:line="400" w:lineRule="exact"/>
        <w:rPr>
          <w:rFonts w:hint="eastAsia"/>
          <w:color w:val="auto"/>
        </w:rPr>
      </w:pPr>
      <w:r>
        <w:rPr>
          <w:rFonts w:hint="eastAsia"/>
          <w:color w:val="auto"/>
        </w:rPr>
        <w:tab/>
      </w:r>
      <w:r>
        <w:rPr>
          <w:rFonts w:hint="eastAsia"/>
          <w:color w:val="auto"/>
        </w:rPr>
        <w:t>P</w:t>
      </w:r>
      <w:r>
        <w:rPr>
          <w:rFonts w:hint="eastAsia"/>
          <w:color w:val="auto"/>
          <w:szCs w:val="21"/>
          <w:vertAlign w:val="subscript"/>
        </w:rPr>
        <w:t>0</w:t>
      </w:r>
      <w:r>
        <w:rPr>
          <w:rFonts w:hint="eastAsia"/>
          <w:color w:val="auto"/>
        </w:rPr>
        <w:t xml:space="preserve"> -- 第17.3.3项、第17.5.2项和第17.6.2项约定的付款证书中承包人应得到的已完成工程量的金额。此项金额应不包括价格调整、不计质量保证金的扣留和支付、预付款的支付和扣回。第15条约定的变更及其他金额已按现行价格计价的，也不计在内；</w:t>
      </w:r>
    </w:p>
    <w:p>
      <w:pPr>
        <w:tabs>
          <w:tab w:val="left" w:pos="1260"/>
        </w:tabs>
        <w:spacing w:line="400" w:lineRule="exact"/>
        <w:rPr>
          <w:rFonts w:hint="eastAsia"/>
          <w:color w:val="auto"/>
        </w:rPr>
      </w:pPr>
      <w:r>
        <w:rPr>
          <w:rFonts w:hint="eastAsia"/>
          <w:color w:val="auto"/>
        </w:rPr>
        <w:tab/>
      </w:r>
      <w:bookmarkStart w:id="1469" w:name="_Toc144974686"/>
      <w:bookmarkStart w:id="1470" w:name="_Toc152042495"/>
      <w:r>
        <w:rPr>
          <w:rFonts w:hint="eastAsia"/>
          <w:color w:val="auto"/>
        </w:rPr>
        <w:t>A -- 定值权重(即不调部分的权重)；</w:t>
      </w:r>
      <w:bookmarkEnd w:id="1469"/>
      <w:bookmarkEnd w:id="1470"/>
    </w:p>
    <w:p>
      <w:pPr>
        <w:tabs>
          <w:tab w:val="left" w:pos="1260"/>
        </w:tabs>
        <w:spacing w:line="400" w:lineRule="exact"/>
        <w:rPr>
          <w:rFonts w:hint="eastAsia"/>
          <w:color w:val="auto"/>
        </w:rPr>
      </w:pPr>
      <w:r>
        <w:rPr>
          <w:rFonts w:hint="eastAsia"/>
          <w:color w:val="auto"/>
        </w:rPr>
        <w:tab/>
      </w:r>
      <w:r>
        <w:rPr>
          <w:rFonts w:hint="eastAsia"/>
          <w:color w:val="auto"/>
        </w:rPr>
        <w:t>B</w:t>
      </w:r>
      <w:r>
        <w:rPr>
          <w:rFonts w:hint="eastAsia"/>
          <w:color w:val="auto"/>
          <w:szCs w:val="21"/>
          <w:vertAlign w:val="subscript"/>
        </w:rPr>
        <w:t>1</w:t>
      </w:r>
      <w:r>
        <w:rPr>
          <w:rFonts w:hint="eastAsia"/>
          <w:color w:val="auto"/>
          <w:sz w:val="15"/>
          <w:szCs w:val="15"/>
        </w:rPr>
        <w:t>;</w:t>
      </w:r>
      <w:r>
        <w:rPr>
          <w:rFonts w:hint="eastAsia"/>
          <w:color w:val="auto"/>
        </w:rPr>
        <w:t xml:space="preserve"> B</w:t>
      </w:r>
      <w:r>
        <w:rPr>
          <w:rFonts w:hint="eastAsia"/>
          <w:color w:val="auto"/>
          <w:szCs w:val="21"/>
          <w:vertAlign w:val="subscript"/>
        </w:rPr>
        <w:t>2</w:t>
      </w:r>
      <w:r>
        <w:rPr>
          <w:rFonts w:hint="eastAsia"/>
          <w:color w:val="auto"/>
        </w:rPr>
        <w:t xml:space="preserve"> ;B</w:t>
      </w:r>
      <w:r>
        <w:rPr>
          <w:rFonts w:hint="eastAsia"/>
          <w:color w:val="auto"/>
          <w:szCs w:val="21"/>
          <w:vertAlign w:val="subscript"/>
        </w:rPr>
        <w:t>3</w:t>
      </w:r>
      <w:r>
        <w:rPr>
          <w:rFonts w:hint="eastAsia" w:ascii="宋体" w:hAnsi="宋体"/>
          <w:color w:val="auto"/>
          <w:sz w:val="15"/>
          <w:szCs w:val="15"/>
        </w:rPr>
        <w:t>·····</w:t>
      </w:r>
      <w:r>
        <w:rPr>
          <w:rFonts w:hint="eastAsia"/>
          <w:color w:val="auto"/>
        </w:rPr>
        <w:t>B</w:t>
      </w:r>
      <w:r>
        <w:rPr>
          <w:rFonts w:hint="eastAsia"/>
          <w:color w:val="auto"/>
          <w:szCs w:val="21"/>
          <w:vertAlign w:val="subscript"/>
        </w:rPr>
        <w:t>n</w:t>
      </w:r>
      <w:r>
        <w:rPr>
          <w:rFonts w:hint="eastAsia"/>
          <w:color w:val="auto"/>
        </w:rPr>
        <w:t xml:space="preserve"> -- 各可调因子的变值权重(即可调部分的权重)为各可调因子在投标函投标总报价中所占的比例；</w:t>
      </w:r>
    </w:p>
    <w:p>
      <w:pPr>
        <w:tabs>
          <w:tab w:val="left" w:pos="1260"/>
        </w:tabs>
        <w:spacing w:line="400" w:lineRule="exact"/>
        <w:rPr>
          <w:rFonts w:hint="eastAsia"/>
          <w:color w:val="auto"/>
        </w:rPr>
      </w:pPr>
      <w:r>
        <w:rPr>
          <w:rFonts w:hint="eastAsia"/>
          <w:color w:val="auto"/>
        </w:rPr>
        <w:tab/>
      </w:r>
      <w:r>
        <w:rPr>
          <w:rFonts w:hint="eastAsia"/>
          <w:color w:val="auto"/>
        </w:rPr>
        <w:t>F</w:t>
      </w:r>
      <w:r>
        <w:rPr>
          <w:rFonts w:hint="eastAsia"/>
          <w:color w:val="auto"/>
          <w:szCs w:val="21"/>
          <w:vertAlign w:val="subscript"/>
        </w:rPr>
        <w:t>t1</w:t>
      </w:r>
      <w:r>
        <w:rPr>
          <w:rFonts w:hint="eastAsia"/>
          <w:color w:val="auto"/>
        </w:rPr>
        <w:t xml:space="preserve"> ;F</w:t>
      </w:r>
      <w:r>
        <w:rPr>
          <w:rFonts w:hint="eastAsia"/>
          <w:color w:val="auto"/>
          <w:szCs w:val="21"/>
          <w:vertAlign w:val="subscript"/>
        </w:rPr>
        <w:t>t2</w:t>
      </w:r>
      <w:r>
        <w:rPr>
          <w:rFonts w:hint="eastAsia"/>
          <w:color w:val="auto"/>
        </w:rPr>
        <w:t xml:space="preserve"> ;F</w:t>
      </w:r>
      <w:r>
        <w:rPr>
          <w:rFonts w:hint="eastAsia"/>
          <w:color w:val="auto"/>
          <w:szCs w:val="21"/>
          <w:vertAlign w:val="subscript"/>
        </w:rPr>
        <w:t>t3</w:t>
      </w:r>
      <w:r>
        <w:rPr>
          <w:rFonts w:hint="eastAsia" w:ascii="宋体" w:hAnsi="宋体"/>
          <w:color w:val="auto"/>
          <w:sz w:val="15"/>
          <w:szCs w:val="15"/>
        </w:rPr>
        <w:t>·····</w:t>
      </w:r>
      <w:r>
        <w:rPr>
          <w:rFonts w:hint="eastAsia"/>
          <w:color w:val="auto"/>
        </w:rPr>
        <w:t>F</w:t>
      </w:r>
      <w:r>
        <w:rPr>
          <w:rFonts w:hint="eastAsia"/>
          <w:color w:val="auto"/>
          <w:szCs w:val="21"/>
          <w:vertAlign w:val="subscript"/>
        </w:rPr>
        <w:t>tn</w:t>
      </w:r>
      <w:r>
        <w:rPr>
          <w:rFonts w:hint="eastAsia"/>
          <w:color w:val="auto"/>
        </w:rPr>
        <w:t xml:space="preserve"> -- 各可调因子的现行价格指数，指第17.3.3项、第17.5.2项和第17.6.2项约定的付款证书相关周期最后一天的前42天的各可调因子的价格指数；</w:t>
      </w:r>
    </w:p>
    <w:p>
      <w:pPr>
        <w:tabs>
          <w:tab w:val="left" w:pos="1260"/>
        </w:tabs>
        <w:spacing w:line="400" w:lineRule="exact"/>
        <w:rPr>
          <w:rFonts w:hint="eastAsia"/>
          <w:color w:val="auto"/>
        </w:rPr>
      </w:pPr>
      <w:r>
        <w:rPr>
          <w:rFonts w:hint="eastAsia"/>
          <w:color w:val="auto"/>
        </w:rPr>
        <w:tab/>
      </w:r>
      <w:r>
        <w:rPr>
          <w:rFonts w:hint="eastAsia"/>
          <w:color w:val="auto"/>
        </w:rPr>
        <w:t>F</w:t>
      </w:r>
      <w:r>
        <w:rPr>
          <w:rFonts w:hint="eastAsia"/>
          <w:color w:val="auto"/>
          <w:szCs w:val="21"/>
          <w:vertAlign w:val="subscript"/>
        </w:rPr>
        <w:t>o1</w:t>
      </w:r>
      <w:r>
        <w:rPr>
          <w:rFonts w:hint="eastAsia"/>
          <w:color w:val="auto"/>
        </w:rPr>
        <w:t>; F</w:t>
      </w:r>
      <w:r>
        <w:rPr>
          <w:rFonts w:hint="eastAsia"/>
          <w:color w:val="auto"/>
          <w:szCs w:val="21"/>
          <w:vertAlign w:val="subscript"/>
        </w:rPr>
        <w:t>o2</w:t>
      </w:r>
      <w:r>
        <w:rPr>
          <w:rFonts w:hint="eastAsia"/>
          <w:color w:val="auto"/>
          <w:sz w:val="15"/>
          <w:szCs w:val="15"/>
        </w:rPr>
        <w:t>;</w:t>
      </w:r>
      <w:r>
        <w:rPr>
          <w:rFonts w:hint="eastAsia"/>
          <w:color w:val="auto"/>
        </w:rPr>
        <w:t xml:space="preserve"> F</w:t>
      </w:r>
      <w:r>
        <w:rPr>
          <w:rFonts w:hint="eastAsia"/>
          <w:color w:val="auto"/>
          <w:szCs w:val="21"/>
          <w:vertAlign w:val="subscript"/>
        </w:rPr>
        <w:t>o3</w:t>
      </w:r>
      <w:r>
        <w:rPr>
          <w:rFonts w:hint="eastAsia" w:ascii="宋体" w:hAnsi="宋体"/>
          <w:color w:val="auto"/>
          <w:sz w:val="15"/>
          <w:szCs w:val="15"/>
        </w:rPr>
        <w:t>·····</w:t>
      </w:r>
      <w:r>
        <w:rPr>
          <w:rFonts w:hint="eastAsia"/>
          <w:color w:val="auto"/>
        </w:rPr>
        <w:t>F</w:t>
      </w:r>
      <w:r>
        <w:rPr>
          <w:rFonts w:hint="eastAsia"/>
          <w:color w:val="auto"/>
          <w:szCs w:val="21"/>
          <w:vertAlign w:val="subscript"/>
        </w:rPr>
        <w:t>on</w:t>
      </w:r>
      <w:r>
        <w:rPr>
          <w:rFonts w:hint="eastAsia"/>
          <w:color w:val="auto"/>
        </w:rPr>
        <w:t xml:space="preserve"> -- 各可调因子的基本价格指数，指基准日期的各可调因子的价格指数。</w:t>
      </w:r>
    </w:p>
    <w:p>
      <w:pPr>
        <w:spacing w:line="400" w:lineRule="exact"/>
        <w:ind w:firstLine="420" w:firstLineChars="200"/>
        <w:rPr>
          <w:rFonts w:hint="eastAsia"/>
          <w:color w:val="auto"/>
        </w:rPr>
      </w:pPr>
      <w:r>
        <w:rPr>
          <w:rFonts w:hint="eastAsia"/>
          <w:color w:val="auto"/>
        </w:rPr>
        <w:t>以上价格调整公式中的各可调因子、定值和变值权重，以及基本价格指数及其来源在投标函附录价格指数和权重表中约定。价格指数应首先采用有关部门提供的价格指数，缺乏上述价格指数时，可采用有关部门提供的价格代替</w:t>
      </w:r>
    </w:p>
    <w:p>
      <w:pPr>
        <w:spacing w:line="400" w:lineRule="exact"/>
        <w:ind w:firstLine="420" w:firstLineChars="200"/>
        <w:rPr>
          <w:rFonts w:hint="eastAsia"/>
          <w:color w:val="auto"/>
        </w:rPr>
      </w:pPr>
      <w:r>
        <w:rPr>
          <w:rFonts w:hint="eastAsia"/>
          <w:color w:val="auto"/>
        </w:rPr>
        <w:t>16.1.1.2 暂时确定调整差额</w:t>
      </w:r>
    </w:p>
    <w:p>
      <w:pPr>
        <w:spacing w:line="400" w:lineRule="exact"/>
        <w:ind w:firstLine="420" w:firstLineChars="200"/>
        <w:rPr>
          <w:rFonts w:hint="eastAsia"/>
          <w:color w:val="auto"/>
        </w:rPr>
      </w:pPr>
      <w:r>
        <w:rPr>
          <w:rFonts w:hint="eastAsia"/>
          <w:color w:val="auto"/>
        </w:rPr>
        <w:t>在计算调整差额时得不到现行价格指数的，可暂用上一次价格指数计算，并在以后的付款中再按实际价格指数进行调整。</w:t>
      </w:r>
    </w:p>
    <w:p>
      <w:pPr>
        <w:spacing w:line="400" w:lineRule="exact"/>
        <w:ind w:firstLine="420" w:firstLineChars="200"/>
        <w:rPr>
          <w:rFonts w:hint="eastAsia"/>
          <w:color w:val="auto"/>
        </w:rPr>
      </w:pPr>
      <w:r>
        <w:rPr>
          <w:rFonts w:hint="eastAsia"/>
          <w:color w:val="auto"/>
        </w:rPr>
        <w:t>16.1.1.3 权重的调整</w:t>
      </w:r>
    </w:p>
    <w:p>
      <w:pPr>
        <w:spacing w:line="400" w:lineRule="exact"/>
        <w:ind w:firstLine="420" w:firstLineChars="200"/>
        <w:rPr>
          <w:rFonts w:hint="eastAsia"/>
          <w:color w:val="auto"/>
        </w:rPr>
      </w:pPr>
      <w:r>
        <w:rPr>
          <w:rFonts w:hint="eastAsia"/>
          <w:color w:val="auto"/>
        </w:rPr>
        <w:t>按第15.1款约定的变更导致原定合同中的权重不合理时，由监理人与承包人和发包人协商后进行调整。</w:t>
      </w:r>
    </w:p>
    <w:p>
      <w:pPr>
        <w:spacing w:line="400" w:lineRule="exact"/>
        <w:ind w:firstLine="420" w:firstLineChars="200"/>
        <w:rPr>
          <w:rFonts w:hint="eastAsia"/>
          <w:color w:val="auto"/>
        </w:rPr>
      </w:pPr>
      <w:r>
        <w:rPr>
          <w:rFonts w:hint="eastAsia"/>
          <w:color w:val="auto"/>
        </w:rPr>
        <w:t>16.1.1.4 承包人工期延误后的价格调整</w:t>
      </w:r>
    </w:p>
    <w:p>
      <w:pPr>
        <w:spacing w:line="400" w:lineRule="exact"/>
        <w:ind w:firstLine="420" w:firstLineChars="200"/>
        <w:rPr>
          <w:rFonts w:hint="eastAsia"/>
          <w:color w:val="auto"/>
        </w:rPr>
      </w:pPr>
      <w:r>
        <w:rPr>
          <w:rFonts w:hint="eastAsia"/>
          <w:color w:val="auto"/>
        </w:rPr>
        <w:t>由于承包人原因未在约定的工期内竣工的，则对原约定竣工日期后继续施工的工程，在使用第16.1.1.1目价格调整公式时，应采用原约定竣工日期与实际竣工日期的两个价格指数中较低的一个作为现行价格指数。</w:t>
      </w:r>
    </w:p>
    <w:p>
      <w:pPr>
        <w:spacing w:line="400" w:lineRule="exact"/>
        <w:ind w:firstLine="420" w:firstLineChars="200"/>
        <w:rPr>
          <w:rFonts w:hint="eastAsia" w:ascii="黑体" w:eastAsia="黑体"/>
          <w:color w:val="auto"/>
        </w:rPr>
      </w:pPr>
      <w:r>
        <w:rPr>
          <w:rFonts w:hint="eastAsia" w:ascii="黑体" w:eastAsia="黑体"/>
          <w:color w:val="auto"/>
        </w:rPr>
        <w:t>16.1.2 采用造价信息调整价格差额</w:t>
      </w:r>
    </w:p>
    <w:p>
      <w:pPr>
        <w:spacing w:line="400" w:lineRule="exact"/>
        <w:ind w:firstLine="420" w:firstLineChars="200"/>
        <w:rPr>
          <w:rFonts w:hint="eastAsia"/>
          <w:color w:val="auto"/>
        </w:rPr>
      </w:pPr>
      <w:r>
        <w:rPr>
          <w:rFonts w:hint="eastAsia"/>
          <w:color w:val="auto"/>
        </w:rPr>
        <w:t>施工期内，因人工、材料、设备和机械台班价格波动影响合同价格时，人工、机械使用费按照国家或省（自治区、直辖市）建设行政管理部门、行业建设管理部门或其授权的工程造价管理机构发布的人工成本信息、机械台班单价或机械使用费系数进行调整；需要进行价格调整的材料，其单价和采购数应由监理人复核，监理人确认需调整的材料单价及数量，作为调整工程合同价格差额的依据。</w:t>
      </w:r>
    </w:p>
    <w:p>
      <w:pPr>
        <w:spacing w:line="400" w:lineRule="exact"/>
        <w:ind w:firstLine="420" w:firstLineChars="200"/>
        <w:rPr>
          <w:rFonts w:hint="eastAsia"/>
          <w:color w:val="auto"/>
        </w:rPr>
      </w:pPr>
      <w:r>
        <w:rPr>
          <w:rFonts w:hint="eastAsia"/>
          <w:color w:val="auto"/>
        </w:rPr>
        <w:t>工程造价信息的来源以及价格调整的项目和系数在专用合同条款中约定。</w:t>
      </w:r>
    </w:p>
    <w:p>
      <w:pPr>
        <w:keepNext/>
        <w:keepLines/>
        <w:spacing w:line="400" w:lineRule="exact"/>
        <w:outlineLvl w:val="3"/>
        <w:rPr>
          <w:rFonts w:hint="eastAsia" w:eastAsia="黑体"/>
          <w:color w:val="auto"/>
          <w:sz w:val="24"/>
          <w:szCs w:val="20"/>
        </w:rPr>
      </w:pPr>
      <w:bookmarkStart w:id="1471" w:name="_Toc144974688"/>
      <w:bookmarkStart w:id="1472" w:name="_Toc631"/>
      <w:bookmarkStart w:id="1473" w:name="_Toc517172500"/>
      <w:bookmarkStart w:id="1474" w:name="_Toc491089745"/>
      <w:bookmarkStart w:id="1475" w:name="_Toc152045717"/>
      <w:bookmarkStart w:id="1476" w:name="_Toc152042496"/>
      <w:bookmarkStart w:id="1477" w:name="_Toc179632735"/>
      <w:r>
        <w:rPr>
          <w:rFonts w:hint="eastAsia" w:eastAsia="黑体"/>
          <w:color w:val="auto"/>
          <w:sz w:val="24"/>
          <w:szCs w:val="20"/>
        </w:rPr>
        <w:t>16.2 法律变化引起的价格调整</w:t>
      </w:r>
      <w:bookmarkEnd w:id="1471"/>
      <w:bookmarkEnd w:id="1472"/>
      <w:bookmarkEnd w:id="1473"/>
      <w:bookmarkEnd w:id="1474"/>
      <w:bookmarkEnd w:id="1475"/>
      <w:bookmarkEnd w:id="1476"/>
      <w:bookmarkEnd w:id="1477"/>
    </w:p>
    <w:p>
      <w:pPr>
        <w:spacing w:line="400" w:lineRule="exact"/>
        <w:ind w:firstLine="420" w:firstLineChars="200"/>
        <w:rPr>
          <w:rFonts w:hint="eastAsia"/>
          <w:color w:val="auto"/>
        </w:rPr>
      </w:pPr>
      <w:r>
        <w:rPr>
          <w:rFonts w:hint="eastAsia"/>
          <w:color w:val="auto"/>
        </w:rPr>
        <w:t>在基准日后，因法律变化导致承包人在合同履行中所需要的工程费用发生除第16.1款约定以外的增减时，监理人应根据法律、国家或省、自治区、直辖市有关部门的规定，按第3.5款商定或确定需调整的合同价款。</w:t>
      </w:r>
    </w:p>
    <w:p>
      <w:pPr>
        <w:pStyle w:val="80"/>
        <w:spacing w:before="120" w:after="120" w:afterLines="50"/>
        <w:outlineLvl w:val="2"/>
        <w:rPr>
          <w:color w:val="auto"/>
        </w:rPr>
      </w:pPr>
      <w:bookmarkStart w:id="1478" w:name="_Toc517172501"/>
      <w:bookmarkStart w:id="1479" w:name="_Toc221950995"/>
      <w:bookmarkStart w:id="1480" w:name="_Toc222029518"/>
      <w:bookmarkStart w:id="1481" w:name="_Toc222031020"/>
      <w:bookmarkStart w:id="1482" w:name="_Toc222032687"/>
      <w:bookmarkStart w:id="1483" w:name="_Toc222033869"/>
      <w:bookmarkStart w:id="1484" w:name="_Toc387753600"/>
      <w:bookmarkStart w:id="1485" w:name="_Toc491089746"/>
      <w:bookmarkStart w:id="1486" w:name="_Toc23703"/>
      <w:bookmarkStart w:id="1487" w:name="_Toc229305378"/>
      <w:r>
        <w:rPr>
          <w:color w:val="auto"/>
        </w:rPr>
        <w:t xml:space="preserve">17. </w:t>
      </w:r>
      <w:r>
        <w:rPr>
          <w:rFonts w:hint="eastAsia"/>
          <w:color w:val="auto"/>
        </w:rPr>
        <w:t>计量与支付</w:t>
      </w:r>
      <w:bookmarkEnd w:id="1478"/>
      <w:bookmarkEnd w:id="1479"/>
      <w:bookmarkEnd w:id="1480"/>
      <w:bookmarkEnd w:id="1481"/>
      <w:bookmarkEnd w:id="1482"/>
      <w:bookmarkEnd w:id="1483"/>
      <w:bookmarkEnd w:id="1484"/>
      <w:bookmarkEnd w:id="1485"/>
      <w:bookmarkEnd w:id="1486"/>
      <w:bookmarkEnd w:id="1487"/>
    </w:p>
    <w:p>
      <w:pPr>
        <w:keepNext/>
        <w:keepLines/>
        <w:spacing w:line="400" w:lineRule="exact"/>
        <w:outlineLvl w:val="3"/>
        <w:rPr>
          <w:rFonts w:hint="eastAsia" w:eastAsia="黑体"/>
          <w:color w:val="auto"/>
          <w:sz w:val="24"/>
          <w:szCs w:val="20"/>
        </w:rPr>
      </w:pPr>
      <w:bookmarkStart w:id="1488" w:name="_Toc2962"/>
      <w:bookmarkStart w:id="1489" w:name="_Toc517172502"/>
      <w:bookmarkStart w:id="1490" w:name="_Toc221950996"/>
      <w:r>
        <w:rPr>
          <w:rFonts w:eastAsia="黑体"/>
          <w:color w:val="auto"/>
          <w:sz w:val="24"/>
          <w:szCs w:val="20"/>
        </w:rPr>
        <w:t xml:space="preserve">17.1 </w:t>
      </w:r>
      <w:r>
        <w:rPr>
          <w:rFonts w:hint="eastAsia" w:eastAsia="黑体"/>
          <w:color w:val="auto"/>
          <w:sz w:val="24"/>
          <w:szCs w:val="20"/>
        </w:rPr>
        <w:t>计量</w:t>
      </w:r>
      <w:bookmarkEnd w:id="1488"/>
      <w:bookmarkEnd w:id="1489"/>
      <w:bookmarkEnd w:id="1490"/>
    </w:p>
    <w:p>
      <w:pPr>
        <w:spacing w:line="400" w:lineRule="exact"/>
        <w:ind w:firstLine="420" w:firstLineChars="200"/>
        <w:rPr>
          <w:rFonts w:hint="eastAsia"/>
          <w:color w:val="auto"/>
        </w:rPr>
      </w:pPr>
      <w:bookmarkStart w:id="1491" w:name="_Toc221951004"/>
      <w:r>
        <w:rPr>
          <w:rFonts w:hint="eastAsia"/>
          <w:color w:val="auto"/>
        </w:rPr>
        <w:t xml:space="preserve">17.1.1 </w:t>
      </w:r>
      <w:r>
        <w:rPr>
          <w:rFonts w:hint="eastAsia" w:ascii="黑体" w:eastAsia="黑体"/>
          <w:color w:val="auto"/>
        </w:rPr>
        <w:t>计量单位</w:t>
      </w:r>
    </w:p>
    <w:p>
      <w:pPr>
        <w:spacing w:line="400" w:lineRule="exact"/>
        <w:ind w:firstLine="420" w:firstLineChars="200"/>
        <w:rPr>
          <w:rFonts w:hint="eastAsia"/>
          <w:color w:val="auto"/>
        </w:rPr>
      </w:pPr>
      <w:r>
        <w:rPr>
          <w:rFonts w:hint="eastAsia"/>
          <w:color w:val="auto"/>
        </w:rPr>
        <w:t>计量采用国家法定的计量单位。</w:t>
      </w:r>
    </w:p>
    <w:p>
      <w:pPr>
        <w:spacing w:line="400" w:lineRule="exact"/>
        <w:ind w:firstLine="420" w:firstLineChars="200"/>
        <w:rPr>
          <w:rFonts w:hint="eastAsia"/>
          <w:color w:val="auto"/>
        </w:rPr>
      </w:pPr>
      <w:r>
        <w:rPr>
          <w:rFonts w:hint="eastAsia"/>
          <w:color w:val="auto"/>
        </w:rPr>
        <w:t>17.1.2 计量方法</w:t>
      </w:r>
    </w:p>
    <w:p>
      <w:pPr>
        <w:spacing w:line="400" w:lineRule="exact"/>
        <w:ind w:firstLine="420" w:firstLineChars="200"/>
        <w:rPr>
          <w:rFonts w:hint="eastAsia"/>
          <w:color w:val="auto"/>
        </w:rPr>
      </w:pPr>
      <w:r>
        <w:rPr>
          <w:rFonts w:hint="eastAsia"/>
          <w:color w:val="auto"/>
        </w:rPr>
        <w:t>结算工程量应按工程量清单中约定的方法计算。</w:t>
      </w:r>
    </w:p>
    <w:p>
      <w:pPr>
        <w:spacing w:line="400" w:lineRule="exact"/>
        <w:ind w:firstLine="420" w:firstLineChars="200"/>
        <w:rPr>
          <w:rFonts w:hint="eastAsia"/>
          <w:color w:val="auto"/>
        </w:rPr>
      </w:pPr>
      <w:r>
        <w:rPr>
          <w:rFonts w:hint="eastAsia"/>
          <w:color w:val="auto"/>
        </w:rPr>
        <w:t xml:space="preserve">17.1.3 </w:t>
      </w:r>
      <w:r>
        <w:rPr>
          <w:rFonts w:hint="eastAsia" w:ascii="黑体" w:eastAsia="黑体"/>
          <w:color w:val="auto"/>
        </w:rPr>
        <w:t>计量周期</w:t>
      </w:r>
    </w:p>
    <w:p>
      <w:pPr>
        <w:spacing w:line="400" w:lineRule="exact"/>
        <w:ind w:firstLine="420" w:firstLineChars="200"/>
        <w:rPr>
          <w:rFonts w:hint="eastAsia"/>
          <w:color w:val="auto"/>
        </w:rPr>
      </w:pPr>
      <w:r>
        <w:rPr>
          <w:rFonts w:hint="eastAsia"/>
          <w:color w:val="auto"/>
        </w:rPr>
        <w:t>除专用合同条款另有约定外，单价子目已完成工程量按月计量，总价子目的计量周期按批准的支付分解报告确定。</w:t>
      </w:r>
    </w:p>
    <w:p>
      <w:pPr>
        <w:spacing w:line="400" w:lineRule="exact"/>
        <w:ind w:firstLine="420" w:firstLineChars="200"/>
        <w:rPr>
          <w:rFonts w:hint="eastAsia"/>
          <w:color w:val="auto"/>
        </w:rPr>
      </w:pPr>
      <w:r>
        <w:rPr>
          <w:rFonts w:hint="eastAsia"/>
          <w:color w:val="auto"/>
        </w:rPr>
        <w:t>17.1.4</w:t>
      </w:r>
      <w:r>
        <w:rPr>
          <w:rFonts w:hint="eastAsia" w:ascii="黑体" w:eastAsia="黑体"/>
          <w:color w:val="auto"/>
        </w:rPr>
        <w:t xml:space="preserve"> 单价子目的计量</w:t>
      </w:r>
    </w:p>
    <w:p>
      <w:pPr>
        <w:spacing w:line="400" w:lineRule="exact"/>
        <w:ind w:firstLine="718" w:firstLineChars="342"/>
        <w:rPr>
          <w:rFonts w:hint="eastAsia"/>
          <w:color w:val="auto"/>
        </w:rPr>
      </w:pPr>
      <w:r>
        <w:rPr>
          <w:rFonts w:hint="eastAsia"/>
          <w:color w:val="auto"/>
        </w:rPr>
        <w:t>（1）已标价工程量清单中的单价子目工程量为估算工程量。结算工程量是承包人实际完成的，并按合同约定的计量方法进行计量的工程量。</w:t>
      </w:r>
    </w:p>
    <w:p>
      <w:pPr>
        <w:spacing w:line="400" w:lineRule="exact"/>
        <w:ind w:firstLine="718" w:firstLineChars="342"/>
        <w:rPr>
          <w:rFonts w:hint="eastAsia"/>
          <w:color w:val="auto"/>
        </w:rPr>
      </w:pPr>
      <w:r>
        <w:rPr>
          <w:rFonts w:hint="eastAsia"/>
          <w:color w:val="auto"/>
        </w:rPr>
        <w:t>（2）承包人对已完成的工程进行计量，向监理人提交进度付款申请单、已完成工程量报表和有关计量资料。</w:t>
      </w:r>
    </w:p>
    <w:p>
      <w:pPr>
        <w:spacing w:line="400" w:lineRule="exact"/>
        <w:ind w:firstLine="718" w:firstLineChars="342"/>
        <w:rPr>
          <w:rFonts w:hint="eastAsia"/>
          <w:color w:val="auto"/>
        </w:rPr>
      </w:pPr>
      <w:r>
        <w:rPr>
          <w:rFonts w:hint="eastAsia"/>
          <w:color w:val="auto"/>
        </w:rPr>
        <w:t>（3）监理人对承包人提交的工程量报表进行复核，以确定实际完成的工程量。对数量有异议的，可要求承包人按第8.2款约定进行共同复核和抽样复测。承包人应协助监理人进行复核并按监理人要求提供补充计量资料。承包人未按监理人要求参加复核，监理人复核或修正的工程量视为承包人实际完成的工程量。</w:t>
      </w:r>
    </w:p>
    <w:p>
      <w:pPr>
        <w:spacing w:line="400" w:lineRule="exact"/>
        <w:ind w:firstLine="718" w:firstLineChars="342"/>
        <w:rPr>
          <w:rFonts w:hint="eastAsia"/>
          <w:color w:val="auto"/>
        </w:rPr>
      </w:pPr>
      <w:r>
        <w:rPr>
          <w:rFonts w:hint="eastAsia"/>
          <w:color w:val="auto"/>
        </w:rPr>
        <w:t>（4）监理人认为有必要时，可通知承包人共同进行联合测量、计量，承包人应遵照执行。</w:t>
      </w:r>
    </w:p>
    <w:p>
      <w:pPr>
        <w:spacing w:line="400" w:lineRule="exact"/>
        <w:ind w:firstLine="718" w:firstLineChars="342"/>
        <w:rPr>
          <w:rFonts w:hint="eastAsia"/>
          <w:color w:val="auto"/>
        </w:rPr>
      </w:pPr>
      <w:r>
        <w:rPr>
          <w:rFonts w:hint="eastAsia"/>
          <w:color w:val="auto"/>
        </w:rPr>
        <w:t>（5）承包人完成工程量清单中每个子目的工程量后，监理人应要求承包人派员共同对每个子目的历次计量报表进行汇总，以核实最终结算工程量。监理人可要求承包人提供补充计量资料，以确定最后一次进度付款的准确工程量。承包人未按监理人要求派员参加的，监理人最终核实的工程量视为承包人完成该子目的准确工程量。</w:t>
      </w:r>
    </w:p>
    <w:p>
      <w:pPr>
        <w:spacing w:line="400" w:lineRule="exact"/>
        <w:ind w:firstLine="718" w:firstLineChars="342"/>
        <w:rPr>
          <w:rFonts w:hint="eastAsia"/>
          <w:color w:val="auto"/>
        </w:rPr>
      </w:pPr>
      <w:r>
        <w:rPr>
          <w:rFonts w:hint="eastAsia"/>
          <w:color w:val="auto"/>
        </w:rPr>
        <w:t>（6）监理人应在收到承包人提交的工程量报表后的7天内进行复核，监理人未在约定时间内复核的，承包人提交的工程量报表中的工程量视为承包人实际完成的工程量，据此计算工程价款。</w:t>
      </w:r>
    </w:p>
    <w:p>
      <w:pPr>
        <w:spacing w:line="400" w:lineRule="exact"/>
        <w:ind w:firstLine="420" w:firstLineChars="200"/>
        <w:rPr>
          <w:rFonts w:hint="eastAsia"/>
          <w:color w:val="auto"/>
        </w:rPr>
      </w:pPr>
      <w:r>
        <w:rPr>
          <w:rFonts w:hint="eastAsia"/>
          <w:color w:val="auto"/>
        </w:rPr>
        <w:t xml:space="preserve">17.1.5 总价子目的计量 </w:t>
      </w:r>
    </w:p>
    <w:p>
      <w:pPr>
        <w:spacing w:line="400" w:lineRule="exact"/>
        <w:ind w:firstLine="630" w:firstLineChars="300"/>
        <w:rPr>
          <w:rFonts w:hint="eastAsia" w:ascii="宋体" w:hAnsi="宋体"/>
          <w:color w:val="auto"/>
        </w:rPr>
      </w:pPr>
      <w:r>
        <w:rPr>
          <w:rFonts w:hint="eastAsia" w:ascii="宋体" w:hAnsi="宋体"/>
          <w:color w:val="auto"/>
        </w:rPr>
        <w:t>总价子目的分解和计量按照下述约定进行。</w:t>
      </w:r>
    </w:p>
    <w:p>
      <w:pPr>
        <w:spacing w:line="400" w:lineRule="exact"/>
        <w:ind w:firstLine="630" w:firstLineChars="300"/>
        <w:rPr>
          <w:rFonts w:hint="eastAsia" w:ascii="宋体" w:hAnsi="宋体"/>
          <w:color w:val="auto"/>
        </w:rPr>
      </w:pPr>
      <w:r>
        <w:rPr>
          <w:rFonts w:hint="eastAsia" w:ascii="宋体" w:hAnsi="宋体"/>
          <w:color w:val="auto"/>
        </w:rPr>
        <w:t>（1）总价子目的计量和支付应以总价为基础，不因第16.1款中的因素而进行调整。承包人实际完成的工程量，是进行工程目标管理和控制进度支付的依据。</w:t>
      </w:r>
    </w:p>
    <w:p>
      <w:pPr>
        <w:spacing w:line="400" w:lineRule="exact"/>
        <w:ind w:firstLine="630" w:firstLineChars="300"/>
        <w:rPr>
          <w:rFonts w:hint="eastAsia" w:ascii="宋体" w:hAnsi="宋体"/>
          <w:color w:val="auto"/>
        </w:rPr>
      </w:pPr>
      <w:r>
        <w:rPr>
          <w:rFonts w:hint="eastAsia" w:ascii="宋体" w:hAnsi="宋体"/>
          <w:color w:val="auto"/>
        </w:rPr>
        <w:t>（2）承包人应按工程量清单的要求对总价子目进行分解，并在签订协议书后的28天内将各子目的总价支付分解表提交监理人审批。分解表应标明其所属子目和分阶段需支付的金额。承包人应按批准的各总价子目支付周期，对已完成的总价子目进行计量，确定分项的应付金额列入进度付款申请单中。</w:t>
      </w:r>
    </w:p>
    <w:p>
      <w:pPr>
        <w:spacing w:line="400" w:lineRule="exact"/>
        <w:ind w:firstLine="630" w:firstLineChars="300"/>
        <w:rPr>
          <w:rFonts w:hint="eastAsia" w:ascii="宋体" w:hAnsi="宋体"/>
          <w:color w:val="auto"/>
        </w:rPr>
      </w:pPr>
      <w:r>
        <w:rPr>
          <w:rFonts w:hint="eastAsia" w:ascii="宋体" w:hAnsi="宋体"/>
          <w:color w:val="auto"/>
        </w:rPr>
        <w:t>（3）监理人对承包人提交的上述资料进行复核，以确定分阶段实际完成的工程量和工程形象目标。对其有异议的，可要求承包人按第8.2款约定进行共同复核和抽样复测。</w:t>
      </w:r>
    </w:p>
    <w:p>
      <w:pPr>
        <w:spacing w:line="400" w:lineRule="exact"/>
        <w:ind w:firstLine="630" w:firstLineChars="300"/>
        <w:rPr>
          <w:rFonts w:ascii="宋体" w:hAnsi="宋体"/>
          <w:color w:val="auto"/>
        </w:rPr>
      </w:pPr>
      <w:r>
        <w:rPr>
          <w:rFonts w:hint="eastAsia" w:ascii="宋体" w:hAnsi="宋体"/>
          <w:color w:val="auto"/>
        </w:rPr>
        <w:t xml:space="preserve">（4）除按照第15条约定的变更外，总价子目的工程量是承包人用于结算的最终工程量。 </w:t>
      </w:r>
    </w:p>
    <w:bookmarkEnd w:id="1491"/>
    <w:p>
      <w:pPr>
        <w:keepNext/>
        <w:keepLines/>
        <w:spacing w:line="400" w:lineRule="exact"/>
        <w:outlineLvl w:val="3"/>
        <w:rPr>
          <w:rFonts w:hint="eastAsia" w:eastAsia="黑体"/>
          <w:color w:val="auto"/>
          <w:sz w:val="24"/>
          <w:szCs w:val="20"/>
        </w:rPr>
      </w:pPr>
      <w:bookmarkStart w:id="1492" w:name="_Toc152042499"/>
      <w:bookmarkStart w:id="1493" w:name="_Toc152045720"/>
      <w:bookmarkStart w:id="1494" w:name="_Toc179632738"/>
      <w:bookmarkStart w:id="1495" w:name="_Toc517172503"/>
      <w:bookmarkStart w:id="1496" w:name="_Toc30655"/>
      <w:bookmarkStart w:id="1497" w:name="_Toc144974691"/>
      <w:bookmarkStart w:id="1498" w:name="_Toc221951006"/>
      <w:r>
        <w:rPr>
          <w:rFonts w:hint="eastAsia" w:eastAsia="黑体"/>
          <w:color w:val="auto"/>
          <w:sz w:val="24"/>
          <w:szCs w:val="20"/>
        </w:rPr>
        <w:t>17.2 预付款</w:t>
      </w:r>
      <w:bookmarkEnd w:id="1492"/>
      <w:bookmarkEnd w:id="1493"/>
      <w:bookmarkEnd w:id="1494"/>
      <w:bookmarkEnd w:id="1495"/>
      <w:bookmarkEnd w:id="1496"/>
      <w:bookmarkEnd w:id="1497"/>
    </w:p>
    <w:p>
      <w:pPr>
        <w:spacing w:line="400" w:lineRule="exact"/>
        <w:ind w:firstLine="420" w:firstLineChars="200"/>
        <w:rPr>
          <w:rFonts w:hint="eastAsia"/>
          <w:color w:val="auto"/>
        </w:rPr>
      </w:pPr>
      <w:r>
        <w:rPr>
          <w:rFonts w:hint="eastAsia"/>
          <w:color w:val="auto"/>
        </w:rPr>
        <w:t xml:space="preserve">17.2.1 </w:t>
      </w:r>
      <w:r>
        <w:rPr>
          <w:rFonts w:hint="eastAsia" w:ascii="黑体" w:eastAsia="黑体"/>
          <w:color w:val="auto"/>
        </w:rPr>
        <w:t>预付款</w:t>
      </w:r>
    </w:p>
    <w:p>
      <w:pPr>
        <w:spacing w:line="400" w:lineRule="exact"/>
        <w:ind w:firstLine="420" w:firstLineChars="200"/>
        <w:rPr>
          <w:rFonts w:hint="eastAsia"/>
          <w:color w:val="auto"/>
        </w:rPr>
      </w:pPr>
      <w:r>
        <w:rPr>
          <w:rFonts w:hint="eastAsia"/>
          <w:color w:val="auto"/>
        </w:rPr>
        <w:t>预付款用于承包人为合同工程施工购置材料、工程设备、施工设备、修建临时设施以及组织施工队伍进场等。分为工程预付款和工程材料预付款。预付款必须专用于合同工程。预付款的额度和预付办法在专用合同条款中约定。</w:t>
      </w:r>
    </w:p>
    <w:p>
      <w:pPr>
        <w:spacing w:line="400" w:lineRule="exact"/>
        <w:ind w:firstLine="420" w:firstLineChars="200"/>
        <w:rPr>
          <w:rFonts w:hint="eastAsia"/>
          <w:color w:val="auto"/>
        </w:rPr>
      </w:pPr>
      <w:r>
        <w:rPr>
          <w:rFonts w:hint="eastAsia"/>
          <w:color w:val="auto"/>
        </w:rPr>
        <w:t xml:space="preserve">17.2.2 </w:t>
      </w:r>
      <w:r>
        <w:rPr>
          <w:rFonts w:hint="eastAsia" w:ascii="黑体" w:eastAsia="黑体"/>
          <w:color w:val="auto"/>
        </w:rPr>
        <w:t>预付款保函（担保）</w:t>
      </w:r>
    </w:p>
    <w:p>
      <w:pPr>
        <w:spacing w:line="400" w:lineRule="exact"/>
        <w:ind w:firstLine="420" w:firstLineChars="200"/>
        <w:rPr>
          <w:rFonts w:hint="eastAsia"/>
          <w:color w:val="auto"/>
        </w:rPr>
      </w:pPr>
      <w:r>
        <w:rPr>
          <w:rFonts w:hint="eastAsia"/>
          <w:color w:val="auto"/>
        </w:rPr>
        <w:t>（1）承包人应在收到第一次工程预付款的同时向发包人提交工程预付款担保，担保金额应与第一次工程预付款金额相同，工程预付款担保在第一次工程预付款被发包人扣回前一直有效。</w:t>
      </w:r>
    </w:p>
    <w:p>
      <w:pPr>
        <w:spacing w:line="400" w:lineRule="exact"/>
        <w:ind w:firstLine="420" w:firstLineChars="200"/>
        <w:rPr>
          <w:rFonts w:hint="eastAsia"/>
          <w:color w:val="auto"/>
        </w:rPr>
      </w:pPr>
      <w:r>
        <w:rPr>
          <w:rFonts w:hint="eastAsia"/>
          <w:color w:val="auto"/>
        </w:rPr>
        <w:t>（2）工程材料预付款的担保在专用合同条款中约定。</w:t>
      </w:r>
    </w:p>
    <w:p>
      <w:pPr>
        <w:spacing w:line="400" w:lineRule="exact"/>
        <w:ind w:firstLine="420" w:firstLineChars="200"/>
        <w:rPr>
          <w:rFonts w:hint="eastAsia"/>
          <w:color w:val="auto"/>
        </w:rPr>
      </w:pPr>
      <w:r>
        <w:rPr>
          <w:rFonts w:hint="eastAsia"/>
          <w:color w:val="auto"/>
        </w:rPr>
        <w:t>（3）预付款担保的担保金额可根据预付款扣回的金额相应递减。</w:t>
      </w:r>
    </w:p>
    <w:p>
      <w:pPr>
        <w:spacing w:line="400" w:lineRule="exact"/>
        <w:ind w:firstLine="420" w:firstLineChars="200"/>
        <w:rPr>
          <w:rFonts w:hint="eastAsia"/>
          <w:color w:val="auto"/>
        </w:rPr>
      </w:pPr>
      <w:r>
        <w:rPr>
          <w:rFonts w:hint="eastAsia"/>
          <w:color w:val="auto"/>
        </w:rPr>
        <w:t xml:space="preserve">17.2.3 </w:t>
      </w:r>
      <w:r>
        <w:rPr>
          <w:rFonts w:hint="eastAsia" w:ascii="黑体" w:eastAsia="黑体"/>
          <w:color w:val="auto"/>
        </w:rPr>
        <w:t>预付款的扣回与还清</w:t>
      </w:r>
    </w:p>
    <w:p>
      <w:pPr>
        <w:spacing w:line="400" w:lineRule="exact"/>
        <w:ind w:firstLine="420" w:firstLineChars="200"/>
        <w:rPr>
          <w:rFonts w:hint="eastAsia"/>
          <w:color w:val="auto"/>
        </w:rPr>
      </w:pPr>
      <w:r>
        <w:rPr>
          <w:rFonts w:hint="eastAsia"/>
          <w:color w:val="auto"/>
        </w:rPr>
        <w:t>预付款在进度付款中扣回，扣回与还清办法在专用合同条款中约定。在颁发合同工程完工证书前，由于不可抗力或其它原因解除合同时，预付款尚未扣清的，尚未扣清的预付款余额应作为承包人的到期应付款。</w:t>
      </w:r>
    </w:p>
    <w:bookmarkEnd w:id="1498"/>
    <w:p>
      <w:pPr>
        <w:keepNext/>
        <w:keepLines/>
        <w:spacing w:line="400" w:lineRule="exact"/>
        <w:outlineLvl w:val="3"/>
        <w:rPr>
          <w:rFonts w:hint="eastAsia" w:eastAsia="黑体"/>
          <w:color w:val="auto"/>
          <w:sz w:val="24"/>
          <w:szCs w:val="20"/>
        </w:rPr>
      </w:pPr>
      <w:bookmarkStart w:id="1499" w:name="_Toc29767"/>
      <w:bookmarkStart w:id="1500" w:name="_Toc144974692"/>
      <w:bookmarkStart w:id="1501" w:name="_Toc152042500"/>
      <w:bookmarkStart w:id="1502" w:name="_Toc152045721"/>
      <w:bookmarkStart w:id="1503" w:name="_Toc517172504"/>
      <w:bookmarkStart w:id="1504" w:name="_Toc179632739"/>
      <w:bookmarkStart w:id="1505" w:name="_Toc221951013"/>
      <w:r>
        <w:rPr>
          <w:rFonts w:hint="eastAsia" w:eastAsia="黑体"/>
          <w:color w:val="auto"/>
          <w:sz w:val="24"/>
          <w:szCs w:val="20"/>
        </w:rPr>
        <w:t>17.3 工程进度付款</w:t>
      </w:r>
      <w:bookmarkEnd w:id="1499"/>
      <w:bookmarkEnd w:id="1500"/>
      <w:bookmarkEnd w:id="1501"/>
      <w:bookmarkEnd w:id="1502"/>
      <w:bookmarkEnd w:id="1503"/>
      <w:bookmarkEnd w:id="1504"/>
    </w:p>
    <w:p>
      <w:pPr>
        <w:spacing w:line="400" w:lineRule="exact"/>
        <w:ind w:firstLine="420" w:firstLineChars="200"/>
        <w:rPr>
          <w:rFonts w:hint="eastAsia"/>
          <w:color w:val="auto"/>
        </w:rPr>
      </w:pPr>
      <w:r>
        <w:rPr>
          <w:rFonts w:hint="eastAsia"/>
          <w:color w:val="auto"/>
        </w:rPr>
        <w:t xml:space="preserve">17.3.1 </w:t>
      </w:r>
      <w:r>
        <w:rPr>
          <w:rFonts w:hint="eastAsia" w:ascii="黑体" w:eastAsia="黑体"/>
          <w:color w:val="auto"/>
        </w:rPr>
        <w:t>付款周期</w:t>
      </w:r>
    </w:p>
    <w:p>
      <w:pPr>
        <w:spacing w:line="400" w:lineRule="exact"/>
        <w:ind w:firstLine="420" w:firstLineChars="200"/>
        <w:rPr>
          <w:rFonts w:hint="eastAsia"/>
          <w:color w:val="auto"/>
        </w:rPr>
      </w:pPr>
      <w:r>
        <w:rPr>
          <w:rFonts w:hint="eastAsia"/>
          <w:color w:val="auto"/>
        </w:rPr>
        <w:t>付款周期同计量周期。</w:t>
      </w:r>
    </w:p>
    <w:p>
      <w:pPr>
        <w:spacing w:line="400" w:lineRule="exact"/>
        <w:ind w:firstLine="420" w:firstLineChars="200"/>
        <w:rPr>
          <w:rFonts w:hint="eastAsia"/>
          <w:color w:val="auto"/>
        </w:rPr>
      </w:pPr>
      <w:r>
        <w:rPr>
          <w:rFonts w:hint="eastAsia"/>
          <w:color w:val="auto"/>
        </w:rPr>
        <w:t xml:space="preserve">17.3.2 </w:t>
      </w:r>
      <w:r>
        <w:rPr>
          <w:rFonts w:hint="eastAsia" w:ascii="黑体" w:eastAsia="黑体"/>
          <w:color w:val="auto"/>
        </w:rPr>
        <w:t>进度付款申请单</w:t>
      </w:r>
    </w:p>
    <w:p>
      <w:pPr>
        <w:spacing w:line="400" w:lineRule="exact"/>
        <w:ind w:firstLine="420" w:firstLineChars="200"/>
        <w:rPr>
          <w:rFonts w:hint="eastAsia"/>
          <w:dstrike/>
          <w:color w:val="auto"/>
          <w:szCs w:val="21"/>
        </w:rPr>
      </w:pPr>
      <w:r>
        <w:rPr>
          <w:rFonts w:hint="eastAsia"/>
          <w:color w:val="auto"/>
        </w:rPr>
        <w:t>承包人应在每个付款周期末，按监理人批准的格式和专用合同条款约定的份数，向监理人提交进度付款申请单，并附相应的支持性证明文件。除专用合同条款另有约定外，进度付款申请单应包括下列内容：</w:t>
      </w:r>
    </w:p>
    <w:p>
      <w:pPr>
        <w:spacing w:line="400" w:lineRule="exact"/>
        <w:ind w:firstLine="420" w:firstLineChars="200"/>
        <w:rPr>
          <w:rFonts w:hint="eastAsia"/>
          <w:color w:val="auto"/>
        </w:rPr>
      </w:pPr>
      <w:r>
        <w:rPr>
          <w:rFonts w:hint="eastAsia"/>
          <w:color w:val="auto"/>
        </w:rPr>
        <w:t>（1）截至本次付款周期末已实施工程的价款；</w:t>
      </w:r>
    </w:p>
    <w:p>
      <w:pPr>
        <w:spacing w:line="400" w:lineRule="exact"/>
        <w:ind w:firstLine="420" w:firstLineChars="200"/>
        <w:rPr>
          <w:rFonts w:hint="eastAsia"/>
          <w:color w:val="auto"/>
        </w:rPr>
      </w:pPr>
      <w:r>
        <w:rPr>
          <w:rFonts w:hint="eastAsia"/>
          <w:color w:val="auto"/>
        </w:rPr>
        <w:t>（2）根据第15条应增加和扣减的变更金额；</w:t>
      </w:r>
    </w:p>
    <w:p>
      <w:pPr>
        <w:spacing w:line="400" w:lineRule="exact"/>
        <w:ind w:firstLine="420" w:firstLineChars="200"/>
        <w:rPr>
          <w:rFonts w:hint="eastAsia"/>
          <w:color w:val="auto"/>
        </w:rPr>
      </w:pPr>
      <w:r>
        <w:rPr>
          <w:rFonts w:hint="eastAsia"/>
          <w:color w:val="auto"/>
        </w:rPr>
        <w:t>（3）根据第23条应增加和扣减的索赔金额；</w:t>
      </w:r>
    </w:p>
    <w:p>
      <w:pPr>
        <w:spacing w:line="400" w:lineRule="exact"/>
        <w:ind w:firstLine="420" w:firstLineChars="200"/>
        <w:rPr>
          <w:rFonts w:hint="eastAsia"/>
          <w:color w:val="auto"/>
        </w:rPr>
      </w:pPr>
      <w:r>
        <w:rPr>
          <w:rFonts w:hint="eastAsia"/>
          <w:color w:val="auto"/>
        </w:rPr>
        <w:t>（4）根据第17.2款约定应支付的预付款和扣减的返还预付款；</w:t>
      </w:r>
    </w:p>
    <w:p>
      <w:pPr>
        <w:spacing w:line="400" w:lineRule="exact"/>
        <w:ind w:firstLine="420" w:firstLineChars="200"/>
        <w:rPr>
          <w:rFonts w:hint="eastAsia"/>
          <w:color w:val="auto"/>
        </w:rPr>
      </w:pPr>
      <w:r>
        <w:rPr>
          <w:rFonts w:hint="eastAsia"/>
          <w:color w:val="auto"/>
        </w:rPr>
        <w:t>（5）根据第17.4.1项约定应扣减的质量保证金；</w:t>
      </w:r>
    </w:p>
    <w:p>
      <w:pPr>
        <w:spacing w:line="400" w:lineRule="exact"/>
        <w:ind w:firstLine="420" w:firstLineChars="200"/>
        <w:rPr>
          <w:rFonts w:hint="eastAsia"/>
          <w:color w:val="auto"/>
        </w:rPr>
      </w:pPr>
      <w:r>
        <w:rPr>
          <w:rFonts w:hint="eastAsia"/>
          <w:color w:val="auto"/>
        </w:rPr>
        <w:t>（6）根据合同应增加和扣减的其他金额。</w:t>
      </w:r>
    </w:p>
    <w:p>
      <w:pPr>
        <w:spacing w:line="400" w:lineRule="exact"/>
        <w:ind w:firstLine="420" w:firstLineChars="200"/>
        <w:rPr>
          <w:rFonts w:hint="eastAsia"/>
          <w:color w:val="auto"/>
        </w:rPr>
      </w:pPr>
      <w:r>
        <w:rPr>
          <w:rFonts w:hint="eastAsia"/>
          <w:color w:val="auto"/>
        </w:rPr>
        <w:t xml:space="preserve">17.3.3 </w:t>
      </w:r>
      <w:r>
        <w:rPr>
          <w:rFonts w:hint="eastAsia" w:ascii="黑体" w:eastAsia="黑体"/>
          <w:color w:val="auto"/>
        </w:rPr>
        <w:t>进度付款证书和支付时间</w:t>
      </w:r>
    </w:p>
    <w:p>
      <w:pPr>
        <w:spacing w:line="400" w:lineRule="exact"/>
        <w:ind w:firstLine="630" w:firstLineChars="300"/>
        <w:rPr>
          <w:rFonts w:hint="eastAsia"/>
          <w:color w:val="auto"/>
        </w:rPr>
      </w:pPr>
      <w:r>
        <w:rPr>
          <w:rFonts w:hint="eastAsia"/>
          <w:color w:val="auto"/>
        </w:rPr>
        <w:t>（1）监理人在收到承包人进度付款申请单以及相应的支持性证明文件后的14天内完成核查，提出发包人到期应支付给承包人的金额以及相应的支持性材料，经发包人审查同意后，由监理人向承包人出具经发包人签认的进度付款证书。监理人有权扣发承包人未能按照合同要求履行任何工作或义务的相应金额。</w:t>
      </w:r>
    </w:p>
    <w:p>
      <w:pPr>
        <w:spacing w:line="400" w:lineRule="exact"/>
        <w:ind w:firstLine="718" w:firstLineChars="342"/>
        <w:rPr>
          <w:rFonts w:hint="eastAsia"/>
          <w:color w:val="auto"/>
        </w:rPr>
      </w:pPr>
      <w:r>
        <w:rPr>
          <w:rFonts w:hint="eastAsia"/>
          <w:color w:val="auto"/>
        </w:rPr>
        <w:t>（2）发包人应在监理人收到进度付款申请单后的28天内，将进度应付款支付给承包人。发包人不按期支付的，按专用合同条款的约定支付逾期付款违约金。</w:t>
      </w:r>
    </w:p>
    <w:p>
      <w:pPr>
        <w:spacing w:line="400" w:lineRule="exact"/>
        <w:ind w:firstLine="718" w:firstLineChars="342"/>
        <w:rPr>
          <w:rFonts w:hint="eastAsia"/>
          <w:color w:val="auto"/>
        </w:rPr>
      </w:pPr>
      <w:r>
        <w:rPr>
          <w:rFonts w:hint="eastAsia"/>
          <w:color w:val="auto"/>
        </w:rPr>
        <w:t>（3）监理人出具进度付款证书，不应视为监理人已同意、批准或接受了承包人完成的该部分工作。</w:t>
      </w:r>
    </w:p>
    <w:p>
      <w:pPr>
        <w:spacing w:line="400" w:lineRule="exact"/>
        <w:ind w:firstLine="718" w:firstLineChars="342"/>
        <w:rPr>
          <w:rFonts w:hint="eastAsia"/>
          <w:color w:val="auto"/>
        </w:rPr>
      </w:pPr>
      <w:r>
        <w:rPr>
          <w:rFonts w:hint="eastAsia"/>
          <w:color w:val="auto"/>
        </w:rPr>
        <w:t>（4）进度付款涉及政府投资资金的，按照国库集中支付等国家相关规定和专用合同条款的约定办理。</w:t>
      </w:r>
    </w:p>
    <w:p>
      <w:pPr>
        <w:spacing w:line="400" w:lineRule="exact"/>
        <w:ind w:firstLine="420" w:firstLineChars="200"/>
        <w:rPr>
          <w:rFonts w:hint="eastAsia"/>
          <w:color w:val="auto"/>
        </w:rPr>
      </w:pPr>
      <w:r>
        <w:rPr>
          <w:rFonts w:hint="eastAsia"/>
          <w:color w:val="auto"/>
        </w:rPr>
        <w:t xml:space="preserve">17.3.4 </w:t>
      </w:r>
      <w:r>
        <w:rPr>
          <w:rFonts w:hint="eastAsia" w:ascii="黑体" w:eastAsia="黑体"/>
          <w:color w:val="auto"/>
        </w:rPr>
        <w:t>工程进度付款的修正</w:t>
      </w:r>
    </w:p>
    <w:p>
      <w:pPr>
        <w:spacing w:line="400" w:lineRule="exact"/>
        <w:ind w:firstLine="420" w:firstLineChars="200"/>
        <w:rPr>
          <w:rFonts w:hint="eastAsia"/>
          <w:color w:val="auto"/>
        </w:rPr>
      </w:pPr>
      <w:r>
        <w:rPr>
          <w:rFonts w:hint="eastAsia"/>
          <w:color w:val="auto"/>
        </w:rPr>
        <w:t>在对以往历次已签发的进度付款证书进行汇总和复核中发现错、漏或重复的，监理人有权予以修正，承包人也有权提出修正申请。经双方复核同意的修正，应在本次进度付款中支付或扣除。</w:t>
      </w:r>
    </w:p>
    <w:p>
      <w:pPr>
        <w:keepNext/>
        <w:keepLines/>
        <w:spacing w:line="400" w:lineRule="exact"/>
        <w:outlineLvl w:val="3"/>
        <w:rPr>
          <w:rFonts w:eastAsia="黑体"/>
          <w:color w:val="auto"/>
          <w:sz w:val="24"/>
          <w:szCs w:val="20"/>
        </w:rPr>
      </w:pPr>
      <w:bookmarkStart w:id="1506" w:name="_Toc517172505"/>
      <w:bookmarkStart w:id="1507" w:name="_Toc30260"/>
      <w:r>
        <w:rPr>
          <w:rFonts w:eastAsia="黑体"/>
          <w:color w:val="auto"/>
          <w:sz w:val="24"/>
          <w:szCs w:val="20"/>
        </w:rPr>
        <w:t xml:space="preserve">17.4 </w:t>
      </w:r>
      <w:r>
        <w:rPr>
          <w:rFonts w:hint="eastAsia" w:eastAsia="黑体"/>
          <w:color w:val="auto"/>
          <w:sz w:val="24"/>
          <w:szCs w:val="20"/>
        </w:rPr>
        <w:t>质量保证金</w:t>
      </w:r>
      <w:bookmarkEnd w:id="1505"/>
      <w:bookmarkEnd w:id="1506"/>
      <w:bookmarkEnd w:id="1507"/>
    </w:p>
    <w:p>
      <w:pPr>
        <w:spacing w:line="400" w:lineRule="exact"/>
        <w:ind w:firstLine="420" w:firstLineChars="200"/>
        <w:rPr>
          <w:rFonts w:hint="eastAsia"/>
          <w:color w:val="auto"/>
        </w:rPr>
      </w:pPr>
      <w:bookmarkStart w:id="1508" w:name="_Toc221951015"/>
      <w:r>
        <w:rPr>
          <w:rFonts w:hint="eastAsia"/>
          <w:color w:val="auto"/>
        </w:rPr>
        <w:t>17.4.1监理人应从第一个工程进度付款周期开始，在发包人的进度付款中，按专用合同条款约定扣留质量保证金，直至扣留的工程质量保证金总额达到专用合同条款约定的金额或比例为止。质量保证金的计算额度不止包括预付款的支付与扣回金额。</w:t>
      </w:r>
    </w:p>
    <w:p>
      <w:pPr>
        <w:spacing w:line="400" w:lineRule="exact"/>
        <w:ind w:firstLine="420" w:firstLineChars="200"/>
        <w:rPr>
          <w:rFonts w:hint="eastAsia"/>
          <w:color w:val="auto"/>
        </w:rPr>
      </w:pPr>
      <w:r>
        <w:rPr>
          <w:rFonts w:hint="eastAsia"/>
          <w:color w:val="auto"/>
        </w:rPr>
        <w:t>17.4.2 合同工程完工证书颁发后14天内，发包人将质量保证金总额的一半支付给承包人。在第1.1.4.5目约定的缺陷责任期（工程质量保修期）满时，发包人将在30个工作日内会同承包人按照合同约定的内容核实承包人是否完成保修责任。如无异议，发包人应当在核实后将剩余的质量保证金支付给承包人。</w:t>
      </w:r>
    </w:p>
    <w:p>
      <w:pPr>
        <w:spacing w:line="400" w:lineRule="exact"/>
        <w:ind w:firstLine="420" w:firstLineChars="200"/>
        <w:rPr>
          <w:rFonts w:hint="eastAsia"/>
          <w:color w:val="auto"/>
        </w:rPr>
      </w:pPr>
      <w:r>
        <w:rPr>
          <w:rFonts w:hint="eastAsia"/>
          <w:color w:val="auto"/>
        </w:rPr>
        <w:t xml:space="preserve">17.4.3 在第1.1.4.5目约定的缺陷责任期满时，承包人没有完成缺陷责任的，发包人有权扣留与未履行责任剩余工作所需金额相应的质量保证金余额，并有权根据第19.3款约定要求延长缺陷责任期，直至完成剩余工作为止。 </w:t>
      </w:r>
    </w:p>
    <w:p>
      <w:pPr>
        <w:keepNext/>
        <w:keepLines/>
        <w:spacing w:line="400" w:lineRule="exact"/>
        <w:outlineLvl w:val="3"/>
        <w:rPr>
          <w:rFonts w:hint="eastAsia" w:eastAsia="黑体"/>
          <w:color w:val="auto"/>
          <w:sz w:val="24"/>
          <w:szCs w:val="20"/>
        </w:rPr>
      </w:pPr>
      <w:bookmarkStart w:id="1509" w:name="_Toc6610"/>
      <w:bookmarkStart w:id="1510" w:name="_Toc517172506"/>
      <w:r>
        <w:rPr>
          <w:rFonts w:eastAsia="黑体"/>
          <w:color w:val="auto"/>
          <w:sz w:val="24"/>
          <w:szCs w:val="20"/>
        </w:rPr>
        <w:t xml:space="preserve">17.5 </w:t>
      </w:r>
      <w:r>
        <w:rPr>
          <w:rFonts w:hint="eastAsia" w:eastAsia="黑体"/>
          <w:color w:val="auto"/>
          <w:sz w:val="24"/>
          <w:szCs w:val="20"/>
        </w:rPr>
        <w:t>竣工结算</w:t>
      </w:r>
      <w:bookmarkEnd w:id="1508"/>
      <w:r>
        <w:rPr>
          <w:rFonts w:hint="eastAsia" w:eastAsia="黑体"/>
          <w:color w:val="auto"/>
          <w:sz w:val="24"/>
          <w:szCs w:val="20"/>
        </w:rPr>
        <w:t>（完工结算）</w:t>
      </w:r>
      <w:bookmarkEnd w:id="1509"/>
      <w:bookmarkEnd w:id="1510"/>
    </w:p>
    <w:p>
      <w:pPr>
        <w:spacing w:line="400" w:lineRule="exact"/>
        <w:ind w:firstLine="420" w:firstLineChars="200"/>
        <w:rPr>
          <w:rFonts w:hint="eastAsia"/>
          <w:color w:val="auto"/>
        </w:rPr>
      </w:pPr>
      <w:r>
        <w:rPr>
          <w:rFonts w:hint="eastAsia"/>
          <w:color w:val="auto"/>
        </w:rPr>
        <w:t xml:space="preserve">17.5.1 </w:t>
      </w:r>
      <w:r>
        <w:rPr>
          <w:rFonts w:hint="eastAsia" w:ascii="黑体" w:eastAsia="黑体"/>
          <w:color w:val="auto"/>
        </w:rPr>
        <w:t>竣工（完工）付款申请单</w:t>
      </w:r>
    </w:p>
    <w:p>
      <w:pPr>
        <w:spacing w:line="400" w:lineRule="exact"/>
        <w:ind w:firstLine="718" w:firstLineChars="342"/>
        <w:rPr>
          <w:rFonts w:hint="eastAsia"/>
          <w:color w:val="auto"/>
        </w:rPr>
      </w:pPr>
      <w:r>
        <w:rPr>
          <w:rFonts w:hint="eastAsia"/>
          <w:color w:val="auto"/>
        </w:rPr>
        <w:t>（1）</w:t>
      </w:r>
      <w:r>
        <w:rPr>
          <w:rFonts w:hint="eastAsia" w:ascii="宋体"/>
          <w:bCs/>
          <w:color w:val="auto"/>
          <w:szCs w:val="21"/>
        </w:rPr>
        <w:t>承包人应在工程接收证书颁发后28天内，按专用合同条款约定的份数向监理人提交完工付款申请单，</w:t>
      </w:r>
      <w:r>
        <w:rPr>
          <w:rFonts w:hint="eastAsia"/>
          <w:color w:val="auto"/>
        </w:rPr>
        <w:t>并提供相关证明材料。完工付款申请单应包括下列内容：完工结算合同总价、发包人已支付承包人的工程价款、应扣留的质量保证金、应支付的完工付款金额。</w:t>
      </w:r>
    </w:p>
    <w:p>
      <w:pPr>
        <w:spacing w:line="400" w:lineRule="exact"/>
        <w:ind w:firstLine="718" w:firstLineChars="342"/>
        <w:rPr>
          <w:rFonts w:hint="eastAsia"/>
          <w:color w:val="auto"/>
        </w:rPr>
      </w:pPr>
      <w:r>
        <w:rPr>
          <w:rFonts w:hint="eastAsia"/>
          <w:color w:val="auto"/>
        </w:rPr>
        <w:t>（2）监理人对完工付款申请单有异议的，有权要求承包人进行修正和提供补充资料。经监理人和承包人协商后，由承包人向监理人提交修正后的完工付款申请单。</w:t>
      </w:r>
    </w:p>
    <w:p>
      <w:pPr>
        <w:spacing w:line="400" w:lineRule="exact"/>
        <w:ind w:firstLine="420" w:firstLineChars="200"/>
        <w:rPr>
          <w:rFonts w:hint="eastAsia"/>
          <w:color w:val="auto"/>
        </w:rPr>
      </w:pPr>
      <w:r>
        <w:rPr>
          <w:rFonts w:hint="eastAsia"/>
          <w:color w:val="auto"/>
        </w:rPr>
        <w:t xml:space="preserve">17.5.2 </w:t>
      </w:r>
      <w:r>
        <w:rPr>
          <w:rFonts w:hint="eastAsia" w:ascii="黑体" w:eastAsia="黑体"/>
          <w:color w:val="auto"/>
        </w:rPr>
        <w:t>竣工（完工）付款证书及支付时间</w:t>
      </w:r>
    </w:p>
    <w:p>
      <w:pPr>
        <w:spacing w:line="400" w:lineRule="exact"/>
        <w:ind w:firstLine="718" w:firstLineChars="342"/>
        <w:rPr>
          <w:rFonts w:hint="eastAsia"/>
          <w:color w:val="auto"/>
        </w:rPr>
      </w:pPr>
      <w:r>
        <w:rPr>
          <w:rFonts w:hint="eastAsia"/>
          <w:color w:val="auto"/>
        </w:rPr>
        <w:t>（1）监理人在收到承包人提交的竣工付款申请单后的14天内完成核查，提出发包人到期应支付给承包人的价款送发包人审核并抄送承包人。发包人应在收到后14天内审核完毕，由监理人向承包人出具经发包人签认的完工付款证书。监理人未在约定时间内核查，又未提出具体意见的，视为承包人提交的完工付款申请单已经监理人核查同意。发包人未在约定时间内审核又未提出具体意见的，监理人提出发包人到期应支付给承包人的价款视为已经发包人同意。</w:t>
      </w:r>
    </w:p>
    <w:p>
      <w:pPr>
        <w:spacing w:line="400" w:lineRule="exact"/>
        <w:ind w:firstLine="718" w:firstLineChars="342"/>
        <w:rPr>
          <w:rFonts w:hint="eastAsia"/>
          <w:color w:val="auto"/>
        </w:rPr>
      </w:pPr>
      <w:r>
        <w:rPr>
          <w:rFonts w:hint="eastAsia"/>
          <w:color w:val="auto"/>
        </w:rPr>
        <w:t>（2）发包人应在监理人出具完工付款证书后的14天内，将应支付款支付给承包人。发包人不按期支付的，按第17.3.3（2）目的约定，将逾期付款违约金支付给承包人。</w:t>
      </w:r>
    </w:p>
    <w:p>
      <w:pPr>
        <w:spacing w:line="400" w:lineRule="exact"/>
        <w:ind w:firstLine="718" w:firstLineChars="342"/>
        <w:rPr>
          <w:rFonts w:hint="eastAsia"/>
          <w:color w:val="auto"/>
        </w:rPr>
      </w:pPr>
      <w:r>
        <w:rPr>
          <w:rFonts w:hint="eastAsia"/>
          <w:color w:val="auto"/>
        </w:rPr>
        <w:t>（3）承包人对发包人签认的完工付款证书有异议的，发包人可出具完工付款申请单中承包人已同意部分的临时付款证书。存在争议的部分，按第24条的约定办理。</w:t>
      </w:r>
    </w:p>
    <w:p>
      <w:pPr>
        <w:spacing w:line="400" w:lineRule="exact"/>
        <w:ind w:firstLine="630" w:firstLineChars="300"/>
        <w:rPr>
          <w:rFonts w:hint="eastAsia"/>
          <w:color w:val="auto"/>
        </w:rPr>
      </w:pPr>
      <w:r>
        <w:rPr>
          <w:rFonts w:hint="eastAsia"/>
          <w:color w:val="auto"/>
        </w:rPr>
        <w:t>（4）完工付款涉及政府投资资金的，按第17.3.3（４）目的约定办理。</w:t>
      </w:r>
    </w:p>
    <w:p>
      <w:pPr>
        <w:keepNext/>
        <w:keepLines/>
        <w:spacing w:line="400" w:lineRule="exact"/>
        <w:outlineLvl w:val="3"/>
        <w:rPr>
          <w:rFonts w:eastAsia="黑体"/>
          <w:color w:val="auto"/>
          <w:sz w:val="24"/>
          <w:szCs w:val="20"/>
        </w:rPr>
      </w:pPr>
      <w:bookmarkStart w:id="1511" w:name="_Toc221951017"/>
      <w:bookmarkStart w:id="1512" w:name="_Toc17143"/>
      <w:bookmarkStart w:id="1513" w:name="_Toc517172507"/>
      <w:r>
        <w:rPr>
          <w:rFonts w:eastAsia="黑体"/>
          <w:color w:val="auto"/>
          <w:sz w:val="24"/>
          <w:szCs w:val="20"/>
        </w:rPr>
        <w:t xml:space="preserve">17.6 </w:t>
      </w:r>
      <w:r>
        <w:rPr>
          <w:rFonts w:hint="eastAsia" w:eastAsia="黑体"/>
          <w:color w:val="auto"/>
          <w:sz w:val="24"/>
          <w:szCs w:val="20"/>
        </w:rPr>
        <w:t>最终结清</w:t>
      </w:r>
      <w:bookmarkEnd w:id="1511"/>
      <w:bookmarkEnd w:id="1512"/>
      <w:bookmarkEnd w:id="1513"/>
    </w:p>
    <w:p>
      <w:pPr>
        <w:spacing w:line="400" w:lineRule="exact"/>
        <w:ind w:firstLine="420" w:firstLineChars="200"/>
        <w:rPr>
          <w:rFonts w:hint="eastAsia"/>
          <w:color w:val="auto"/>
        </w:rPr>
      </w:pPr>
      <w:r>
        <w:rPr>
          <w:rFonts w:hint="eastAsia"/>
          <w:color w:val="auto"/>
        </w:rPr>
        <w:t xml:space="preserve">17.6.1 </w:t>
      </w:r>
      <w:r>
        <w:rPr>
          <w:rFonts w:hint="eastAsia" w:ascii="黑体" w:eastAsia="黑体"/>
          <w:color w:val="auto"/>
        </w:rPr>
        <w:t>最终结清申请单</w:t>
      </w:r>
    </w:p>
    <w:p>
      <w:pPr>
        <w:spacing w:line="400" w:lineRule="exact"/>
        <w:ind w:firstLine="718" w:firstLineChars="342"/>
        <w:rPr>
          <w:rFonts w:hint="eastAsia"/>
          <w:color w:val="auto"/>
        </w:rPr>
      </w:pPr>
      <w:r>
        <w:rPr>
          <w:rFonts w:hint="eastAsia"/>
          <w:color w:val="auto"/>
        </w:rPr>
        <w:t>（1）工程质量保修责任终止证书签发后，承包人应按监理人批准的格式提交最终结清申请单。提交最终结清申请单的份数在专用合同条款中约定。</w:t>
      </w:r>
    </w:p>
    <w:p>
      <w:pPr>
        <w:spacing w:line="400" w:lineRule="exact"/>
        <w:ind w:firstLine="718" w:firstLineChars="342"/>
        <w:rPr>
          <w:rFonts w:hint="eastAsia"/>
          <w:color w:val="auto"/>
        </w:rPr>
      </w:pPr>
      <w:r>
        <w:rPr>
          <w:rFonts w:hint="eastAsia"/>
          <w:color w:val="auto"/>
        </w:rPr>
        <w:t>（2）发包人对最终结清申请单内容有异议的，有权要求承包人进行修正和提供补充资料，由承包人向监理人提交修正后的最终结清申请单。</w:t>
      </w:r>
    </w:p>
    <w:p>
      <w:pPr>
        <w:spacing w:line="400" w:lineRule="exact"/>
        <w:ind w:firstLine="420" w:firstLineChars="200"/>
        <w:rPr>
          <w:rFonts w:hint="eastAsia"/>
          <w:color w:val="auto"/>
        </w:rPr>
      </w:pPr>
      <w:r>
        <w:rPr>
          <w:rFonts w:hint="eastAsia"/>
          <w:color w:val="auto"/>
        </w:rPr>
        <w:t xml:space="preserve">17.6.2 </w:t>
      </w:r>
      <w:r>
        <w:rPr>
          <w:rFonts w:hint="eastAsia" w:ascii="黑体" w:eastAsia="黑体"/>
          <w:color w:val="auto"/>
        </w:rPr>
        <w:t>最终结清证书和支付时间</w:t>
      </w:r>
    </w:p>
    <w:p>
      <w:pPr>
        <w:spacing w:line="400" w:lineRule="exact"/>
        <w:ind w:firstLine="718" w:firstLineChars="342"/>
        <w:rPr>
          <w:rFonts w:hint="eastAsia"/>
          <w:color w:val="auto"/>
        </w:rPr>
      </w:pPr>
      <w:r>
        <w:rPr>
          <w:rFonts w:hint="eastAsia"/>
          <w:color w:val="auto"/>
        </w:rPr>
        <w:t>（1）监理人收到承包人提交的最终结清申请单后的14天内，提出发包人应支付给承包人的价款送发包人审核并抄送承包人。发包人应在收到后14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pPr>
        <w:spacing w:line="400" w:lineRule="exact"/>
        <w:ind w:firstLine="718" w:firstLineChars="342"/>
        <w:rPr>
          <w:rFonts w:hint="eastAsia"/>
          <w:color w:val="auto"/>
        </w:rPr>
      </w:pPr>
      <w:r>
        <w:rPr>
          <w:rFonts w:hint="eastAsia"/>
          <w:color w:val="auto"/>
        </w:rPr>
        <w:t>（2）发包人应在监理人出具最终结清证书后的14天内，将应支付款支付给承包人。发包人不按期支付的，按第17.3.3（2）目的约定，将逾期付款违约金支付给承包人。</w:t>
      </w:r>
    </w:p>
    <w:p>
      <w:pPr>
        <w:spacing w:line="400" w:lineRule="exact"/>
        <w:ind w:firstLine="718" w:firstLineChars="342"/>
        <w:rPr>
          <w:rFonts w:hint="eastAsia"/>
          <w:color w:val="auto"/>
        </w:rPr>
      </w:pPr>
      <w:r>
        <w:rPr>
          <w:rFonts w:hint="eastAsia"/>
          <w:color w:val="auto"/>
        </w:rPr>
        <w:t>（3）承包人对发包人签认的最终结清证书有异议的，按第24条的约定办理。</w:t>
      </w:r>
    </w:p>
    <w:p>
      <w:pPr>
        <w:spacing w:line="400" w:lineRule="exact"/>
        <w:ind w:firstLine="718" w:firstLineChars="342"/>
        <w:rPr>
          <w:rFonts w:hint="eastAsia"/>
          <w:color w:val="auto"/>
        </w:rPr>
      </w:pPr>
      <w:r>
        <w:rPr>
          <w:rFonts w:hint="eastAsia"/>
          <w:color w:val="auto"/>
        </w:rPr>
        <w:t>（4）最终结清付款涉及政府投资资金的，按第17.3.3（４）目的约定办理。</w:t>
      </w:r>
    </w:p>
    <w:p>
      <w:pPr>
        <w:keepNext/>
        <w:keepLines/>
        <w:spacing w:line="400" w:lineRule="exact"/>
        <w:outlineLvl w:val="3"/>
        <w:rPr>
          <w:rFonts w:hint="eastAsia" w:eastAsia="黑体"/>
          <w:color w:val="auto"/>
          <w:sz w:val="24"/>
          <w:szCs w:val="20"/>
        </w:rPr>
      </w:pPr>
      <w:bookmarkStart w:id="1514" w:name="_Toc517172508"/>
      <w:bookmarkStart w:id="1515" w:name="_Toc6912"/>
      <w:r>
        <w:rPr>
          <w:rFonts w:hint="eastAsia" w:eastAsia="黑体"/>
          <w:color w:val="auto"/>
          <w:sz w:val="24"/>
          <w:szCs w:val="20"/>
        </w:rPr>
        <w:t>17.7 竣工财务决算</w:t>
      </w:r>
      <w:bookmarkEnd w:id="1514"/>
      <w:bookmarkEnd w:id="1515"/>
    </w:p>
    <w:p>
      <w:pPr>
        <w:spacing w:line="400" w:lineRule="exact"/>
        <w:ind w:firstLine="420" w:firstLineChars="200"/>
        <w:rPr>
          <w:rFonts w:hint="eastAsia"/>
          <w:color w:val="auto"/>
        </w:rPr>
      </w:pPr>
      <w:r>
        <w:rPr>
          <w:rFonts w:hint="eastAsia"/>
          <w:color w:val="auto"/>
        </w:rPr>
        <w:t>发包人负责编制本工程项目竣工财务决算，承包人应按专用合同条款的约定提供竣工财务决算编制所需的相关材料。</w:t>
      </w:r>
    </w:p>
    <w:p>
      <w:pPr>
        <w:keepNext/>
        <w:keepLines/>
        <w:spacing w:line="400" w:lineRule="exact"/>
        <w:outlineLvl w:val="3"/>
        <w:rPr>
          <w:rFonts w:hint="eastAsia" w:eastAsia="黑体"/>
          <w:color w:val="auto"/>
          <w:sz w:val="24"/>
          <w:szCs w:val="20"/>
        </w:rPr>
      </w:pPr>
      <w:bookmarkStart w:id="1516" w:name="_Toc517172509"/>
      <w:bookmarkStart w:id="1517" w:name="_Toc10795"/>
      <w:r>
        <w:rPr>
          <w:rFonts w:hint="eastAsia" w:eastAsia="黑体"/>
          <w:color w:val="auto"/>
          <w:sz w:val="24"/>
          <w:szCs w:val="20"/>
        </w:rPr>
        <w:t>17.8 竣工审计</w:t>
      </w:r>
      <w:bookmarkEnd w:id="1516"/>
      <w:bookmarkEnd w:id="1517"/>
    </w:p>
    <w:p>
      <w:pPr>
        <w:spacing w:line="400" w:lineRule="exact"/>
        <w:ind w:firstLine="420" w:firstLineChars="200"/>
        <w:rPr>
          <w:rFonts w:hint="eastAsia"/>
          <w:color w:val="auto"/>
        </w:rPr>
      </w:pPr>
      <w:r>
        <w:rPr>
          <w:rFonts w:hint="eastAsia"/>
          <w:color w:val="auto"/>
        </w:rPr>
        <w:t>发包人负责完成本工程竣工审计手续，承包人应完成相关配合工作。</w:t>
      </w:r>
      <w:bookmarkStart w:id="1518" w:name="_Toc222033870"/>
      <w:bookmarkStart w:id="1519" w:name="_Toc229305379"/>
      <w:bookmarkStart w:id="1520" w:name="_Toc222032688"/>
      <w:bookmarkStart w:id="1521" w:name="_Toc222031021"/>
      <w:bookmarkStart w:id="1522" w:name="_Toc222029519"/>
      <w:bookmarkStart w:id="1523" w:name="_Toc221951019"/>
      <w:bookmarkStart w:id="1524" w:name="_Toc387753601"/>
    </w:p>
    <w:p>
      <w:pPr>
        <w:pStyle w:val="80"/>
        <w:spacing w:before="120" w:after="120" w:afterLines="50"/>
        <w:outlineLvl w:val="2"/>
        <w:rPr>
          <w:color w:val="auto"/>
        </w:rPr>
      </w:pPr>
      <w:bookmarkStart w:id="1525" w:name="_Toc517172510"/>
      <w:bookmarkStart w:id="1526" w:name="_Toc16838"/>
      <w:bookmarkStart w:id="1527" w:name="_Toc491089747"/>
      <w:r>
        <w:rPr>
          <w:color w:val="auto"/>
        </w:rPr>
        <w:t xml:space="preserve">18. </w:t>
      </w:r>
      <w:r>
        <w:rPr>
          <w:rFonts w:hint="eastAsia"/>
          <w:color w:val="auto"/>
        </w:rPr>
        <w:t>竣工验收</w:t>
      </w:r>
      <w:bookmarkEnd w:id="1518"/>
      <w:bookmarkEnd w:id="1519"/>
      <w:bookmarkEnd w:id="1520"/>
      <w:bookmarkEnd w:id="1521"/>
      <w:bookmarkEnd w:id="1522"/>
      <w:bookmarkEnd w:id="1523"/>
      <w:r>
        <w:rPr>
          <w:rFonts w:hint="eastAsia"/>
          <w:color w:val="auto"/>
        </w:rPr>
        <w:t>（验收）</w:t>
      </w:r>
      <w:bookmarkEnd w:id="1524"/>
      <w:bookmarkEnd w:id="1525"/>
      <w:bookmarkEnd w:id="1526"/>
      <w:bookmarkEnd w:id="1527"/>
    </w:p>
    <w:p>
      <w:pPr>
        <w:keepNext/>
        <w:keepLines/>
        <w:spacing w:line="400" w:lineRule="exact"/>
        <w:outlineLvl w:val="3"/>
        <w:rPr>
          <w:rFonts w:eastAsia="黑体"/>
          <w:color w:val="auto"/>
          <w:sz w:val="24"/>
          <w:szCs w:val="20"/>
        </w:rPr>
      </w:pPr>
      <w:bookmarkStart w:id="1528" w:name="_Toc19147"/>
      <w:bookmarkStart w:id="1529" w:name="_Toc517172511"/>
      <w:bookmarkStart w:id="1530" w:name="_Toc222032689"/>
      <w:bookmarkStart w:id="1531" w:name="_Toc222033871"/>
      <w:bookmarkStart w:id="1532" w:name="_Toc221951044"/>
      <w:bookmarkStart w:id="1533" w:name="_Toc222029520"/>
      <w:bookmarkStart w:id="1534" w:name="_Toc222031022"/>
      <w:bookmarkStart w:id="1535" w:name="_Toc229305380"/>
      <w:r>
        <w:rPr>
          <w:rFonts w:eastAsia="黑体"/>
          <w:color w:val="auto"/>
          <w:sz w:val="24"/>
          <w:szCs w:val="20"/>
        </w:rPr>
        <w:t xml:space="preserve">18.1 </w:t>
      </w:r>
      <w:r>
        <w:rPr>
          <w:rFonts w:hint="eastAsia" w:eastAsia="黑体"/>
          <w:color w:val="auto"/>
          <w:sz w:val="24"/>
          <w:szCs w:val="20"/>
        </w:rPr>
        <w:t>验收工作分类</w:t>
      </w:r>
      <w:bookmarkEnd w:id="1528"/>
      <w:bookmarkEnd w:id="1529"/>
    </w:p>
    <w:p>
      <w:pPr>
        <w:spacing w:line="400" w:lineRule="exact"/>
        <w:ind w:firstLine="420" w:firstLineChars="200"/>
        <w:rPr>
          <w:rFonts w:hint="eastAsia"/>
          <w:color w:val="auto"/>
        </w:rPr>
      </w:pPr>
      <w:r>
        <w:rPr>
          <w:rFonts w:hint="eastAsia"/>
          <w:color w:val="auto"/>
        </w:rPr>
        <w:t>本工程验收工作按主持单位分为</w:t>
      </w:r>
      <w:r>
        <w:rPr>
          <w:color w:val="auto"/>
        </w:rPr>
        <w:t>法人验收和政府验收。</w:t>
      </w:r>
      <w:r>
        <w:rPr>
          <w:rFonts w:hint="eastAsia"/>
          <w:color w:val="auto"/>
        </w:rPr>
        <w:t>法人验收和政府验收的类别在专用合同条款中约定。除专用合同条款另有约定外，法人验收由发包人主持。承包人应完成法人验收和政府验收的配合工作，所需费用应含在已标价工程量清单中。</w:t>
      </w:r>
    </w:p>
    <w:p>
      <w:pPr>
        <w:keepNext/>
        <w:keepLines/>
        <w:spacing w:line="400" w:lineRule="exact"/>
        <w:outlineLvl w:val="3"/>
        <w:rPr>
          <w:rFonts w:eastAsia="黑体"/>
          <w:color w:val="auto"/>
          <w:sz w:val="24"/>
          <w:szCs w:val="20"/>
        </w:rPr>
      </w:pPr>
      <w:bookmarkStart w:id="1536" w:name="_Toc517172512"/>
      <w:bookmarkStart w:id="1537" w:name="_Toc8874"/>
      <w:r>
        <w:rPr>
          <w:rFonts w:eastAsia="黑体"/>
          <w:color w:val="auto"/>
          <w:sz w:val="24"/>
          <w:szCs w:val="20"/>
        </w:rPr>
        <w:t>18.</w:t>
      </w:r>
      <w:r>
        <w:rPr>
          <w:rFonts w:hint="eastAsia" w:eastAsia="黑体"/>
          <w:color w:val="auto"/>
          <w:sz w:val="24"/>
          <w:szCs w:val="20"/>
        </w:rPr>
        <w:t>2</w:t>
      </w:r>
      <w:r>
        <w:rPr>
          <w:rFonts w:eastAsia="黑体"/>
          <w:color w:val="auto"/>
          <w:sz w:val="24"/>
          <w:szCs w:val="20"/>
        </w:rPr>
        <w:t xml:space="preserve"> </w:t>
      </w:r>
      <w:r>
        <w:rPr>
          <w:rFonts w:hint="eastAsia" w:eastAsia="黑体"/>
          <w:color w:val="auto"/>
          <w:sz w:val="24"/>
          <w:szCs w:val="20"/>
        </w:rPr>
        <w:t>分部工程验收</w:t>
      </w:r>
      <w:bookmarkEnd w:id="1536"/>
      <w:bookmarkEnd w:id="1537"/>
    </w:p>
    <w:p>
      <w:pPr>
        <w:spacing w:line="400" w:lineRule="exact"/>
        <w:ind w:firstLine="420" w:firstLineChars="200"/>
        <w:rPr>
          <w:rFonts w:hint="eastAsia"/>
          <w:color w:val="auto"/>
        </w:rPr>
      </w:pPr>
      <w:r>
        <w:rPr>
          <w:color w:val="auto"/>
        </w:rPr>
        <w:t>18.</w:t>
      </w:r>
      <w:r>
        <w:rPr>
          <w:rFonts w:hint="eastAsia"/>
          <w:color w:val="auto"/>
        </w:rPr>
        <w:t>2</w:t>
      </w:r>
      <w:r>
        <w:rPr>
          <w:color w:val="auto"/>
        </w:rPr>
        <w:t>.</w:t>
      </w:r>
      <w:r>
        <w:rPr>
          <w:rFonts w:hint="eastAsia"/>
          <w:color w:val="auto"/>
        </w:rPr>
        <w:t>1分部工程具备验收条件时，承包人应向发包人提交验收申请报告，发包人应在收到验收申请报告之日起10个工作日内决定是否同意进行验收</w:t>
      </w:r>
      <w:r>
        <w:rPr>
          <w:color w:val="auto"/>
        </w:rPr>
        <w:t>。</w:t>
      </w:r>
    </w:p>
    <w:p>
      <w:pPr>
        <w:spacing w:line="400" w:lineRule="exact"/>
        <w:ind w:firstLine="420" w:firstLineChars="200"/>
        <w:rPr>
          <w:rFonts w:hint="eastAsia"/>
          <w:color w:val="auto"/>
        </w:rPr>
      </w:pPr>
      <w:r>
        <w:rPr>
          <w:rFonts w:hint="eastAsia"/>
          <w:color w:val="auto"/>
        </w:rPr>
        <w:t>18.2.2除专用合同条款另有约定外，监理人主持分部工程验收，承包人应派符合条件的代表参加验收工作组。</w:t>
      </w:r>
    </w:p>
    <w:p>
      <w:pPr>
        <w:spacing w:line="400" w:lineRule="exact"/>
        <w:ind w:firstLine="420" w:firstLineChars="200"/>
        <w:rPr>
          <w:rFonts w:hint="eastAsia"/>
          <w:color w:val="auto"/>
        </w:rPr>
      </w:pPr>
      <w:r>
        <w:rPr>
          <w:rFonts w:hint="eastAsia"/>
          <w:color w:val="auto"/>
        </w:rPr>
        <w:t>18.2.3分部工程验收通过后，发包人向承包人发送分部工程验收鉴定书。承包人应及时完成分部工程验收鉴定书载明应由承包人处理的遗留问题</w:t>
      </w:r>
      <w:r>
        <w:rPr>
          <w:color w:val="auto"/>
        </w:rPr>
        <w:t>。</w:t>
      </w:r>
    </w:p>
    <w:p>
      <w:pPr>
        <w:keepNext/>
        <w:keepLines/>
        <w:spacing w:line="400" w:lineRule="exact"/>
        <w:outlineLvl w:val="3"/>
        <w:rPr>
          <w:rFonts w:hint="eastAsia" w:eastAsia="黑体"/>
          <w:color w:val="auto"/>
          <w:sz w:val="24"/>
          <w:szCs w:val="20"/>
        </w:rPr>
      </w:pPr>
      <w:bookmarkStart w:id="1538" w:name="_Toc517172513"/>
      <w:bookmarkStart w:id="1539" w:name="_Toc23282"/>
      <w:r>
        <w:rPr>
          <w:rFonts w:eastAsia="黑体"/>
          <w:color w:val="auto"/>
          <w:sz w:val="24"/>
          <w:szCs w:val="20"/>
        </w:rPr>
        <w:t>18</w:t>
      </w:r>
      <w:r>
        <w:rPr>
          <w:rFonts w:hint="eastAsia" w:eastAsia="黑体"/>
          <w:color w:val="auto"/>
          <w:sz w:val="24"/>
          <w:szCs w:val="20"/>
        </w:rPr>
        <w:t>.</w:t>
      </w:r>
      <w:r>
        <w:rPr>
          <w:rFonts w:eastAsia="黑体"/>
          <w:color w:val="auto"/>
          <w:sz w:val="24"/>
          <w:szCs w:val="20"/>
        </w:rPr>
        <w:t>3</w:t>
      </w:r>
      <w:r>
        <w:rPr>
          <w:rFonts w:hint="eastAsia" w:eastAsia="黑体"/>
          <w:color w:val="auto"/>
          <w:sz w:val="24"/>
          <w:szCs w:val="20"/>
        </w:rPr>
        <w:t xml:space="preserve"> 单位工程验收</w:t>
      </w:r>
      <w:bookmarkEnd w:id="1538"/>
      <w:bookmarkEnd w:id="1539"/>
    </w:p>
    <w:p>
      <w:pPr>
        <w:spacing w:line="400" w:lineRule="exact"/>
        <w:ind w:firstLine="420" w:firstLineChars="200"/>
        <w:rPr>
          <w:rFonts w:hint="eastAsia"/>
          <w:color w:val="auto"/>
        </w:rPr>
      </w:pPr>
      <w:r>
        <w:rPr>
          <w:color w:val="auto"/>
        </w:rPr>
        <w:t xml:space="preserve"> </w:t>
      </w:r>
      <w:r>
        <w:rPr>
          <w:rFonts w:hint="eastAsia"/>
          <w:color w:val="auto"/>
        </w:rPr>
        <w:t>18.3.1单位工程具备验收条件时，承包人应向发包人提交验收申请报告，发包人应在收到验收申请报告之日起10个工作日内决定是否同意进行验收。</w:t>
      </w:r>
    </w:p>
    <w:p>
      <w:pPr>
        <w:spacing w:line="400" w:lineRule="exact"/>
        <w:ind w:firstLine="420" w:firstLineChars="200"/>
        <w:rPr>
          <w:rFonts w:hint="eastAsia"/>
          <w:color w:val="auto"/>
        </w:rPr>
      </w:pPr>
      <w:r>
        <w:rPr>
          <w:rFonts w:hint="eastAsia"/>
          <w:color w:val="auto"/>
        </w:rPr>
        <w:t>18.3.2发包人主持单位工程验收</w:t>
      </w:r>
      <w:r>
        <w:rPr>
          <w:color w:val="auto"/>
        </w:rPr>
        <w:t>，</w:t>
      </w:r>
      <w:r>
        <w:rPr>
          <w:rFonts w:hint="eastAsia"/>
          <w:color w:val="auto"/>
        </w:rPr>
        <w:t>承包人应派符合条件的代表参加验收工作组。</w:t>
      </w:r>
    </w:p>
    <w:p>
      <w:pPr>
        <w:spacing w:line="400" w:lineRule="exact"/>
        <w:ind w:firstLine="420" w:firstLineChars="200"/>
        <w:rPr>
          <w:rFonts w:hint="eastAsia"/>
          <w:color w:val="auto"/>
        </w:rPr>
      </w:pPr>
      <w:r>
        <w:rPr>
          <w:rFonts w:hint="eastAsia"/>
          <w:color w:val="auto"/>
        </w:rPr>
        <w:t>18.3.3单位工程验收通过后，发包人向承包人发送单位工程验收鉴定书。承包人应及时完成单位工程验收鉴定书载明应由承包人处理的遗留问题</w:t>
      </w:r>
      <w:r>
        <w:rPr>
          <w:color w:val="auto"/>
        </w:rPr>
        <w:t>。</w:t>
      </w:r>
    </w:p>
    <w:p>
      <w:pPr>
        <w:spacing w:line="400" w:lineRule="exact"/>
        <w:ind w:firstLine="420" w:firstLineChars="200"/>
        <w:rPr>
          <w:rFonts w:hint="eastAsia"/>
          <w:color w:val="auto"/>
        </w:rPr>
      </w:pPr>
      <w:r>
        <w:rPr>
          <w:rFonts w:hint="eastAsia"/>
          <w:color w:val="auto"/>
        </w:rPr>
        <w:t>18.3.4 需提前投入使用的单位工程在专用合同条款中明确。</w:t>
      </w:r>
    </w:p>
    <w:p>
      <w:pPr>
        <w:keepNext/>
        <w:keepLines/>
        <w:spacing w:line="400" w:lineRule="exact"/>
        <w:outlineLvl w:val="3"/>
        <w:rPr>
          <w:rFonts w:eastAsia="黑体"/>
          <w:color w:val="auto"/>
          <w:sz w:val="24"/>
          <w:szCs w:val="20"/>
        </w:rPr>
      </w:pPr>
      <w:bookmarkStart w:id="1540" w:name="_Toc517172514"/>
      <w:bookmarkStart w:id="1541" w:name="_Toc26716"/>
      <w:r>
        <w:rPr>
          <w:rFonts w:hint="eastAsia" w:eastAsia="黑体"/>
          <w:color w:val="auto"/>
          <w:sz w:val="24"/>
          <w:szCs w:val="20"/>
        </w:rPr>
        <w:t>18.4 合同工程完工验收</w:t>
      </w:r>
      <w:bookmarkEnd w:id="1540"/>
      <w:bookmarkEnd w:id="1541"/>
    </w:p>
    <w:p>
      <w:pPr>
        <w:spacing w:line="400" w:lineRule="exact"/>
        <w:ind w:firstLine="420" w:firstLineChars="200"/>
        <w:rPr>
          <w:rFonts w:hint="eastAsia"/>
          <w:color w:val="auto"/>
        </w:rPr>
      </w:pPr>
      <w:r>
        <w:rPr>
          <w:color w:val="auto"/>
        </w:rPr>
        <w:t>18. 4</w:t>
      </w:r>
      <w:r>
        <w:rPr>
          <w:rFonts w:hint="eastAsia"/>
          <w:color w:val="auto"/>
        </w:rPr>
        <w:t>.1合同工程具备验收条件时，承包人应向发包人提交验收申请报告，发包人应在收到验收申请报告之日起20个工作日内决定是否同意进行验收。</w:t>
      </w:r>
    </w:p>
    <w:p>
      <w:pPr>
        <w:spacing w:line="400" w:lineRule="exact"/>
        <w:ind w:firstLine="420" w:firstLineChars="200"/>
        <w:rPr>
          <w:rFonts w:hint="eastAsia"/>
          <w:color w:val="auto"/>
        </w:rPr>
      </w:pPr>
      <w:r>
        <w:rPr>
          <w:rFonts w:hint="eastAsia"/>
          <w:color w:val="auto"/>
        </w:rPr>
        <w:t>18.4.2发包人主持合同工程完工验收</w:t>
      </w:r>
      <w:r>
        <w:rPr>
          <w:color w:val="auto"/>
        </w:rPr>
        <w:t>，</w:t>
      </w:r>
      <w:r>
        <w:rPr>
          <w:rFonts w:hint="eastAsia"/>
          <w:color w:val="auto"/>
        </w:rPr>
        <w:t>承包人应派符合条件的代表参加验收工作组。</w:t>
      </w:r>
    </w:p>
    <w:p>
      <w:pPr>
        <w:spacing w:line="400" w:lineRule="exact"/>
        <w:ind w:firstLine="420" w:firstLineChars="200"/>
        <w:rPr>
          <w:rFonts w:hint="eastAsia"/>
          <w:color w:val="auto"/>
        </w:rPr>
      </w:pPr>
      <w:r>
        <w:rPr>
          <w:rFonts w:hint="eastAsia"/>
          <w:color w:val="auto"/>
        </w:rPr>
        <w:t>18.4.3合同工程完工验收通过后，发包人向承包人发送合同工程完工验收鉴定书。承包人应及时完成合同工程完工验收鉴定书载明应由承包人处理的遗留问题</w:t>
      </w:r>
      <w:r>
        <w:rPr>
          <w:color w:val="auto"/>
        </w:rPr>
        <w:t>。</w:t>
      </w:r>
    </w:p>
    <w:p>
      <w:pPr>
        <w:spacing w:line="400" w:lineRule="exact"/>
        <w:ind w:firstLine="420" w:firstLineChars="200"/>
        <w:rPr>
          <w:rFonts w:hint="eastAsia"/>
          <w:color w:val="auto"/>
        </w:rPr>
      </w:pPr>
      <w:r>
        <w:rPr>
          <w:rFonts w:hint="eastAsia"/>
          <w:color w:val="auto"/>
        </w:rPr>
        <w:t>18.4.4合同工程完工验收通过后，发包人与承包人应30个工作日内组织专人负责工程交接，双方交接负责人应在交接记录上签字。承包人应按验收鉴定书约定的时间及时移交工程及其档案资料。工程移交时，承包人应向发包人递交工程质量保修书。在承包人递交了工程质量保修书、完成施工场地清理以及提交有关资料后，发包人应30个工作日内向承包人颁发合同工程完工证书。</w:t>
      </w:r>
    </w:p>
    <w:p>
      <w:pPr>
        <w:keepNext/>
        <w:keepLines/>
        <w:spacing w:line="400" w:lineRule="exact"/>
        <w:outlineLvl w:val="3"/>
        <w:rPr>
          <w:rFonts w:hint="eastAsia" w:eastAsia="黑体"/>
          <w:color w:val="auto"/>
          <w:sz w:val="24"/>
          <w:szCs w:val="20"/>
        </w:rPr>
      </w:pPr>
      <w:bookmarkStart w:id="1542" w:name="_Toc517172515"/>
      <w:bookmarkStart w:id="1543" w:name="_Toc31627"/>
      <w:r>
        <w:rPr>
          <w:rFonts w:hint="eastAsia" w:eastAsia="黑体"/>
          <w:color w:val="auto"/>
          <w:sz w:val="24"/>
          <w:szCs w:val="20"/>
        </w:rPr>
        <w:t>18.5 阶段验收</w:t>
      </w:r>
      <w:bookmarkEnd w:id="1542"/>
      <w:bookmarkEnd w:id="1543"/>
    </w:p>
    <w:p>
      <w:pPr>
        <w:spacing w:line="400" w:lineRule="exact"/>
        <w:ind w:firstLine="420" w:firstLineChars="200"/>
        <w:rPr>
          <w:rFonts w:hint="eastAsia"/>
          <w:color w:val="auto"/>
        </w:rPr>
      </w:pPr>
      <w:r>
        <w:rPr>
          <w:rFonts w:hint="eastAsia"/>
          <w:color w:val="auto"/>
        </w:rPr>
        <w:t>18.5.1 工程建设具备阶段验收条件时，发包人负责提出阶段验收申请报告。承包人应派代表参加阶段验收，并作为被验收单位在验收鉴定书上签字。阶段验收的具体类别在专用合同条款中约定。</w:t>
      </w:r>
    </w:p>
    <w:p>
      <w:pPr>
        <w:spacing w:line="400" w:lineRule="exact"/>
        <w:ind w:firstLine="420" w:firstLineChars="200"/>
        <w:rPr>
          <w:rFonts w:hint="eastAsia"/>
          <w:color w:val="auto"/>
        </w:rPr>
      </w:pPr>
      <w:r>
        <w:rPr>
          <w:rFonts w:hint="eastAsia"/>
          <w:color w:val="auto"/>
        </w:rPr>
        <w:t>18.5.2承包人应及时完成阶段验收鉴定书载明应由承包人处理的遗留问题。</w:t>
      </w:r>
    </w:p>
    <w:p>
      <w:pPr>
        <w:keepNext/>
        <w:keepLines/>
        <w:spacing w:line="400" w:lineRule="exact"/>
        <w:outlineLvl w:val="3"/>
        <w:rPr>
          <w:rFonts w:hint="eastAsia" w:eastAsia="黑体"/>
          <w:color w:val="auto"/>
          <w:sz w:val="24"/>
          <w:szCs w:val="20"/>
        </w:rPr>
      </w:pPr>
      <w:bookmarkStart w:id="1544" w:name="_Toc517172516"/>
      <w:bookmarkStart w:id="1545" w:name="_Toc13614"/>
      <w:r>
        <w:rPr>
          <w:rFonts w:hint="eastAsia" w:eastAsia="黑体"/>
          <w:color w:val="auto"/>
          <w:sz w:val="24"/>
          <w:szCs w:val="20"/>
        </w:rPr>
        <w:t>18.6 专项验收</w:t>
      </w:r>
      <w:bookmarkEnd w:id="1544"/>
      <w:bookmarkEnd w:id="1545"/>
      <w:r>
        <w:rPr>
          <w:rFonts w:hint="eastAsia" w:eastAsia="黑体"/>
          <w:color w:val="auto"/>
          <w:sz w:val="24"/>
          <w:szCs w:val="20"/>
        </w:rPr>
        <w:t xml:space="preserve">  </w:t>
      </w:r>
    </w:p>
    <w:p>
      <w:pPr>
        <w:spacing w:line="400" w:lineRule="exact"/>
        <w:ind w:firstLine="420" w:firstLineChars="200"/>
        <w:rPr>
          <w:rFonts w:hint="eastAsia"/>
          <w:color w:val="auto"/>
        </w:rPr>
      </w:pPr>
      <w:r>
        <w:rPr>
          <w:rFonts w:hint="eastAsia"/>
          <w:color w:val="auto"/>
        </w:rPr>
        <w:t>18.6.1发包人负责提出专项验收申请报告。承包人应按专项验收的相关规定参加专项验收。专项验收的具体类别在专用合同条款中约定。</w:t>
      </w:r>
    </w:p>
    <w:p>
      <w:pPr>
        <w:spacing w:line="400" w:lineRule="exact"/>
        <w:ind w:firstLine="420" w:firstLineChars="200"/>
        <w:rPr>
          <w:rFonts w:hint="eastAsia"/>
          <w:color w:val="auto"/>
        </w:rPr>
      </w:pPr>
      <w:r>
        <w:rPr>
          <w:rFonts w:hint="eastAsia"/>
          <w:color w:val="auto"/>
        </w:rPr>
        <w:t>18.6.2承包应及时完成专项成果性文件载明应由承包人处理的遗留问题。</w:t>
      </w:r>
    </w:p>
    <w:p>
      <w:pPr>
        <w:keepNext/>
        <w:keepLines/>
        <w:spacing w:line="400" w:lineRule="exact"/>
        <w:outlineLvl w:val="3"/>
        <w:rPr>
          <w:rFonts w:hint="eastAsia" w:eastAsia="黑体"/>
          <w:color w:val="auto"/>
          <w:sz w:val="24"/>
          <w:szCs w:val="20"/>
        </w:rPr>
      </w:pPr>
      <w:bookmarkStart w:id="1546" w:name="_Toc517172517"/>
      <w:bookmarkStart w:id="1547" w:name="_Toc32355"/>
      <w:r>
        <w:rPr>
          <w:rFonts w:hint="eastAsia" w:eastAsia="黑体"/>
          <w:color w:val="auto"/>
          <w:sz w:val="24"/>
          <w:szCs w:val="20"/>
        </w:rPr>
        <w:t>18.7 竣工验收</w:t>
      </w:r>
      <w:bookmarkEnd w:id="1546"/>
      <w:bookmarkEnd w:id="1547"/>
    </w:p>
    <w:p>
      <w:pPr>
        <w:spacing w:line="400" w:lineRule="exact"/>
        <w:ind w:firstLine="420" w:firstLineChars="200"/>
        <w:rPr>
          <w:rFonts w:hint="eastAsia"/>
          <w:color w:val="auto"/>
        </w:rPr>
      </w:pPr>
      <w:r>
        <w:rPr>
          <w:rFonts w:hint="eastAsia"/>
          <w:color w:val="auto"/>
        </w:rPr>
        <w:t>18.7.1申请竣工验收前，发包人组织竣工验收自查，承包人应派代表参加。</w:t>
      </w:r>
    </w:p>
    <w:p>
      <w:pPr>
        <w:spacing w:line="400" w:lineRule="exact"/>
        <w:ind w:firstLine="420" w:firstLineChars="200"/>
        <w:rPr>
          <w:rFonts w:hint="eastAsia"/>
          <w:color w:val="auto"/>
        </w:rPr>
      </w:pPr>
      <w:r>
        <w:rPr>
          <w:rFonts w:hint="eastAsia"/>
          <w:color w:val="auto"/>
        </w:rPr>
        <w:t>18.7.2竣工验收分为竣工技术预验收和竣工验收两个阶段，发包人应通知承包人派代表参加技术预验收和竣工验收。</w:t>
      </w:r>
    </w:p>
    <w:p>
      <w:pPr>
        <w:spacing w:line="400" w:lineRule="exact"/>
        <w:ind w:firstLine="420" w:firstLineChars="200"/>
        <w:rPr>
          <w:rFonts w:hint="eastAsia"/>
          <w:color w:val="auto"/>
        </w:rPr>
      </w:pPr>
      <w:r>
        <w:rPr>
          <w:rFonts w:hint="eastAsia"/>
          <w:color w:val="auto"/>
        </w:rPr>
        <w:t>18.7.3专用合同条款约定工程需要进行技术鉴定的，承包人应提交有关资料并完成配合工作。</w:t>
      </w:r>
    </w:p>
    <w:p>
      <w:pPr>
        <w:spacing w:line="400" w:lineRule="exact"/>
        <w:ind w:firstLine="420" w:firstLineChars="200"/>
        <w:rPr>
          <w:rFonts w:hint="eastAsia"/>
          <w:color w:val="auto"/>
        </w:rPr>
      </w:pPr>
      <w:r>
        <w:rPr>
          <w:rFonts w:hint="eastAsia"/>
          <w:color w:val="auto"/>
        </w:rPr>
        <w:t>18.7.4竣工验收需要进行质量检测的，所需费用由发包人承担，但因承包人原因造成质量不合格的除外。</w:t>
      </w:r>
    </w:p>
    <w:p>
      <w:pPr>
        <w:spacing w:line="400" w:lineRule="exact"/>
        <w:ind w:firstLine="420" w:firstLineChars="200"/>
        <w:rPr>
          <w:rFonts w:hint="eastAsia"/>
          <w:color w:val="auto"/>
        </w:rPr>
      </w:pPr>
      <w:r>
        <w:rPr>
          <w:rFonts w:hint="eastAsia"/>
          <w:color w:val="auto"/>
        </w:rPr>
        <w:t>18.7.5工程质量保修期满以及竣工验收遗留问题和尾工处理完成并通过验收后，发包人负责将处理情况和验收成果报送竣工验收主持单位，申请领取工程竣工证书，并发送承包人。</w:t>
      </w:r>
    </w:p>
    <w:p>
      <w:pPr>
        <w:keepNext/>
        <w:keepLines/>
        <w:spacing w:line="400" w:lineRule="exact"/>
        <w:outlineLvl w:val="3"/>
        <w:rPr>
          <w:rFonts w:hint="eastAsia" w:eastAsia="黑体"/>
          <w:color w:val="auto"/>
          <w:sz w:val="24"/>
          <w:szCs w:val="20"/>
        </w:rPr>
      </w:pPr>
      <w:bookmarkStart w:id="1548" w:name="_Toc4439"/>
      <w:bookmarkStart w:id="1549" w:name="_Toc517172518"/>
      <w:r>
        <w:rPr>
          <w:rFonts w:hint="eastAsia" w:eastAsia="黑体"/>
          <w:color w:val="auto"/>
          <w:sz w:val="24"/>
          <w:szCs w:val="20"/>
        </w:rPr>
        <w:t>18.8 施工期运行</w:t>
      </w:r>
      <w:bookmarkEnd w:id="1548"/>
      <w:bookmarkEnd w:id="1549"/>
    </w:p>
    <w:p>
      <w:pPr>
        <w:spacing w:line="400" w:lineRule="exact"/>
        <w:ind w:firstLine="420" w:firstLineChars="200"/>
        <w:rPr>
          <w:rFonts w:hint="eastAsia"/>
          <w:color w:val="auto"/>
        </w:rPr>
      </w:pPr>
      <w:r>
        <w:rPr>
          <w:rFonts w:hint="eastAsia"/>
          <w:color w:val="auto"/>
        </w:rPr>
        <w:t>18.8.1施工期运行是指合同工程尚未全部完工，其中某单位工程或部分工程已完工，需要投入施工期运行的，经发包人按第18.2款或第18.3款的约定验收合格，证明能确保安全后，才能在施工期投入运行。需要在施工期运行的单位工程或部分工程在专用合同条款中约定。</w:t>
      </w:r>
    </w:p>
    <w:p>
      <w:pPr>
        <w:spacing w:line="400" w:lineRule="exact"/>
        <w:ind w:firstLine="420" w:firstLineChars="200"/>
        <w:rPr>
          <w:rFonts w:hint="eastAsia"/>
          <w:color w:val="auto"/>
        </w:rPr>
      </w:pPr>
      <w:r>
        <w:rPr>
          <w:rFonts w:hint="eastAsia"/>
          <w:color w:val="auto"/>
        </w:rPr>
        <w:t>18.8.2在施工期运行中发现工程或工程设备损坏或存在缺陷的，由承包人按第19.2款约定进行修复。</w:t>
      </w:r>
    </w:p>
    <w:p>
      <w:pPr>
        <w:keepNext/>
        <w:keepLines/>
        <w:spacing w:line="400" w:lineRule="exact"/>
        <w:outlineLvl w:val="3"/>
        <w:rPr>
          <w:rFonts w:hint="eastAsia" w:eastAsia="黑体"/>
          <w:color w:val="auto"/>
          <w:sz w:val="24"/>
          <w:szCs w:val="20"/>
        </w:rPr>
      </w:pPr>
      <w:bookmarkStart w:id="1550" w:name="_Toc23030"/>
      <w:bookmarkStart w:id="1551" w:name="_Toc517172519"/>
      <w:r>
        <w:rPr>
          <w:rFonts w:hint="eastAsia" w:eastAsia="黑体"/>
          <w:color w:val="auto"/>
          <w:sz w:val="24"/>
          <w:szCs w:val="20"/>
        </w:rPr>
        <w:t>18.9 试运行</w:t>
      </w:r>
      <w:bookmarkEnd w:id="1550"/>
      <w:bookmarkEnd w:id="1551"/>
    </w:p>
    <w:p>
      <w:pPr>
        <w:spacing w:line="400" w:lineRule="exact"/>
        <w:ind w:firstLine="420" w:firstLineChars="200"/>
        <w:rPr>
          <w:rFonts w:hint="eastAsia"/>
          <w:color w:val="auto"/>
        </w:rPr>
      </w:pPr>
      <w:r>
        <w:rPr>
          <w:rFonts w:hint="eastAsia"/>
          <w:color w:val="auto"/>
        </w:rPr>
        <w:t>18.9.1除专用合同条款另有约定外，承包人应按规定进行工程及工程设备试运行，负责提供试运行所需的人员、器材和必要的条件，并承担全部试运行费用。</w:t>
      </w:r>
    </w:p>
    <w:p>
      <w:pPr>
        <w:spacing w:line="400" w:lineRule="exact"/>
        <w:ind w:firstLine="420" w:firstLineChars="200"/>
        <w:rPr>
          <w:rFonts w:hint="eastAsia"/>
          <w:color w:val="auto"/>
        </w:rPr>
      </w:pPr>
      <w:r>
        <w:rPr>
          <w:rFonts w:hint="eastAsia"/>
          <w:color w:val="auto"/>
        </w:rPr>
        <w:t>18.9.2由于承包人的原因导致试运行失败的，承包人应采取措施保证试运行合格，并承担相应费用。由于发包人的原因导致试运行失败的，承包人应当采取措施保证试运行合格，发包人应承担由此产生的费用，并支付承包人合理利润。</w:t>
      </w:r>
    </w:p>
    <w:p>
      <w:pPr>
        <w:keepNext/>
        <w:keepLines/>
        <w:spacing w:line="400" w:lineRule="exact"/>
        <w:outlineLvl w:val="3"/>
        <w:rPr>
          <w:rFonts w:hint="eastAsia" w:eastAsia="黑体"/>
          <w:color w:val="auto"/>
          <w:sz w:val="24"/>
          <w:szCs w:val="20"/>
        </w:rPr>
      </w:pPr>
      <w:bookmarkStart w:id="1552" w:name="_Toc21526"/>
      <w:bookmarkStart w:id="1553" w:name="_Toc517172520"/>
      <w:r>
        <w:rPr>
          <w:rFonts w:hint="eastAsia" w:eastAsia="黑体"/>
          <w:color w:val="auto"/>
          <w:sz w:val="24"/>
          <w:szCs w:val="20"/>
        </w:rPr>
        <w:t>18.10 竣工（完工）清场</w:t>
      </w:r>
      <w:bookmarkEnd w:id="1552"/>
      <w:bookmarkEnd w:id="1553"/>
    </w:p>
    <w:p>
      <w:pPr>
        <w:spacing w:line="400" w:lineRule="exact"/>
        <w:ind w:firstLine="420" w:firstLineChars="200"/>
        <w:rPr>
          <w:rFonts w:hint="eastAsia"/>
          <w:color w:val="auto"/>
        </w:rPr>
      </w:pPr>
      <w:r>
        <w:rPr>
          <w:rFonts w:hint="eastAsia"/>
          <w:color w:val="auto"/>
        </w:rPr>
        <w:t>1810.1工程项目竣工（完工）清场的工作范围和内容在技术标准和要求（合同技术条款）中约定。</w:t>
      </w:r>
    </w:p>
    <w:p>
      <w:pPr>
        <w:spacing w:line="400" w:lineRule="exact"/>
        <w:ind w:firstLine="420" w:firstLineChars="200"/>
        <w:rPr>
          <w:rFonts w:hint="eastAsia"/>
          <w:color w:val="auto"/>
        </w:rPr>
      </w:pPr>
      <w:r>
        <w:rPr>
          <w:rFonts w:hint="eastAsia"/>
          <w:color w:val="auto"/>
        </w:rPr>
        <w:t>18.10.2承包未按监理人的要求恢复临时占地，或者场地清理未达到合同约定的，发包人有权委托其它人恢复或清理，所发生的金额从拟支付给承包人的款项中扣除。</w:t>
      </w:r>
    </w:p>
    <w:p>
      <w:pPr>
        <w:keepNext/>
        <w:keepLines/>
        <w:spacing w:line="400" w:lineRule="exact"/>
        <w:outlineLvl w:val="3"/>
        <w:rPr>
          <w:rFonts w:hint="eastAsia" w:eastAsia="黑体"/>
          <w:color w:val="auto"/>
          <w:sz w:val="24"/>
          <w:szCs w:val="20"/>
        </w:rPr>
      </w:pPr>
      <w:bookmarkStart w:id="1554" w:name="_Toc8299"/>
      <w:bookmarkStart w:id="1555" w:name="_Toc517172521"/>
      <w:r>
        <w:rPr>
          <w:rFonts w:hint="eastAsia" w:eastAsia="黑体"/>
          <w:color w:val="auto"/>
          <w:sz w:val="24"/>
          <w:szCs w:val="20"/>
        </w:rPr>
        <w:t>18.11 施工队伍的撤离</w:t>
      </w:r>
      <w:bookmarkEnd w:id="1554"/>
      <w:bookmarkEnd w:id="1555"/>
    </w:p>
    <w:p>
      <w:pPr>
        <w:spacing w:line="400" w:lineRule="exact"/>
        <w:ind w:firstLine="420" w:firstLineChars="200"/>
        <w:rPr>
          <w:rFonts w:hint="eastAsia"/>
          <w:color w:val="auto"/>
        </w:rPr>
      </w:pPr>
      <w:r>
        <w:rPr>
          <w:rFonts w:hint="eastAsia"/>
          <w:color w:val="auto"/>
        </w:rPr>
        <w:t>合同工程接收证书颁发后的56天内，除了经监理人同意需在缺陷责任期（工程质量保修期）内继续工作和使用的人员、施工设备和临时工程外，其余的人员、施工设备和临时工程均应撤离施工场地或拆除。除合同另有约定外，缺陷责任期（工程质量保修期）满时，承包人的人员和施工设备应全部撤离施工场地。</w:t>
      </w:r>
    </w:p>
    <w:p>
      <w:pPr>
        <w:pStyle w:val="80"/>
        <w:spacing w:before="120" w:after="120" w:afterLines="50"/>
        <w:outlineLvl w:val="2"/>
        <w:rPr>
          <w:color w:val="auto"/>
        </w:rPr>
      </w:pPr>
      <w:bookmarkStart w:id="1556" w:name="_Toc10041"/>
      <w:bookmarkStart w:id="1557" w:name="_Toc387753602"/>
      <w:bookmarkStart w:id="1558" w:name="_Toc491089748"/>
      <w:bookmarkStart w:id="1559" w:name="_Toc517172522"/>
      <w:r>
        <w:rPr>
          <w:color w:val="auto"/>
        </w:rPr>
        <w:t xml:space="preserve">19. </w:t>
      </w:r>
      <w:r>
        <w:rPr>
          <w:rFonts w:hint="eastAsia"/>
          <w:color w:val="auto"/>
        </w:rPr>
        <w:t>缺陷责任与保修责任</w:t>
      </w:r>
      <w:bookmarkEnd w:id="1530"/>
      <w:bookmarkEnd w:id="1531"/>
      <w:bookmarkEnd w:id="1532"/>
      <w:bookmarkEnd w:id="1533"/>
      <w:bookmarkEnd w:id="1534"/>
      <w:bookmarkEnd w:id="1535"/>
      <w:bookmarkEnd w:id="1556"/>
      <w:bookmarkEnd w:id="1557"/>
      <w:bookmarkEnd w:id="1558"/>
      <w:bookmarkEnd w:id="1559"/>
    </w:p>
    <w:p>
      <w:pPr>
        <w:keepNext/>
        <w:keepLines/>
        <w:spacing w:line="400" w:lineRule="exact"/>
        <w:outlineLvl w:val="3"/>
        <w:rPr>
          <w:rFonts w:eastAsia="黑体"/>
          <w:color w:val="auto"/>
          <w:sz w:val="24"/>
          <w:szCs w:val="20"/>
        </w:rPr>
      </w:pPr>
      <w:bookmarkStart w:id="1560" w:name="_Toc221951045"/>
      <w:bookmarkStart w:id="1561" w:name="_Toc517172523"/>
      <w:bookmarkStart w:id="1562" w:name="_Toc15256"/>
      <w:r>
        <w:rPr>
          <w:rFonts w:eastAsia="黑体"/>
          <w:color w:val="auto"/>
          <w:sz w:val="24"/>
          <w:szCs w:val="20"/>
        </w:rPr>
        <w:t xml:space="preserve">19.1 </w:t>
      </w:r>
      <w:r>
        <w:rPr>
          <w:rFonts w:hint="eastAsia" w:eastAsia="黑体"/>
          <w:color w:val="auto"/>
          <w:sz w:val="24"/>
          <w:szCs w:val="20"/>
        </w:rPr>
        <w:t>缺陷责任期（工程质量保修期）的起算时间</w:t>
      </w:r>
      <w:bookmarkEnd w:id="1560"/>
      <w:bookmarkEnd w:id="1561"/>
      <w:bookmarkEnd w:id="1562"/>
    </w:p>
    <w:p>
      <w:pPr>
        <w:spacing w:line="400" w:lineRule="exact"/>
        <w:ind w:firstLine="420" w:firstLineChars="200"/>
        <w:rPr>
          <w:rFonts w:hint="eastAsia"/>
          <w:color w:val="auto"/>
        </w:rPr>
      </w:pPr>
      <w:bookmarkStart w:id="1563" w:name="_Toc221951047"/>
      <w:bookmarkStart w:id="1564" w:name="_Toc144974707"/>
      <w:bookmarkStart w:id="1565" w:name="_Toc152042515"/>
      <w:bookmarkStart w:id="1566" w:name="_Toc152045736"/>
      <w:bookmarkStart w:id="1567" w:name="_Toc179632754"/>
      <w:r>
        <w:rPr>
          <w:rFonts w:hint="eastAsia"/>
          <w:color w:val="auto"/>
        </w:rPr>
        <w:t>除专用合同条款另有约定外，缺陷责任期（工程质量保修期）从工程通过合同工程完工验收后开始计算。在合同工程完工验收前，已经发包人提前验收的单位工程或部分工程，若未投入使用，其缺陷责任期（工程质量保修期）亦从工程通过合同工程完工验收后开始计算。若已投入使用，其缺陷责任期（工程质量保修期）从通过单位工程或部分工程投入使用验收后开始计算。缺陷责任期（工程质量保修期）的期限在专用合同条款中约定。</w:t>
      </w:r>
      <w:bookmarkEnd w:id="1563"/>
    </w:p>
    <w:p>
      <w:pPr>
        <w:keepNext/>
        <w:keepLines/>
        <w:spacing w:line="400" w:lineRule="exact"/>
        <w:outlineLvl w:val="3"/>
        <w:rPr>
          <w:rFonts w:hint="eastAsia" w:eastAsia="黑体"/>
          <w:color w:val="auto"/>
          <w:sz w:val="24"/>
          <w:szCs w:val="20"/>
        </w:rPr>
      </w:pPr>
      <w:bookmarkStart w:id="1568" w:name="_Toc32661"/>
      <w:bookmarkStart w:id="1569" w:name="_Toc517172524"/>
      <w:r>
        <w:rPr>
          <w:rFonts w:hint="eastAsia" w:eastAsia="黑体"/>
          <w:color w:val="auto"/>
          <w:sz w:val="24"/>
          <w:szCs w:val="20"/>
        </w:rPr>
        <w:t>19.2 缺陷责任</w:t>
      </w:r>
      <w:bookmarkEnd w:id="1564"/>
      <w:bookmarkEnd w:id="1565"/>
      <w:bookmarkEnd w:id="1566"/>
      <w:bookmarkEnd w:id="1567"/>
      <w:bookmarkEnd w:id="1568"/>
      <w:bookmarkEnd w:id="1569"/>
    </w:p>
    <w:p>
      <w:pPr>
        <w:spacing w:line="400" w:lineRule="exact"/>
        <w:ind w:firstLine="420" w:firstLineChars="200"/>
        <w:rPr>
          <w:rFonts w:hint="eastAsia"/>
          <w:color w:val="auto"/>
        </w:rPr>
      </w:pPr>
      <w:r>
        <w:rPr>
          <w:rFonts w:hint="eastAsia"/>
          <w:color w:val="auto"/>
        </w:rPr>
        <w:t>19.2.1 承包人应在缺陷责任期内对已交付使用的工程承担缺陷责任。</w:t>
      </w:r>
    </w:p>
    <w:p>
      <w:pPr>
        <w:spacing w:line="400" w:lineRule="exact"/>
        <w:ind w:firstLine="420" w:firstLineChars="200"/>
        <w:rPr>
          <w:rFonts w:hint="eastAsia"/>
          <w:color w:val="auto"/>
        </w:rPr>
      </w:pPr>
      <w:r>
        <w:rPr>
          <w:rFonts w:hint="eastAsia"/>
          <w:color w:val="auto"/>
        </w:rPr>
        <w:t>19.2.2 缺陷责任期内，发包人对已接收使用的工程负责日常维护工作。发包人在使用过程中，发现已接收的工程存在新的缺陷或已修复的缺陷部位或部件又遭损坏的，承包人应负责修复，直至检验合格为止。</w:t>
      </w:r>
    </w:p>
    <w:p>
      <w:pPr>
        <w:spacing w:line="400" w:lineRule="exact"/>
        <w:ind w:firstLine="420" w:firstLineChars="200"/>
        <w:rPr>
          <w:rFonts w:hint="eastAsia"/>
          <w:color w:val="auto"/>
        </w:rPr>
      </w:pPr>
      <w:r>
        <w:rPr>
          <w:rFonts w:hint="eastAsia"/>
          <w:color w:val="auto"/>
        </w:rPr>
        <w:t>19.2.3 监理人和承包人应共同查清缺陷和（或）损坏的原因。经查明属承包人原因造成的，应由承包人承担修复和查验的费用。经查验属发包人原因造成的，发包人应承担修复和查验的费用，并支付承包人合理利润。</w:t>
      </w:r>
    </w:p>
    <w:p>
      <w:pPr>
        <w:spacing w:line="400" w:lineRule="exact"/>
        <w:ind w:firstLine="420" w:firstLineChars="200"/>
        <w:rPr>
          <w:rFonts w:hint="eastAsia"/>
          <w:color w:val="auto"/>
        </w:rPr>
      </w:pPr>
      <w:r>
        <w:rPr>
          <w:rFonts w:hint="eastAsia"/>
          <w:color w:val="auto"/>
        </w:rPr>
        <w:t>19.2.4 承包人不能在合理时间内修复缺陷的，发包人可自行修复或委托其他人修复，所需费用和利润的承担，按第19.2.3项约定办理。</w:t>
      </w:r>
    </w:p>
    <w:p>
      <w:pPr>
        <w:keepNext/>
        <w:keepLines/>
        <w:spacing w:line="400" w:lineRule="exact"/>
        <w:outlineLvl w:val="3"/>
        <w:rPr>
          <w:rFonts w:hint="eastAsia" w:eastAsia="黑体"/>
          <w:color w:val="auto"/>
          <w:sz w:val="24"/>
          <w:szCs w:val="20"/>
        </w:rPr>
      </w:pPr>
      <w:bookmarkStart w:id="1570" w:name="_Toc32262"/>
      <w:bookmarkStart w:id="1571" w:name="_Toc517172525"/>
      <w:bookmarkStart w:id="1572" w:name="_Toc179632755"/>
      <w:bookmarkStart w:id="1573" w:name="_Toc152045737"/>
      <w:bookmarkStart w:id="1574" w:name="_Toc152042516"/>
      <w:bookmarkStart w:id="1575" w:name="_Toc144974708"/>
      <w:r>
        <w:rPr>
          <w:rFonts w:hint="eastAsia" w:eastAsia="黑体"/>
          <w:color w:val="auto"/>
          <w:sz w:val="24"/>
          <w:szCs w:val="20"/>
        </w:rPr>
        <w:t>19.3 缺陷责任期的延长</w:t>
      </w:r>
      <w:bookmarkEnd w:id="1570"/>
      <w:bookmarkEnd w:id="1571"/>
      <w:bookmarkEnd w:id="1572"/>
      <w:bookmarkEnd w:id="1573"/>
      <w:bookmarkEnd w:id="1574"/>
      <w:bookmarkEnd w:id="1575"/>
    </w:p>
    <w:p>
      <w:pPr>
        <w:spacing w:line="400" w:lineRule="exact"/>
        <w:ind w:firstLine="420" w:firstLineChars="200"/>
        <w:rPr>
          <w:rFonts w:hint="eastAsia"/>
          <w:color w:val="auto"/>
        </w:rPr>
      </w:pPr>
      <w:r>
        <w:rPr>
          <w:rFonts w:hint="eastAsia"/>
          <w:color w:val="auto"/>
        </w:rPr>
        <w:t>由于承包人原因造成某项缺陷或损坏使某项工程或工程设备不能按原定目标使用而需要再次检查、检验和修复的，发包人有权要求承包人相应延长缺陷责任期，但缺陷责任期最长不超过2年。</w:t>
      </w:r>
    </w:p>
    <w:p>
      <w:pPr>
        <w:keepNext/>
        <w:keepLines/>
        <w:spacing w:line="400" w:lineRule="exact"/>
        <w:outlineLvl w:val="3"/>
        <w:rPr>
          <w:rFonts w:hint="eastAsia" w:eastAsia="黑体"/>
          <w:color w:val="auto"/>
          <w:sz w:val="24"/>
          <w:szCs w:val="20"/>
        </w:rPr>
      </w:pPr>
      <w:bookmarkStart w:id="1576" w:name="_Toc144974709"/>
      <w:bookmarkStart w:id="1577" w:name="_Toc31335"/>
      <w:bookmarkStart w:id="1578" w:name="_Toc517172526"/>
      <w:bookmarkStart w:id="1579" w:name="_Toc152045738"/>
      <w:bookmarkStart w:id="1580" w:name="_Toc152042517"/>
      <w:bookmarkStart w:id="1581" w:name="_Toc179632756"/>
      <w:r>
        <w:rPr>
          <w:rFonts w:hint="eastAsia" w:eastAsia="黑体"/>
          <w:color w:val="auto"/>
          <w:sz w:val="24"/>
          <w:szCs w:val="20"/>
        </w:rPr>
        <w:t>19.4 进一步试验和试运行</w:t>
      </w:r>
      <w:bookmarkEnd w:id="1576"/>
      <w:bookmarkEnd w:id="1577"/>
      <w:bookmarkEnd w:id="1578"/>
      <w:bookmarkEnd w:id="1579"/>
      <w:bookmarkEnd w:id="1580"/>
      <w:bookmarkEnd w:id="1581"/>
    </w:p>
    <w:p>
      <w:pPr>
        <w:spacing w:line="400" w:lineRule="exact"/>
        <w:ind w:firstLine="420" w:firstLineChars="200"/>
        <w:rPr>
          <w:rFonts w:hint="eastAsia"/>
          <w:color w:val="auto"/>
        </w:rPr>
      </w:pPr>
      <w:r>
        <w:rPr>
          <w:rFonts w:hint="eastAsia"/>
          <w:color w:val="auto"/>
        </w:rPr>
        <w:t>任何一项缺陷或损坏修复后，经检查证明其影响了工程或工程设备的使用性能，承包人应重新进行合同约定的试验和试运行，试验和试运行的全部费用应由责任方承担。</w:t>
      </w:r>
    </w:p>
    <w:p>
      <w:pPr>
        <w:keepNext/>
        <w:keepLines/>
        <w:spacing w:line="400" w:lineRule="exact"/>
        <w:outlineLvl w:val="3"/>
        <w:rPr>
          <w:rFonts w:hint="eastAsia" w:eastAsia="黑体"/>
          <w:color w:val="auto"/>
          <w:sz w:val="24"/>
          <w:szCs w:val="20"/>
        </w:rPr>
      </w:pPr>
      <w:bookmarkStart w:id="1582" w:name="_Toc152042518"/>
      <w:bookmarkStart w:id="1583" w:name="_Toc22870"/>
      <w:bookmarkStart w:id="1584" w:name="_Toc517172527"/>
      <w:bookmarkStart w:id="1585" w:name="_Toc179632757"/>
      <w:bookmarkStart w:id="1586" w:name="_Toc152045739"/>
      <w:bookmarkStart w:id="1587" w:name="_Toc144974710"/>
      <w:r>
        <w:rPr>
          <w:rFonts w:hint="eastAsia" w:eastAsia="黑体"/>
          <w:color w:val="auto"/>
          <w:sz w:val="24"/>
          <w:szCs w:val="20"/>
        </w:rPr>
        <w:t>19.5 承包人的进入权</w:t>
      </w:r>
      <w:bookmarkEnd w:id="1582"/>
      <w:bookmarkEnd w:id="1583"/>
      <w:bookmarkEnd w:id="1584"/>
      <w:bookmarkEnd w:id="1585"/>
      <w:bookmarkEnd w:id="1586"/>
      <w:bookmarkEnd w:id="1587"/>
    </w:p>
    <w:p>
      <w:pPr>
        <w:spacing w:line="400" w:lineRule="exact"/>
        <w:ind w:firstLine="420" w:firstLineChars="200"/>
        <w:rPr>
          <w:rFonts w:hint="eastAsia"/>
          <w:color w:val="auto"/>
        </w:rPr>
      </w:pPr>
      <w:r>
        <w:rPr>
          <w:rFonts w:hint="eastAsia"/>
          <w:color w:val="auto"/>
        </w:rPr>
        <w:t>缺陷责任期内承包人为缺陷修复工作需要，有权进入工程现场，但应遵守发包人的保安和保密规定。</w:t>
      </w:r>
    </w:p>
    <w:p>
      <w:pPr>
        <w:keepNext/>
        <w:keepLines/>
        <w:spacing w:line="400" w:lineRule="exact"/>
        <w:outlineLvl w:val="3"/>
        <w:rPr>
          <w:rFonts w:hint="eastAsia" w:eastAsia="黑体"/>
          <w:color w:val="auto"/>
          <w:sz w:val="24"/>
          <w:szCs w:val="20"/>
        </w:rPr>
      </w:pPr>
      <w:bookmarkStart w:id="1588" w:name="_Toc144974711"/>
      <w:bookmarkStart w:id="1589" w:name="_Toc179632758"/>
      <w:bookmarkStart w:id="1590" w:name="_Toc152045740"/>
      <w:bookmarkStart w:id="1591" w:name="_Toc152042519"/>
      <w:bookmarkStart w:id="1592" w:name="_Toc517172528"/>
      <w:bookmarkStart w:id="1593" w:name="_Toc20167"/>
      <w:r>
        <w:rPr>
          <w:rFonts w:hint="eastAsia" w:eastAsia="黑体"/>
          <w:color w:val="auto"/>
          <w:sz w:val="24"/>
          <w:szCs w:val="20"/>
        </w:rPr>
        <w:t>19.6 缺陷责任期终止证书</w:t>
      </w:r>
      <w:bookmarkEnd w:id="1588"/>
      <w:bookmarkEnd w:id="1589"/>
      <w:bookmarkEnd w:id="1590"/>
      <w:bookmarkEnd w:id="1591"/>
      <w:r>
        <w:rPr>
          <w:rFonts w:hint="eastAsia" w:eastAsia="黑体"/>
          <w:color w:val="auto"/>
          <w:sz w:val="24"/>
          <w:szCs w:val="20"/>
        </w:rPr>
        <w:t>（工程质量保修责任终止证书）</w:t>
      </w:r>
      <w:bookmarkEnd w:id="1592"/>
      <w:bookmarkEnd w:id="1593"/>
    </w:p>
    <w:p>
      <w:pPr>
        <w:spacing w:line="400" w:lineRule="exact"/>
        <w:ind w:firstLine="420" w:firstLineChars="200"/>
        <w:rPr>
          <w:rFonts w:hint="eastAsia"/>
          <w:color w:val="auto"/>
        </w:rPr>
      </w:pPr>
      <w:r>
        <w:rPr>
          <w:rFonts w:hint="eastAsia"/>
          <w:color w:val="auto"/>
        </w:rPr>
        <w:t>合同工程完工验收或投入使用验收后，发包人与承包人应办理工程交接手续，承包人应向发包人递交工程质量保修书。</w:t>
      </w:r>
    </w:p>
    <w:p>
      <w:pPr>
        <w:spacing w:line="400" w:lineRule="exact"/>
        <w:ind w:firstLine="420" w:firstLineChars="200"/>
        <w:rPr>
          <w:rFonts w:hint="eastAsia"/>
          <w:color w:val="auto"/>
        </w:rPr>
      </w:pPr>
      <w:r>
        <w:rPr>
          <w:rFonts w:hint="eastAsia"/>
          <w:color w:val="auto"/>
        </w:rPr>
        <w:t>缺陷责任期（工程质量保修期）满后30个工作日内，发包人应向承包人颁发工程质量保修责任终止证书，并退还剩余的质量保证金，但保修责任范围内的质量缺陷未处理完成的应除外。</w:t>
      </w:r>
    </w:p>
    <w:p>
      <w:pPr>
        <w:keepNext/>
        <w:keepLines/>
        <w:spacing w:line="400" w:lineRule="exact"/>
        <w:outlineLvl w:val="3"/>
        <w:rPr>
          <w:rFonts w:hint="eastAsia" w:eastAsia="黑体"/>
          <w:color w:val="auto"/>
          <w:sz w:val="24"/>
          <w:szCs w:val="20"/>
        </w:rPr>
      </w:pPr>
      <w:bookmarkStart w:id="1594" w:name="_Toc517172529"/>
      <w:bookmarkStart w:id="1595" w:name="_Toc152045741"/>
      <w:bookmarkStart w:id="1596" w:name="_Toc144974712"/>
      <w:bookmarkStart w:id="1597" w:name="_Toc179632759"/>
      <w:bookmarkStart w:id="1598" w:name="_Toc152042520"/>
      <w:bookmarkStart w:id="1599" w:name="_Toc19563"/>
      <w:bookmarkStart w:id="1600" w:name="_Toc222029521"/>
      <w:bookmarkStart w:id="1601" w:name="_Toc222031023"/>
      <w:bookmarkStart w:id="1602" w:name="_Toc222032690"/>
      <w:bookmarkStart w:id="1603" w:name="_Toc222033872"/>
      <w:bookmarkStart w:id="1604" w:name="_Toc229305381"/>
      <w:bookmarkStart w:id="1605" w:name="_Toc221951060"/>
      <w:r>
        <w:rPr>
          <w:rFonts w:hint="eastAsia" w:eastAsia="黑体"/>
          <w:color w:val="auto"/>
          <w:sz w:val="24"/>
          <w:szCs w:val="20"/>
        </w:rPr>
        <w:t>19.7 保修责任</w:t>
      </w:r>
      <w:bookmarkEnd w:id="1594"/>
      <w:bookmarkEnd w:id="1595"/>
      <w:bookmarkEnd w:id="1596"/>
      <w:bookmarkEnd w:id="1597"/>
      <w:bookmarkEnd w:id="1598"/>
      <w:bookmarkEnd w:id="1599"/>
    </w:p>
    <w:p>
      <w:pPr>
        <w:spacing w:line="400" w:lineRule="exact"/>
        <w:ind w:firstLine="420" w:firstLineChars="200"/>
        <w:rPr>
          <w:rFonts w:hint="eastAsia"/>
          <w:color w:val="auto"/>
        </w:rPr>
      </w:pPr>
      <w:r>
        <w:rPr>
          <w:rFonts w:hint="eastAsia"/>
          <w:color w:val="auto"/>
        </w:rPr>
        <w:t>合同当事人根据有关法律规定，在专用合同条款中约定工程质量保修范围、期限和责任。保修期自实际竣工日期起计算。在全部工程竣工验收前，已经发包人提前验收的单位工程，其保修期的起算日期相应提前。</w:t>
      </w:r>
    </w:p>
    <w:p>
      <w:pPr>
        <w:pStyle w:val="80"/>
        <w:spacing w:before="120" w:after="120" w:afterLines="50"/>
        <w:outlineLvl w:val="2"/>
        <w:rPr>
          <w:color w:val="auto"/>
        </w:rPr>
      </w:pPr>
      <w:bookmarkStart w:id="1606" w:name="_Toc15240"/>
      <w:bookmarkStart w:id="1607" w:name="_Toc517172530"/>
      <w:bookmarkStart w:id="1608" w:name="_Toc491089749"/>
      <w:bookmarkStart w:id="1609" w:name="_Toc387753603"/>
      <w:r>
        <w:rPr>
          <w:color w:val="auto"/>
        </w:rPr>
        <w:t xml:space="preserve">20. </w:t>
      </w:r>
      <w:r>
        <w:rPr>
          <w:rFonts w:hint="eastAsia"/>
          <w:color w:val="auto"/>
        </w:rPr>
        <w:t>保险</w:t>
      </w:r>
      <w:bookmarkEnd w:id="1600"/>
      <w:bookmarkEnd w:id="1601"/>
      <w:bookmarkEnd w:id="1602"/>
      <w:bookmarkEnd w:id="1603"/>
      <w:bookmarkEnd w:id="1604"/>
      <w:bookmarkEnd w:id="1605"/>
      <w:bookmarkEnd w:id="1606"/>
      <w:bookmarkEnd w:id="1607"/>
      <w:bookmarkEnd w:id="1608"/>
      <w:bookmarkEnd w:id="1609"/>
    </w:p>
    <w:p>
      <w:pPr>
        <w:keepNext/>
        <w:keepLines/>
        <w:spacing w:line="400" w:lineRule="exact"/>
        <w:outlineLvl w:val="3"/>
        <w:rPr>
          <w:rFonts w:hint="eastAsia" w:eastAsia="黑体"/>
          <w:color w:val="auto"/>
          <w:sz w:val="24"/>
          <w:szCs w:val="20"/>
        </w:rPr>
      </w:pPr>
      <w:bookmarkStart w:id="1610" w:name="_Toc28743"/>
      <w:bookmarkStart w:id="1611" w:name="_Toc517172531"/>
      <w:bookmarkStart w:id="1612" w:name="_Toc179632761"/>
      <w:bookmarkStart w:id="1613" w:name="_Toc152042522"/>
      <w:bookmarkStart w:id="1614" w:name="_Toc144974714"/>
      <w:bookmarkStart w:id="1615" w:name="_Toc152045743"/>
      <w:r>
        <w:rPr>
          <w:rFonts w:hint="eastAsia" w:eastAsia="黑体"/>
          <w:color w:val="auto"/>
          <w:sz w:val="24"/>
          <w:szCs w:val="20"/>
        </w:rPr>
        <w:t>20.1 工程保险</w:t>
      </w:r>
      <w:bookmarkEnd w:id="1610"/>
      <w:bookmarkEnd w:id="1611"/>
      <w:bookmarkEnd w:id="1612"/>
      <w:bookmarkEnd w:id="1613"/>
      <w:bookmarkEnd w:id="1614"/>
      <w:bookmarkEnd w:id="1615"/>
    </w:p>
    <w:p>
      <w:pPr>
        <w:spacing w:line="380" w:lineRule="exact"/>
        <w:ind w:firstLine="420" w:firstLineChars="200"/>
        <w:rPr>
          <w:rFonts w:hint="eastAsia"/>
          <w:color w:val="auto"/>
        </w:rPr>
      </w:pPr>
      <w:r>
        <w:rPr>
          <w:rFonts w:hint="eastAsia"/>
          <w:color w:val="auto"/>
        </w:rPr>
        <w:t>除专用合同条款另有约定外，承包人应以发包人和承包人的共同名义向双方同意的保险人投保建筑工程一切险、安装工程一切险。其具体的投保内容、保险金额、保险费率、保险期限等有关内容在专用合同条款中约定。</w:t>
      </w:r>
    </w:p>
    <w:p>
      <w:pPr>
        <w:keepNext/>
        <w:keepLines/>
        <w:spacing w:line="400" w:lineRule="exact"/>
        <w:outlineLvl w:val="3"/>
        <w:rPr>
          <w:rFonts w:hint="eastAsia" w:eastAsia="黑体"/>
          <w:color w:val="auto"/>
          <w:sz w:val="24"/>
          <w:szCs w:val="20"/>
        </w:rPr>
      </w:pPr>
      <w:bookmarkStart w:id="1616" w:name="_Toc23865"/>
      <w:bookmarkStart w:id="1617" w:name="_Toc517172532"/>
      <w:bookmarkStart w:id="1618" w:name="_Toc179632762"/>
      <w:bookmarkStart w:id="1619" w:name="_Toc152042523"/>
      <w:bookmarkStart w:id="1620" w:name="_Toc144974715"/>
      <w:bookmarkStart w:id="1621" w:name="_Toc152045744"/>
      <w:r>
        <w:rPr>
          <w:rFonts w:hint="eastAsia" w:eastAsia="黑体"/>
          <w:color w:val="auto"/>
          <w:sz w:val="24"/>
          <w:szCs w:val="20"/>
        </w:rPr>
        <w:t>20.2 人员工伤事故的保险</w:t>
      </w:r>
      <w:bookmarkEnd w:id="1616"/>
      <w:bookmarkEnd w:id="1617"/>
      <w:bookmarkEnd w:id="1618"/>
      <w:bookmarkEnd w:id="1619"/>
      <w:bookmarkEnd w:id="1620"/>
      <w:bookmarkEnd w:id="1621"/>
    </w:p>
    <w:p>
      <w:pPr>
        <w:spacing w:line="380" w:lineRule="exact"/>
        <w:ind w:firstLine="420" w:firstLineChars="200"/>
        <w:rPr>
          <w:rFonts w:hint="eastAsia" w:ascii="黑体" w:eastAsia="黑体"/>
          <w:color w:val="auto"/>
        </w:rPr>
      </w:pPr>
      <w:r>
        <w:rPr>
          <w:rFonts w:hint="eastAsia"/>
          <w:color w:val="auto"/>
        </w:rPr>
        <w:t xml:space="preserve">20.2.1 </w:t>
      </w:r>
      <w:r>
        <w:rPr>
          <w:rFonts w:hint="eastAsia" w:ascii="黑体" w:eastAsia="黑体"/>
          <w:color w:val="auto"/>
        </w:rPr>
        <w:t>承包人员工伤事故的保险</w:t>
      </w:r>
    </w:p>
    <w:p>
      <w:pPr>
        <w:spacing w:line="380" w:lineRule="exact"/>
        <w:ind w:firstLine="420" w:firstLineChars="200"/>
        <w:rPr>
          <w:rFonts w:hint="eastAsia"/>
          <w:color w:val="auto"/>
        </w:rPr>
      </w:pPr>
      <w:r>
        <w:rPr>
          <w:rFonts w:hint="eastAsia"/>
          <w:color w:val="auto"/>
        </w:rPr>
        <w:t>承包人应</w:t>
      </w:r>
      <w:r>
        <w:rPr>
          <w:color w:val="auto"/>
        </w:rPr>
        <w:t>依照</w:t>
      </w:r>
      <w:r>
        <w:rPr>
          <w:rFonts w:hint="eastAsia"/>
          <w:color w:val="auto"/>
        </w:rPr>
        <w:t>有关法律</w:t>
      </w:r>
      <w:r>
        <w:rPr>
          <w:color w:val="auto"/>
        </w:rPr>
        <w:t>规定参加工伤保险，</w:t>
      </w:r>
      <w:r>
        <w:rPr>
          <w:rFonts w:hint="eastAsia"/>
          <w:color w:val="auto"/>
        </w:rPr>
        <w:t>为其履行合同所雇佣的全部人员，</w:t>
      </w:r>
      <w:r>
        <w:rPr>
          <w:color w:val="auto"/>
        </w:rPr>
        <w:t>缴纳工伤保险费</w:t>
      </w:r>
      <w:r>
        <w:rPr>
          <w:rFonts w:hint="eastAsia"/>
          <w:color w:val="auto"/>
        </w:rPr>
        <w:t>，并要求其分包人也进行此项保险。</w:t>
      </w:r>
    </w:p>
    <w:p>
      <w:pPr>
        <w:spacing w:line="380" w:lineRule="exact"/>
        <w:ind w:firstLine="420" w:firstLineChars="200"/>
        <w:rPr>
          <w:rFonts w:hint="eastAsia" w:ascii="黑体" w:eastAsia="黑体"/>
          <w:color w:val="auto"/>
        </w:rPr>
      </w:pPr>
      <w:r>
        <w:rPr>
          <w:rFonts w:hint="eastAsia"/>
          <w:color w:val="auto"/>
        </w:rPr>
        <w:t>20.2.2</w:t>
      </w:r>
      <w:r>
        <w:rPr>
          <w:rFonts w:hint="eastAsia" w:ascii="黑体" w:eastAsia="黑体"/>
          <w:color w:val="auto"/>
        </w:rPr>
        <w:t xml:space="preserve"> 发包人员工伤事故的保险</w:t>
      </w:r>
    </w:p>
    <w:p>
      <w:pPr>
        <w:spacing w:line="380" w:lineRule="exact"/>
        <w:ind w:firstLine="420" w:firstLineChars="200"/>
        <w:rPr>
          <w:rFonts w:hint="eastAsia"/>
          <w:color w:val="auto"/>
        </w:rPr>
      </w:pPr>
      <w:r>
        <w:rPr>
          <w:rFonts w:hint="eastAsia"/>
          <w:color w:val="auto"/>
        </w:rPr>
        <w:t>发包人应</w:t>
      </w:r>
      <w:r>
        <w:rPr>
          <w:color w:val="auto"/>
        </w:rPr>
        <w:t>依照</w:t>
      </w:r>
      <w:r>
        <w:rPr>
          <w:rFonts w:hint="eastAsia"/>
          <w:color w:val="auto"/>
        </w:rPr>
        <w:t>有关法律</w:t>
      </w:r>
      <w:r>
        <w:rPr>
          <w:color w:val="auto"/>
        </w:rPr>
        <w:t>规定参加工伤保险，</w:t>
      </w:r>
      <w:r>
        <w:rPr>
          <w:rFonts w:hint="eastAsia"/>
          <w:color w:val="auto"/>
        </w:rPr>
        <w:t>为其现场机构雇佣的全部人员，</w:t>
      </w:r>
      <w:r>
        <w:rPr>
          <w:color w:val="auto"/>
        </w:rPr>
        <w:t>缴纳工伤保险费</w:t>
      </w:r>
      <w:r>
        <w:rPr>
          <w:rFonts w:hint="eastAsia"/>
          <w:color w:val="auto"/>
        </w:rPr>
        <w:t>，并要求其监理人也进行此项保险。</w:t>
      </w:r>
    </w:p>
    <w:p>
      <w:pPr>
        <w:keepNext/>
        <w:keepLines/>
        <w:spacing w:line="400" w:lineRule="exact"/>
        <w:outlineLvl w:val="3"/>
        <w:rPr>
          <w:rFonts w:hint="eastAsia" w:eastAsia="黑体"/>
          <w:color w:val="auto"/>
          <w:sz w:val="24"/>
          <w:szCs w:val="20"/>
        </w:rPr>
      </w:pPr>
      <w:bookmarkStart w:id="1622" w:name="_Toc131"/>
      <w:bookmarkStart w:id="1623" w:name="_Toc517172533"/>
      <w:bookmarkStart w:id="1624" w:name="_Toc179632763"/>
      <w:bookmarkStart w:id="1625" w:name="_Toc152045745"/>
      <w:bookmarkStart w:id="1626" w:name="_Toc152042524"/>
      <w:bookmarkStart w:id="1627" w:name="_Toc144974716"/>
      <w:r>
        <w:rPr>
          <w:rFonts w:hint="eastAsia" w:eastAsia="黑体"/>
          <w:color w:val="auto"/>
          <w:sz w:val="24"/>
          <w:szCs w:val="20"/>
        </w:rPr>
        <w:t>20.3 人身意外伤害险</w:t>
      </w:r>
      <w:bookmarkEnd w:id="1622"/>
      <w:bookmarkEnd w:id="1623"/>
      <w:bookmarkEnd w:id="1624"/>
      <w:bookmarkEnd w:id="1625"/>
      <w:bookmarkEnd w:id="1626"/>
      <w:bookmarkEnd w:id="1627"/>
    </w:p>
    <w:p>
      <w:pPr>
        <w:spacing w:line="380" w:lineRule="exact"/>
        <w:ind w:firstLine="420" w:firstLineChars="200"/>
        <w:rPr>
          <w:rFonts w:hint="eastAsia"/>
          <w:color w:val="auto"/>
        </w:rPr>
      </w:pPr>
      <w:r>
        <w:rPr>
          <w:rFonts w:hint="eastAsia"/>
          <w:color w:val="auto"/>
        </w:rPr>
        <w:t>20.3.1 发包人应在整个施工期间为其现场机构雇用的全部人员，投保人身意外伤害险，缴纳保险费，并要求其监理人也进行此项保险。</w:t>
      </w:r>
    </w:p>
    <w:p>
      <w:pPr>
        <w:spacing w:line="380" w:lineRule="exact"/>
        <w:ind w:firstLine="420" w:firstLineChars="200"/>
        <w:rPr>
          <w:rFonts w:hint="eastAsia"/>
          <w:color w:val="auto"/>
        </w:rPr>
      </w:pPr>
      <w:r>
        <w:rPr>
          <w:rFonts w:hint="eastAsia"/>
          <w:color w:val="auto"/>
        </w:rPr>
        <w:t>20.3.2 承包人应在整个施工期间为其现场机构雇用的全部人员，投保人身意外伤害险，缴纳保险费，并要求其分包人也进行此项保险。</w:t>
      </w:r>
    </w:p>
    <w:p>
      <w:pPr>
        <w:keepNext/>
        <w:keepLines/>
        <w:spacing w:line="400" w:lineRule="exact"/>
        <w:outlineLvl w:val="3"/>
        <w:rPr>
          <w:rFonts w:hint="eastAsia" w:eastAsia="黑体"/>
          <w:color w:val="auto"/>
          <w:sz w:val="24"/>
          <w:szCs w:val="20"/>
        </w:rPr>
      </w:pPr>
      <w:bookmarkStart w:id="1628" w:name="_Toc144974717"/>
      <w:bookmarkStart w:id="1629" w:name="_Toc152042525"/>
      <w:bookmarkStart w:id="1630" w:name="_Toc152045746"/>
      <w:bookmarkStart w:id="1631" w:name="_Toc29998"/>
      <w:bookmarkStart w:id="1632" w:name="_Toc179632764"/>
      <w:bookmarkStart w:id="1633" w:name="_Toc517172534"/>
      <w:r>
        <w:rPr>
          <w:rFonts w:hint="eastAsia" w:eastAsia="黑体"/>
          <w:color w:val="auto"/>
          <w:sz w:val="24"/>
          <w:szCs w:val="20"/>
        </w:rPr>
        <w:t>20.4 第三者责任险</w:t>
      </w:r>
      <w:bookmarkEnd w:id="1628"/>
      <w:bookmarkEnd w:id="1629"/>
      <w:bookmarkEnd w:id="1630"/>
      <w:bookmarkEnd w:id="1631"/>
      <w:bookmarkEnd w:id="1632"/>
      <w:bookmarkEnd w:id="1633"/>
    </w:p>
    <w:p>
      <w:pPr>
        <w:spacing w:line="380" w:lineRule="exact"/>
        <w:ind w:firstLine="420" w:firstLineChars="200"/>
        <w:rPr>
          <w:rFonts w:hint="eastAsia"/>
          <w:color w:val="auto"/>
        </w:rPr>
      </w:pPr>
      <w:r>
        <w:rPr>
          <w:rFonts w:hint="eastAsia"/>
          <w:color w:val="auto"/>
        </w:rPr>
        <w:t>20.4.1 第三者责任系指在保险期内，对因工程意外事故造成的、依法应由被保险人负责的工地上及毗邻地区的第三者人身伤亡、疾病或财产损失（本工程除外），以及被保险人因此而支付的诉讼费用和事先经保险人书面同意支付的其他费用等赔偿责任。</w:t>
      </w:r>
    </w:p>
    <w:p>
      <w:pPr>
        <w:spacing w:line="380" w:lineRule="exact"/>
        <w:ind w:firstLine="420" w:firstLineChars="200"/>
        <w:rPr>
          <w:rFonts w:hint="eastAsia"/>
          <w:color w:val="auto"/>
        </w:rPr>
      </w:pPr>
      <w:r>
        <w:rPr>
          <w:rFonts w:hint="eastAsia"/>
          <w:color w:val="auto"/>
        </w:rPr>
        <w:t>20.4.2 在缺陷责任期终止证书颁发前，承包人应以承包人和发包人的共同名义，投保第20.4.1项约定的第三者责任险，其保险费率、保险金额等有关内容在专用合同条款中约定。</w:t>
      </w:r>
    </w:p>
    <w:p>
      <w:pPr>
        <w:keepNext/>
        <w:keepLines/>
        <w:spacing w:line="400" w:lineRule="exact"/>
        <w:outlineLvl w:val="3"/>
        <w:rPr>
          <w:rFonts w:hint="eastAsia" w:eastAsia="黑体"/>
          <w:color w:val="auto"/>
          <w:sz w:val="24"/>
          <w:szCs w:val="20"/>
        </w:rPr>
      </w:pPr>
      <w:bookmarkStart w:id="1634" w:name="_Toc25797"/>
      <w:bookmarkStart w:id="1635" w:name="_Toc517172535"/>
      <w:bookmarkStart w:id="1636" w:name="_Toc179632765"/>
      <w:bookmarkStart w:id="1637" w:name="_Toc152045747"/>
      <w:bookmarkStart w:id="1638" w:name="_Toc152042526"/>
      <w:bookmarkStart w:id="1639" w:name="_Toc144974718"/>
      <w:r>
        <w:rPr>
          <w:rFonts w:hint="eastAsia" w:eastAsia="黑体"/>
          <w:color w:val="auto"/>
          <w:sz w:val="24"/>
          <w:szCs w:val="20"/>
        </w:rPr>
        <w:t>20.5 其他保险</w:t>
      </w:r>
      <w:bookmarkEnd w:id="1634"/>
      <w:bookmarkEnd w:id="1635"/>
      <w:bookmarkEnd w:id="1636"/>
      <w:bookmarkEnd w:id="1637"/>
      <w:bookmarkEnd w:id="1638"/>
      <w:bookmarkEnd w:id="1639"/>
    </w:p>
    <w:p>
      <w:pPr>
        <w:spacing w:line="380" w:lineRule="exact"/>
        <w:ind w:firstLine="420" w:firstLineChars="200"/>
        <w:rPr>
          <w:rFonts w:hint="eastAsia"/>
          <w:color w:val="auto"/>
        </w:rPr>
      </w:pPr>
      <w:r>
        <w:rPr>
          <w:rFonts w:hint="eastAsia"/>
          <w:color w:val="auto"/>
        </w:rPr>
        <w:t>除专用合同条款另有约定外，承包人应为其施工设备、进场的材料和工程设备等办理保险。</w:t>
      </w:r>
    </w:p>
    <w:p>
      <w:pPr>
        <w:keepNext/>
        <w:keepLines/>
        <w:spacing w:line="400" w:lineRule="exact"/>
        <w:outlineLvl w:val="3"/>
        <w:rPr>
          <w:rFonts w:hint="eastAsia" w:eastAsia="黑体"/>
          <w:color w:val="auto"/>
          <w:sz w:val="24"/>
          <w:szCs w:val="20"/>
        </w:rPr>
      </w:pPr>
      <w:bookmarkStart w:id="1640" w:name="_Toc12716"/>
      <w:bookmarkStart w:id="1641" w:name="_Toc152042527"/>
      <w:bookmarkStart w:id="1642" w:name="_Toc517172536"/>
      <w:bookmarkStart w:id="1643" w:name="_Toc152045748"/>
      <w:bookmarkStart w:id="1644" w:name="_Toc179632766"/>
      <w:bookmarkStart w:id="1645" w:name="_Toc144974719"/>
      <w:r>
        <w:rPr>
          <w:rFonts w:hint="eastAsia" w:eastAsia="黑体"/>
          <w:color w:val="auto"/>
          <w:sz w:val="24"/>
          <w:szCs w:val="20"/>
        </w:rPr>
        <w:t>20.6 对各项保险的一般要求</w:t>
      </w:r>
      <w:bookmarkEnd w:id="1640"/>
      <w:bookmarkEnd w:id="1641"/>
      <w:bookmarkEnd w:id="1642"/>
      <w:bookmarkEnd w:id="1643"/>
      <w:bookmarkEnd w:id="1644"/>
      <w:bookmarkEnd w:id="1645"/>
    </w:p>
    <w:p>
      <w:pPr>
        <w:spacing w:line="380" w:lineRule="exact"/>
        <w:ind w:firstLine="420" w:firstLineChars="200"/>
        <w:rPr>
          <w:rFonts w:hint="eastAsia"/>
          <w:color w:val="auto"/>
        </w:rPr>
      </w:pPr>
      <w:r>
        <w:rPr>
          <w:rFonts w:hint="eastAsia"/>
          <w:color w:val="auto"/>
        </w:rPr>
        <w:t xml:space="preserve">20.6.1 </w:t>
      </w:r>
      <w:r>
        <w:rPr>
          <w:rFonts w:hint="eastAsia" w:ascii="黑体" w:eastAsia="黑体"/>
          <w:color w:val="auto"/>
        </w:rPr>
        <w:t>保险凭证</w:t>
      </w:r>
    </w:p>
    <w:p>
      <w:pPr>
        <w:spacing w:line="380" w:lineRule="exact"/>
        <w:ind w:firstLine="420" w:firstLineChars="200"/>
        <w:rPr>
          <w:rFonts w:hint="eastAsia"/>
          <w:color w:val="auto"/>
        </w:rPr>
      </w:pPr>
      <w:r>
        <w:rPr>
          <w:rFonts w:hint="eastAsia"/>
          <w:color w:val="auto"/>
        </w:rPr>
        <w:t>承包人应在专用合同条款约定的期限内向发包人提交各项保险生效的证据和保险单备份，保险单必须与专用合同条款约定的条件保持一致。</w:t>
      </w:r>
    </w:p>
    <w:p>
      <w:pPr>
        <w:spacing w:line="380" w:lineRule="exact"/>
        <w:ind w:firstLine="420" w:firstLineChars="200"/>
        <w:rPr>
          <w:rFonts w:hint="eastAsia"/>
          <w:color w:val="auto"/>
        </w:rPr>
      </w:pPr>
      <w:r>
        <w:rPr>
          <w:rFonts w:hint="eastAsia"/>
          <w:color w:val="auto"/>
        </w:rPr>
        <w:t xml:space="preserve">20.6.2 </w:t>
      </w:r>
      <w:r>
        <w:rPr>
          <w:rFonts w:hint="eastAsia" w:ascii="黑体" w:eastAsia="黑体"/>
          <w:color w:val="auto"/>
        </w:rPr>
        <w:t>保险合同条款的变动</w:t>
      </w:r>
    </w:p>
    <w:p>
      <w:pPr>
        <w:spacing w:line="380" w:lineRule="exact"/>
        <w:ind w:firstLine="420" w:firstLineChars="200"/>
        <w:rPr>
          <w:rFonts w:hint="eastAsia"/>
          <w:color w:val="auto"/>
        </w:rPr>
      </w:pPr>
      <w:r>
        <w:rPr>
          <w:rFonts w:hint="eastAsia"/>
          <w:color w:val="auto"/>
        </w:rPr>
        <w:t>承包人需要变动保险合同条款时，应事先征得发包人同意，并通知监理人。保险人作出变动的，承包人应在收到保险人通知后立即通知发包人和监理人。</w:t>
      </w:r>
    </w:p>
    <w:p>
      <w:pPr>
        <w:spacing w:line="380" w:lineRule="exact"/>
        <w:ind w:firstLine="420" w:firstLineChars="200"/>
        <w:rPr>
          <w:rFonts w:hint="eastAsia"/>
          <w:color w:val="auto"/>
        </w:rPr>
      </w:pPr>
      <w:r>
        <w:rPr>
          <w:rFonts w:hint="eastAsia"/>
          <w:color w:val="auto"/>
        </w:rPr>
        <w:t xml:space="preserve">20.6.3 </w:t>
      </w:r>
      <w:r>
        <w:rPr>
          <w:rFonts w:hint="eastAsia" w:ascii="黑体" w:eastAsia="黑体"/>
          <w:color w:val="auto"/>
        </w:rPr>
        <w:t>持续保险</w:t>
      </w:r>
    </w:p>
    <w:p>
      <w:pPr>
        <w:spacing w:line="380" w:lineRule="exact"/>
        <w:ind w:firstLine="420" w:firstLineChars="200"/>
        <w:rPr>
          <w:rFonts w:hint="eastAsia"/>
          <w:color w:val="auto"/>
        </w:rPr>
      </w:pPr>
      <w:r>
        <w:rPr>
          <w:rFonts w:hint="eastAsia"/>
          <w:color w:val="auto"/>
        </w:rPr>
        <w:t>承包人应与保险人保持联系，使保险人能够随时了解工程实施中的变动，并确保按保险合同条款要求持续保险。</w:t>
      </w:r>
    </w:p>
    <w:p>
      <w:pPr>
        <w:spacing w:line="380" w:lineRule="exact"/>
        <w:ind w:firstLine="420" w:firstLineChars="200"/>
        <w:rPr>
          <w:rFonts w:hint="eastAsia" w:ascii="黑体" w:eastAsia="黑体"/>
          <w:color w:val="auto"/>
        </w:rPr>
      </w:pPr>
      <w:r>
        <w:rPr>
          <w:rFonts w:hint="eastAsia"/>
          <w:color w:val="auto"/>
        </w:rPr>
        <w:t xml:space="preserve">20.6.4 </w:t>
      </w:r>
      <w:r>
        <w:rPr>
          <w:rFonts w:hint="eastAsia" w:ascii="黑体" w:eastAsia="黑体"/>
          <w:color w:val="auto"/>
        </w:rPr>
        <w:t>保险金不足的补偿</w:t>
      </w:r>
    </w:p>
    <w:p>
      <w:pPr>
        <w:spacing w:line="380" w:lineRule="exact"/>
        <w:ind w:firstLine="420" w:firstLineChars="200"/>
        <w:rPr>
          <w:rFonts w:hint="eastAsia"/>
          <w:color w:val="auto"/>
        </w:rPr>
      </w:pPr>
      <w:r>
        <w:rPr>
          <w:rFonts w:hint="eastAsia"/>
          <w:color w:val="auto"/>
        </w:rPr>
        <w:t>保险金不足以补偿损失时，应由承包人和发包人各自负责补偿的范围和金额在专用合同条款中约定。</w:t>
      </w:r>
    </w:p>
    <w:p>
      <w:pPr>
        <w:spacing w:line="380" w:lineRule="exact"/>
        <w:ind w:firstLine="420" w:firstLineChars="200"/>
        <w:rPr>
          <w:rFonts w:hint="eastAsia" w:ascii="黑体" w:eastAsia="黑体"/>
          <w:color w:val="auto"/>
        </w:rPr>
      </w:pPr>
      <w:r>
        <w:rPr>
          <w:rFonts w:hint="eastAsia"/>
          <w:color w:val="auto"/>
        </w:rPr>
        <w:t xml:space="preserve">20.6.5 </w:t>
      </w:r>
      <w:r>
        <w:rPr>
          <w:rFonts w:hint="eastAsia" w:ascii="黑体" w:eastAsia="黑体"/>
          <w:color w:val="auto"/>
        </w:rPr>
        <w:t>未按约定投保的补救</w:t>
      </w:r>
    </w:p>
    <w:p>
      <w:pPr>
        <w:spacing w:line="380" w:lineRule="exact"/>
        <w:ind w:firstLine="420" w:firstLineChars="200"/>
        <w:rPr>
          <w:rFonts w:hint="eastAsia" w:ascii="黑体" w:eastAsia="黑体"/>
          <w:color w:val="auto"/>
        </w:rPr>
      </w:pPr>
      <w:r>
        <w:rPr>
          <w:rFonts w:hint="eastAsia"/>
          <w:color w:val="auto"/>
        </w:rPr>
        <w:t>（1）由于负有投保义务的一方当事人未按合同约定办理保险，或未能使保险持续有效的，另一方当事人可代为办理，所需费用由对方当事人承担。</w:t>
      </w:r>
    </w:p>
    <w:p>
      <w:pPr>
        <w:spacing w:line="380" w:lineRule="exact"/>
        <w:ind w:firstLine="420" w:firstLineChars="200"/>
        <w:rPr>
          <w:rFonts w:hint="eastAsia"/>
          <w:color w:val="auto"/>
        </w:rPr>
      </w:pPr>
      <w:r>
        <w:rPr>
          <w:rFonts w:hint="eastAsia"/>
          <w:color w:val="auto"/>
        </w:rPr>
        <w:t>（2）由于负有投保义务的一方当事人未按合同约定办理某项保险，导致受益人未能得到保险人的赔偿，原应从该项保险得到的保险金应由负有投保义务的一方当事人支付。</w:t>
      </w:r>
    </w:p>
    <w:p>
      <w:pPr>
        <w:spacing w:line="380" w:lineRule="exact"/>
        <w:ind w:firstLine="420" w:firstLineChars="200"/>
        <w:rPr>
          <w:rFonts w:hint="eastAsia" w:ascii="黑体" w:eastAsia="黑体"/>
          <w:color w:val="auto"/>
        </w:rPr>
      </w:pPr>
      <w:r>
        <w:rPr>
          <w:rFonts w:hint="eastAsia"/>
          <w:color w:val="auto"/>
        </w:rPr>
        <w:t xml:space="preserve">20.6.6 </w:t>
      </w:r>
      <w:r>
        <w:rPr>
          <w:rFonts w:hint="eastAsia" w:ascii="黑体" w:eastAsia="黑体"/>
          <w:color w:val="auto"/>
        </w:rPr>
        <w:t>报告义务</w:t>
      </w:r>
    </w:p>
    <w:p>
      <w:pPr>
        <w:spacing w:line="400" w:lineRule="exact"/>
        <w:ind w:firstLine="420" w:firstLineChars="200"/>
        <w:rPr>
          <w:rFonts w:hint="eastAsia"/>
          <w:color w:val="auto"/>
        </w:rPr>
      </w:pPr>
      <w:r>
        <w:rPr>
          <w:rFonts w:hint="eastAsia"/>
          <w:color w:val="auto"/>
        </w:rPr>
        <w:t>当保险事故发生时，投保人应按照保险单规定的条件和期限及时向保险人报告。</w:t>
      </w:r>
    </w:p>
    <w:p>
      <w:pPr>
        <w:keepNext/>
        <w:keepLines/>
        <w:spacing w:line="400" w:lineRule="exact"/>
        <w:outlineLvl w:val="3"/>
        <w:rPr>
          <w:rFonts w:hint="eastAsia" w:eastAsia="黑体"/>
          <w:color w:val="auto"/>
          <w:sz w:val="24"/>
          <w:szCs w:val="20"/>
        </w:rPr>
      </w:pPr>
      <w:bookmarkStart w:id="1646" w:name="_Toc10912"/>
      <w:bookmarkStart w:id="1647" w:name="_Toc517172537"/>
      <w:bookmarkStart w:id="1648" w:name="_Toc221951074"/>
      <w:bookmarkStart w:id="1649" w:name="_Toc491089750"/>
      <w:r>
        <w:rPr>
          <w:rFonts w:hint="eastAsia" w:eastAsia="黑体"/>
          <w:color w:val="auto"/>
          <w:sz w:val="24"/>
          <w:szCs w:val="20"/>
        </w:rPr>
        <w:t>20.7 风险责任的转移</w:t>
      </w:r>
      <w:bookmarkEnd w:id="1646"/>
      <w:bookmarkEnd w:id="1647"/>
      <w:bookmarkEnd w:id="1648"/>
      <w:bookmarkEnd w:id="1649"/>
    </w:p>
    <w:p>
      <w:pPr>
        <w:spacing w:line="400" w:lineRule="exact"/>
        <w:ind w:firstLine="420" w:firstLineChars="200"/>
        <w:rPr>
          <w:rFonts w:hint="eastAsia"/>
          <w:color w:val="auto"/>
        </w:rPr>
      </w:pPr>
      <w:bookmarkStart w:id="1650" w:name="_Toc221951075"/>
      <w:r>
        <w:rPr>
          <w:rFonts w:hint="eastAsia"/>
          <w:color w:val="auto"/>
        </w:rPr>
        <w:t>工程通过合同工程完工验收并移交给发包人后，原由承包人应承担的风险责任，以及保险的责任、权利和义务同时转移给发包人，但承包人在缺陷责任期（工程质量保修期）前造成损失和损坏情形除外。</w:t>
      </w:r>
      <w:bookmarkEnd w:id="1650"/>
    </w:p>
    <w:p>
      <w:pPr>
        <w:pStyle w:val="80"/>
        <w:spacing w:before="120" w:after="120" w:afterLines="50"/>
        <w:outlineLvl w:val="2"/>
        <w:rPr>
          <w:color w:val="auto"/>
        </w:rPr>
      </w:pPr>
      <w:bookmarkStart w:id="1651" w:name="_Toc222033873"/>
      <w:bookmarkStart w:id="1652" w:name="_Toc221951076"/>
      <w:bookmarkStart w:id="1653" w:name="_Toc222029522"/>
      <w:bookmarkStart w:id="1654" w:name="_Toc222031024"/>
      <w:bookmarkStart w:id="1655" w:name="_Toc229305382"/>
      <w:bookmarkStart w:id="1656" w:name="_Toc387753604"/>
      <w:bookmarkStart w:id="1657" w:name="_Toc491089751"/>
      <w:bookmarkStart w:id="1658" w:name="_Toc517172538"/>
      <w:bookmarkStart w:id="1659" w:name="_Toc18616"/>
      <w:bookmarkStart w:id="1660" w:name="_Toc222032691"/>
      <w:r>
        <w:rPr>
          <w:color w:val="auto"/>
        </w:rPr>
        <w:t xml:space="preserve">21. </w:t>
      </w:r>
      <w:r>
        <w:rPr>
          <w:rFonts w:hint="eastAsia"/>
          <w:color w:val="auto"/>
        </w:rPr>
        <w:t>不可抗力</w:t>
      </w:r>
      <w:bookmarkEnd w:id="1651"/>
      <w:bookmarkEnd w:id="1652"/>
      <w:bookmarkEnd w:id="1653"/>
      <w:bookmarkEnd w:id="1654"/>
      <w:bookmarkEnd w:id="1655"/>
      <w:bookmarkEnd w:id="1656"/>
      <w:bookmarkEnd w:id="1657"/>
      <w:bookmarkEnd w:id="1658"/>
      <w:bookmarkEnd w:id="1659"/>
      <w:bookmarkEnd w:id="1660"/>
    </w:p>
    <w:p>
      <w:pPr>
        <w:keepNext/>
        <w:keepLines/>
        <w:spacing w:line="400" w:lineRule="exact"/>
        <w:outlineLvl w:val="3"/>
        <w:rPr>
          <w:rFonts w:hint="eastAsia" w:eastAsia="黑体"/>
          <w:color w:val="auto"/>
          <w:sz w:val="24"/>
          <w:szCs w:val="20"/>
        </w:rPr>
      </w:pPr>
      <w:bookmarkStart w:id="1661" w:name="_Toc7108"/>
      <w:bookmarkStart w:id="1662" w:name="_Toc517172539"/>
      <w:bookmarkStart w:id="1663" w:name="_Toc152045750"/>
      <w:bookmarkStart w:id="1664" w:name="_Toc152042529"/>
      <w:bookmarkStart w:id="1665" w:name="_Toc144974721"/>
      <w:bookmarkStart w:id="1666" w:name="_Toc179632768"/>
      <w:bookmarkStart w:id="1667" w:name="_Toc222033874"/>
      <w:bookmarkStart w:id="1668" w:name="_Toc221951083"/>
      <w:bookmarkStart w:id="1669" w:name="_Toc222029523"/>
      <w:bookmarkStart w:id="1670" w:name="_Toc222031025"/>
      <w:bookmarkStart w:id="1671" w:name="_Toc222032692"/>
      <w:bookmarkStart w:id="1672" w:name="_Toc229305383"/>
      <w:r>
        <w:rPr>
          <w:rFonts w:hint="eastAsia" w:eastAsia="黑体"/>
          <w:color w:val="auto"/>
          <w:sz w:val="24"/>
          <w:szCs w:val="20"/>
        </w:rPr>
        <w:t>21.1 不可抗力的确认</w:t>
      </w:r>
      <w:bookmarkEnd w:id="1661"/>
      <w:bookmarkEnd w:id="1662"/>
      <w:bookmarkEnd w:id="1663"/>
      <w:bookmarkEnd w:id="1664"/>
      <w:bookmarkEnd w:id="1665"/>
      <w:bookmarkEnd w:id="1666"/>
    </w:p>
    <w:p>
      <w:pPr>
        <w:spacing w:line="400" w:lineRule="exact"/>
        <w:ind w:firstLine="420" w:firstLineChars="200"/>
        <w:rPr>
          <w:rFonts w:hint="eastAsia"/>
          <w:color w:val="auto"/>
        </w:rPr>
      </w:pPr>
      <w:r>
        <w:rPr>
          <w:rFonts w:hint="eastAsia"/>
          <w:color w:val="auto"/>
        </w:rPr>
        <w:t>21.1.1 不可抗力是指承包人和发包人在订立合同时不可预见，在工程施工过程中不可避免发生并不能克服的自然灾害和社会性突发事件，如地震、海啸、瘟疫、水灾、骚乱、暴动、战争和专用合同条款约定的其他情形。</w:t>
      </w:r>
    </w:p>
    <w:p>
      <w:pPr>
        <w:spacing w:line="400" w:lineRule="exact"/>
        <w:ind w:firstLine="420" w:firstLineChars="200"/>
        <w:rPr>
          <w:rFonts w:hint="eastAsia"/>
          <w:color w:val="auto"/>
        </w:rPr>
      </w:pPr>
      <w:r>
        <w:rPr>
          <w:rFonts w:hint="eastAsia"/>
          <w:color w:val="auto"/>
        </w:rPr>
        <w:t>21.1.2 不可抗力发生后，发包人和承包人应及时认真统计所造成的损失，收集不可抗力造成损失的证据。合同双方对是否属于不可抗力或其损失的意见不一致的，由监理人按第3.5款商定或确定。发生争议时，按第24条的约定办理。</w:t>
      </w:r>
    </w:p>
    <w:p>
      <w:pPr>
        <w:keepNext/>
        <w:keepLines/>
        <w:spacing w:line="400" w:lineRule="exact"/>
        <w:outlineLvl w:val="3"/>
        <w:rPr>
          <w:rFonts w:hint="eastAsia" w:eastAsia="黑体"/>
          <w:color w:val="auto"/>
          <w:sz w:val="24"/>
          <w:szCs w:val="20"/>
        </w:rPr>
      </w:pPr>
      <w:bookmarkStart w:id="1673" w:name="_Toc179632769"/>
      <w:bookmarkStart w:id="1674" w:name="_Toc144974722"/>
      <w:bookmarkStart w:id="1675" w:name="_Toc517172540"/>
      <w:bookmarkStart w:id="1676" w:name="_Toc152042530"/>
      <w:bookmarkStart w:id="1677" w:name="_Toc152045751"/>
      <w:bookmarkStart w:id="1678" w:name="_Toc534"/>
      <w:r>
        <w:rPr>
          <w:rFonts w:hint="eastAsia" w:eastAsia="黑体"/>
          <w:color w:val="auto"/>
          <w:sz w:val="24"/>
          <w:szCs w:val="20"/>
        </w:rPr>
        <w:t>21.2 不可抗力的通知</w:t>
      </w:r>
      <w:bookmarkEnd w:id="1673"/>
      <w:bookmarkEnd w:id="1674"/>
      <w:bookmarkEnd w:id="1675"/>
      <w:bookmarkEnd w:id="1676"/>
      <w:bookmarkEnd w:id="1677"/>
      <w:bookmarkEnd w:id="1678"/>
    </w:p>
    <w:p>
      <w:pPr>
        <w:spacing w:line="400" w:lineRule="exact"/>
        <w:ind w:firstLine="420" w:firstLineChars="200"/>
        <w:rPr>
          <w:rFonts w:hint="eastAsia"/>
          <w:color w:val="auto"/>
        </w:rPr>
      </w:pPr>
      <w:r>
        <w:rPr>
          <w:rFonts w:hint="eastAsia"/>
          <w:color w:val="auto"/>
        </w:rPr>
        <w:t>21.2.1 合同一方当事人遇到不可抗力事件，使其履行合同义务受到阻碍时，应立即通知合同另一方当事人和监理人，书面说明不可抗力和受阻碍的详细情况，并提供必要的证明。</w:t>
      </w:r>
    </w:p>
    <w:p>
      <w:pPr>
        <w:spacing w:line="400" w:lineRule="exact"/>
        <w:ind w:firstLine="420" w:firstLineChars="200"/>
        <w:rPr>
          <w:rFonts w:hint="eastAsia"/>
          <w:color w:val="auto"/>
        </w:rPr>
      </w:pPr>
      <w:r>
        <w:rPr>
          <w:rFonts w:hint="eastAsia"/>
          <w:color w:val="auto"/>
        </w:rPr>
        <w:t>21.2.2 如不可抗力持续发生，合同一方当事人应及时向合同另一方当事人和监理人提交中间报告，说明不可抗力和履行合同受阻的情况，并于不可抗力事件结束后28天内提交最终报告及有关资料。</w:t>
      </w:r>
    </w:p>
    <w:p>
      <w:pPr>
        <w:keepNext/>
        <w:keepLines/>
        <w:spacing w:line="400" w:lineRule="exact"/>
        <w:outlineLvl w:val="3"/>
        <w:rPr>
          <w:rFonts w:hint="eastAsia" w:eastAsia="黑体"/>
          <w:color w:val="auto"/>
          <w:sz w:val="24"/>
          <w:szCs w:val="20"/>
        </w:rPr>
      </w:pPr>
      <w:bookmarkStart w:id="1679" w:name="_Toc517172541"/>
      <w:bookmarkStart w:id="1680" w:name="_Toc152042531"/>
      <w:bookmarkStart w:id="1681" w:name="_Toc14956"/>
      <w:bookmarkStart w:id="1682" w:name="_Toc144974723"/>
      <w:bookmarkStart w:id="1683" w:name="_Toc179632770"/>
      <w:bookmarkStart w:id="1684" w:name="_Toc152045752"/>
      <w:r>
        <w:rPr>
          <w:rFonts w:hint="eastAsia" w:eastAsia="黑体"/>
          <w:color w:val="auto"/>
          <w:sz w:val="24"/>
          <w:szCs w:val="20"/>
        </w:rPr>
        <w:t>21.3 不可抗力后果及其处理</w:t>
      </w:r>
      <w:bookmarkEnd w:id="1679"/>
      <w:bookmarkEnd w:id="1680"/>
      <w:bookmarkEnd w:id="1681"/>
      <w:bookmarkEnd w:id="1682"/>
      <w:bookmarkEnd w:id="1683"/>
      <w:bookmarkEnd w:id="1684"/>
    </w:p>
    <w:p>
      <w:pPr>
        <w:spacing w:line="380" w:lineRule="exact"/>
        <w:ind w:firstLine="420" w:firstLineChars="200"/>
        <w:rPr>
          <w:rFonts w:hint="eastAsia"/>
          <w:color w:val="auto"/>
        </w:rPr>
      </w:pPr>
      <w:r>
        <w:rPr>
          <w:rFonts w:hint="eastAsia"/>
          <w:color w:val="auto"/>
        </w:rPr>
        <w:t xml:space="preserve">21.3.1 </w:t>
      </w:r>
      <w:r>
        <w:rPr>
          <w:rFonts w:hint="eastAsia" w:ascii="黑体" w:eastAsia="黑体"/>
          <w:color w:val="auto"/>
        </w:rPr>
        <w:t>不可抗力造成损害的责任</w:t>
      </w:r>
    </w:p>
    <w:p>
      <w:pPr>
        <w:spacing w:line="400" w:lineRule="exact"/>
        <w:ind w:firstLine="420" w:firstLineChars="200"/>
        <w:rPr>
          <w:rFonts w:hint="eastAsia"/>
          <w:color w:val="auto"/>
        </w:rPr>
      </w:pPr>
      <w:r>
        <w:rPr>
          <w:rFonts w:hint="eastAsia"/>
          <w:color w:val="auto"/>
        </w:rPr>
        <w:t>除专用合同条款另有约定外，不可抗力导致的人员伤亡、财产损失、费用增加和（或）工期延误等后果，由合同双方按以下原则承担：</w:t>
      </w:r>
    </w:p>
    <w:p>
      <w:pPr>
        <w:spacing w:line="400" w:lineRule="exact"/>
        <w:ind w:firstLine="718" w:firstLineChars="342"/>
        <w:rPr>
          <w:rFonts w:hint="eastAsia"/>
          <w:color w:val="auto"/>
        </w:rPr>
      </w:pPr>
      <w:r>
        <w:rPr>
          <w:rFonts w:hint="eastAsia"/>
          <w:color w:val="auto"/>
        </w:rPr>
        <w:t>（1）永久工程，包括已运至施工场地的材料和工程设备的损害，以及因工程损害造成的第三者人员伤亡和财产损失由发包人承担；</w:t>
      </w:r>
    </w:p>
    <w:p>
      <w:pPr>
        <w:spacing w:line="400" w:lineRule="exact"/>
        <w:ind w:firstLine="718" w:firstLineChars="342"/>
        <w:rPr>
          <w:rFonts w:hint="eastAsia"/>
          <w:color w:val="auto"/>
        </w:rPr>
      </w:pPr>
      <w:r>
        <w:rPr>
          <w:rFonts w:hint="eastAsia"/>
          <w:color w:val="auto"/>
        </w:rPr>
        <w:t>（2）承包人设备的损坏由承包人承担；</w:t>
      </w:r>
    </w:p>
    <w:p>
      <w:pPr>
        <w:spacing w:line="400" w:lineRule="exact"/>
        <w:ind w:firstLine="718" w:firstLineChars="342"/>
        <w:rPr>
          <w:rFonts w:hint="eastAsia"/>
          <w:color w:val="auto"/>
        </w:rPr>
      </w:pPr>
      <w:r>
        <w:rPr>
          <w:rFonts w:hint="eastAsia"/>
          <w:color w:val="auto"/>
        </w:rPr>
        <w:t>（3）发包人和承包人各自承担其人员伤亡和其他财产损失及其相关费用；</w:t>
      </w:r>
    </w:p>
    <w:p>
      <w:pPr>
        <w:spacing w:line="400" w:lineRule="exact"/>
        <w:ind w:firstLine="718" w:firstLineChars="342"/>
        <w:rPr>
          <w:rFonts w:hint="eastAsia"/>
          <w:color w:val="auto"/>
        </w:rPr>
      </w:pPr>
      <w:r>
        <w:rPr>
          <w:rFonts w:hint="eastAsia"/>
          <w:color w:val="auto"/>
        </w:rPr>
        <w:t>（4）承包人的停工损失由承包人承担，但停工期间应监理人要求照管工程和清理、修复工程的金额由发包人承担；</w:t>
      </w:r>
    </w:p>
    <w:p>
      <w:pPr>
        <w:spacing w:line="400" w:lineRule="exact"/>
        <w:ind w:firstLine="718" w:firstLineChars="342"/>
        <w:rPr>
          <w:rFonts w:hint="eastAsia"/>
          <w:color w:val="auto"/>
        </w:rPr>
      </w:pPr>
      <w:r>
        <w:rPr>
          <w:rFonts w:hint="eastAsia"/>
          <w:color w:val="auto"/>
        </w:rPr>
        <w:t>（5）不能按期竣工的，应合理延长工期，承包人不需支付逾期竣工违约金。发包人要求赶工的，承包人应采取赶工措施，赶工费用由发包人承担。</w:t>
      </w:r>
    </w:p>
    <w:p>
      <w:pPr>
        <w:spacing w:line="400" w:lineRule="exact"/>
        <w:ind w:firstLine="420" w:firstLineChars="200"/>
        <w:rPr>
          <w:rFonts w:hint="eastAsia"/>
          <w:color w:val="auto"/>
        </w:rPr>
      </w:pPr>
      <w:r>
        <w:rPr>
          <w:rFonts w:hint="eastAsia"/>
          <w:color w:val="auto"/>
        </w:rPr>
        <w:t xml:space="preserve">21.3.2 </w:t>
      </w:r>
      <w:r>
        <w:rPr>
          <w:rFonts w:hint="eastAsia" w:ascii="黑体" w:eastAsia="黑体"/>
          <w:color w:val="auto"/>
        </w:rPr>
        <w:t>延迟履行期间发生的不可抗力</w:t>
      </w:r>
    </w:p>
    <w:p>
      <w:pPr>
        <w:spacing w:line="400" w:lineRule="exact"/>
        <w:ind w:firstLine="420" w:firstLineChars="200"/>
        <w:rPr>
          <w:rFonts w:hint="eastAsia"/>
          <w:color w:val="auto"/>
        </w:rPr>
      </w:pPr>
      <w:r>
        <w:rPr>
          <w:rFonts w:hint="eastAsia"/>
          <w:color w:val="auto"/>
        </w:rPr>
        <w:t>合同一方当事人延迟履行，在延迟履行期间发生不可抗力的，不免除其责任。</w:t>
      </w:r>
    </w:p>
    <w:p>
      <w:pPr>
        <w:spacing w:line="400" w:lineRule="exact"/>
        <w:ind w:firstLine="420" w:firstLineChars="200"/>
        <w:rPr>
          <w:rFonts w:hint="eastAsia"/>
          <w:color w:val="auto"/>
        </w:rPr>
      </w:pPr>
      <w:r>
        <w:rPr>
          <w:rFonts w:hint="eastAsia"/>
          <w:color w:val="auto"/>
        </w:rPr>
        <w:t xml:space="preserve">21.3.3 </w:t>
      </w:r>
      <w:r>
        <w:rPr>
          <w:rFonts w:hint="eastAsia" w:ascii="黑体" w:eastAsia="黑体"/>
          <w:color w:val="auto"/>
        </w:rPr>
        <w:t>避免和减少不可抗力损失</w:t>
      </w:r>
    </w:p>
    <w:p>
      <w:pPr>
        <w:spacing w:line="400" w:lineRule="exact"/>
        <w:ind w:firstLine="420" w:firstLineChars="200"/>
        <w:rPr>
          <w:rFonts w:hint="eastAsia"/>
          <w:color w:val="auto"/>
        </w:rPr>
      </w:pPr>
      <w:r>
        <w:rPr>
          <w:rFonts w:hint="eastAsia"/>
          <w:color w:val="auto"/>
        </w:rPr>
        <w:t>不可抗力发生后，发包人和承包人均应采取措施尽量避免和减少损失的扩大，任何一方没有采取有效措施导致损失扩大的，应对扩大的损失承担责任。</w:t>
      </w:r>
    </w:p>
    <w:p>
      <w:pPr>
        <w:spacing w:line="400" w:lineRule="exact"/>
        <w:ind w:firstLine="420" w:firstLineChars="200"/>
        <w:rPr>
          <w:rFonts w:hint="eastAsia"/>
          <w:color w:val="auto"/>
        </w:rPr>
      </w:pPr>
      <w:r>
        <w:rPr>
          <w:rFonts w:hint="eastAsia"/>
          <w:color w:val="auto"/>
        </w:rPr>
        <w:t xml:space="preserve">21.3.4 </w:t>
      </w:r>
      <w:r>
        <w:rPr>
          <w:rFonts w:hint="eastAsia" w:ascii="黑体" w:eastAsia="黑体"/>
          <w:color w:val="auto"/>
        </w:rPr>
        <w:t>因不可抗力解除合同</w:t>
      </w:r>
    </w:p>
    <w:p>
      <w:pPr>
        <w:spacing w:line="400" w:lineRule="exact"/>
        <w:ind w:firstLine="420" w:firstLineChars="200"/>
        <w:rPr>
          <w:rFonts w:hint="eastAsia"/>
          <w:color w:val="auto"/>
        </w:rPr>
      </w:pPr>
      <w:r>
        <w:rPr>
          <w:rFonts w:hint="eastAsia"/>
          <w:color w:val="auto"/>
        </w:rPr>
        <w:t>合同一方当事人因不可抗力不能履行合同的，应当及时通知对方解除合同。合同解除后，承包人应按照第22.2.5项约定撤离施工场地。已经订货的材料、设备由订货方负责退货或解除订货合同，不能退还的货款和因退货、解除订货合同发生的费用，由发包人承担，因未及时退货造成的损失由责任方承担。合同解除后的付款，参照第22.2.4项约定，由监理人按第3.5款商定或确定。</w:t>
      </w:r>
    </w:p>
    <w:p>
      <w:pPr>
        <w:pStyle w:val="80"/>
        <w:spacing w:before="120" w:after="120" w:afterLines="50"/>
        <w:outlineLvl w:val="2"/>
        <w:rPr>
          <w:color w:val="auto"/>
        </w:rPr>
      </w:pPr>
      <w:bookmarkStart w:id="1685" w:name="_Toc387753605"/>
      <w:bookmarkStart w:id="1686" w:name="_Toc491089752"/>
      <w:bookmarkStart w:id="1687" w:name="_Toc517172542"/>
      <w:bookmarkStart w:id="1688" w:name="_Toc29303"/>
      <w:r>
        <w:rPr>
          <w:color w:val="auto"/>
        </w:rPr>
        <w:t xml:space="preserve">22. </w:t>
      </w:r>
      <w:r>
        <w:rPr>
          <w:rFonts w:hint="eastAsia"/>
          <w:color w:val="auto"/>
        </w:rPr>
        <w:t>违约</w:t>
      </w:r>
      <w:bookmarkEnd w:id="1667"/>
      <w:bookmarkEnd w:id="1668"/>
      <w:bookmarkEnd w:id="1669"/>
      <w:bookmarkEnd w:id="1670"/>
      <w:bookmarkEnd w:id="1671"/>
      <w:bookmarkEnd w:id="1672"/>
      <w:bookmarkEnd w:id="1685"/>
      <w:bookmarkEnd w:id="1686"/>
      <w:bookmarkEnd w:id="1687"/>
      <w:bookmarkEnd w:id="1688"/>
    </w:p>
    <w:p>
      <w:pPr>
        <w:keepNext/>
        <w:keepLines/>
        <w:spacing w:line="400" w:lineRule="exact"/>
        <w:outlineLvl w:val="3"/>
        <w:rPr>
          <w:rFonts w:hint="eastAsia" w:eastAsia="黑体"/>
          <w:color w:val="auto"/>
          <w:sz w:val="24"/>
          <w:szCs w:val="20"/>
        </w:rPr>
      </w:pPr>
      <w:bookmarkStart w:id="1689" w:name="_Toc517172543"/>
      <w:bookmarkStart w:id="1690" w:name="_Toc30954"/>
      <w:bookmarkStart w:id="1691" w:name="_Toc179632772"/>
      <w:bookmarkStart w:id="1692" w:name="_Toc152045754"/>
      <w:bookmarkStart w:id="1693" w:name="_Toc152042533"/>
      <w:bookmarkStart w:id="1694" w:name="_Toc144974725"/>
      <w:r>
        <w:rPr>
          <w:rFonts w:hint="eastAsia" w:eastAsia="黑体"/>
          <w:color w:val="auto"/>
          <w:sz w:val="24"/>
          <w:szCs w:val="20"/>
        </w:rPr>
        <w:t>22.1 承包人违约</w:t>
      </w:r>
      <w:bookmarkEnd w:id="1689"/>
      <w:bookmarkEnd w:id="1690"/>
      <w:bookmarkEnd w:id="1691"/>
      <w:bookmarkEnd w:id="1692"/>
      <w:bookmarkEnd w:id="1693"/>
      <w:bookmarkEnd w:id="1694"/>
    </w:p>
    <w:p>
      <w:pPr>
        <w:spacing w:line="400" w:lineRule="exact"/>
        <w:ind w:firstLine="420" w:firstLineChars="200"/>
        <w:rPr>
          <w:rFonts w:hint="eastAsia"/>
          <w:color w:val="auto"/>
        </w:rPr>
      </w:pPr>
      <w:r>
        <w:rPr>
          <w:rFonts w:hint="eastAsia"/>
          <w:color w:val="auto"/>
        </w:rPr>
        <w:t>22.1.1</w:t>
      </w:r>
      <w:r>
        <w:rPr>
          <w:rFonts w:hint="eastAsia" w:ascii="黑体" w:eastAsia="黑体"/>
          <w:color w:val="auto"/>
        </w:rPr>
        <w:t xml:space="preserve"> 承包人违约的情形</w:t>
      </w:r>
    </w:p>
    <w:p>
      <w:pPr>
        <w:spacing w:line="400" w:lineRule="exact"/>
        <w:ind w:firstLine="420" w:firstLineChars="200"/>
        <w:rPr>
          <w:rFonts w:hint="eastAsia"/>
          <w:color w:val="auto"/>
        </w:rPr>
      </w:pPr>
      <w:r>
        <w:rPr>
          <w:rFonts w:hint="eastAsia"/>
          <w:color w:val="auto"/>
        </w:rPr>
        <w:t>在履行合同过程中发生的下列情况属承包人违约：</w:t>
      </w:r>
    </w:p>
    <w:p>
      <w:pPr>
        <w:spacing w:line="400" w:lineRule="exact"/>
        <w:ind w:firstLine="718" w:firstLineChars="342"/>
        <w:rPr>
          <w:rFonts w:hint="eastAsia"/>
          <w:color w:val="auto"/>
        </w:rPr>
      </w:pPr>
      <w:r>
        <w:rPr>
          <w:rFonts w:hint="eastAsia"/>
          <w:color w:val="auto"/>
        </w:rPr>
        <w:t>（1）承包人违反第1.8款或第4.3款的约定，私自将合同的全部或部分权利转让给其他人，或私自将合同的全部或部分义务转移给其他人；</w:t>
      </w:r>
    </w:p>
    <w:p>
      <w:pPr>
        <w:spacing w:line="400" w:lineRule="exact"/>
        <w:ind w:firstLine="718" w:firstLineChars="342"/>
        <w:rPr>
          <w:rFonts w:hint="eastAsia"/>
          <w:color w:val="auto"/>
        </w:rPr>
      </w:pPr>
      <w:r>
        <w:rPr>
          <w:rFonts w:hint="eastAsia"/>
          <w:color w:val="auto"/>
        </w:rPr>
        <w:t>（2）承包人违反第5.3款或第6.4款的约定，未经监理人批准，私自将已按合同约定进入施工场地的施工设备、临时设施或材料撤离施工场地；</w:t>
      </w:r>
    </w:p>
    <w:p>
      <w:pPr>
        <w:spacing w:line="400" w:lineRule="exact"/>
        <w:ind w:firstLine="718" w:firstLineChars="342"/>
        <w:rPr>
          <w:rFonts w:hint="eastAsia"/>
          <w:color w:val="auto"/>
        </w:rPr>
      </w:pPr>
      <w:r>
        <w:rPr>
          <w:rFonts w:hint="eastAsia"/>
          <w:color w:val="auto"/>
        </w:rPr>
        <w:t>（3）承包人违反第5.4款的约定使用了不合格材料或工程设备，工程质量达不到标准要求，又拒绝清除不合格工程；</w:t>
      </w:r>
    </w:p>
    <w:p>
      <w:pPr>
        <w:spacing w:line="400" w:lineRule="exact"/>
        <w:ind w:firstLine="718" w:firstLineChars="342"/>
        <w:rPr>
          <w:rFonts w:hint="eastAsia"/>
          <w:color w:val="auto"/>
        </w:rPr>
      </w:pPr>
      <w:r>
        <w:rPr>
          <w:rFonts w:hint="eastAsia"/>
          <w:color w:val="auto"/>
        </w:rPr>
        <w:t>（4）承包人未能按合同进度计划及时完成合同约定的工作，已造成或预期造成工期延误；</w:t>
      </w:r>
    </w:p>
    <w:p>
      <w:pPr>
        <w:spacing w:line="400" w:lineRule="exact"/>
        <w:ind w:firstLine="718" w:firstLineChars="342"/>
        <w:rPr>
          <w:rFonts w:hint="eastAsia"/>
          <w:color w:val="auto"/>
        </w:rPr>
      </w:pPr>
      <w:r>
        <w:rPr>
          <w:rFonts w:hint="eastAsia"/>
          <w:color w:val="auto"/>
        </w:rPr>
        <w:t>（5）承包人在缺陷责任期（工程质量保修期）内，未能对合同工程完工验收鉴定书中所列的缺陷清单的内容或缺陷责任期（工程质量保修期）内发生的缺陷进行修复，而又拒绝按监理人指示再进行修补；</w:t>
      </w:r>
    </w:p>
    <w:p>
      <w:pPr>
        <w:spacing w:line="400" w:lineRule="exact"/>
        <w:ind w:firstLine="718" w:firstLineChars="342"/>
        <w:rPr>
          <w:rFonts w:hint="eastAsia"/>
          <w:color w:val="auto"/>
        </w:rPr>
      </w:pPr>
      <w:r>
        <w:rPr>
          <w:rFonts w:hint="eastAsia"/>
          <w:color w:val="auto"/>
        </w:rPr>
        <w:t>（6）承包人无法继续履行或明确表示不履行或实质上已停止履行合同；</w:t>
      </w:r>
    </w:p>
    <w:p>
      <w:pPr>
        <w:spacing w:line="400" w:lineRule="exact"/>
        <w:ind w:firstLine="718" w:firstLineChars="342"/>
        <w:rPr>
          <w:rFonts w:hint="eastAsia"/>
          <w:color w:val="auto"/>
        </w:rPr>
      </w:pPr>
      <w:r>
        <w:rPr>
          <w:rFonts w:hint="eastAsia"/>
          <w:color w:val="auto"/>
        </w:rPr>
        <w:t>（7）承包人不按合同约定履行义务的其他情况。</w:t>
      </w:r>
    </w:p>
    <w:p>
      <w:pPr>
        <w:spacing w:line="400" w:lineRule="exact"/>
        <w:ind w:firstLine="420" w:firstLineChars="200"/>
        <w:rPr>
          <w:rFonts w:hint="eastAsia" w:ascii="黑体" w:eastAsia="黑体"/>
          <w:color w:val="auto"/>
        </w:rPr>
      </w:pPr>
      <w:r>
        <w:rPr>
          <w:rFonts w:hint="eastAsia"/>
          <w:color w:val="auto"/>
        </w:rPr>
        <w:t>22.1.2</w:t>
      </w:r>
      <w:r>
        <w:rPr>
          <w:rFonts w:hint="eastAsia" w:ascii="黑体" w:eastAsia="黑体"/>
          <w:color w:val="auto"/>
        </w:rPr>
        <w:t xml:space="preserve"> 对承包人违约的处理</w:t>
      </w:r>
    </w:p>
    <w:p>
      <w:pPr>
        <w:spacing w:line="400" w:lineRule="exact"/>
        <w:ind w:firstLine="718" w:firstLineChars="342"/>
        <w:rPr>
          <w:rFonts w:hint="eastAsia"/>
          <w:color w:val="auto"/>
        </w:rPr>
      </w:pPr>
      <w:r>
        <w:rPr>
          <w:rFonts w:hint="eastAsia"/>
          <w:color w:val="auto"/>
        </w:rPr>
        <w:t>（1）承包人发生第22.1.1（6）目约定的违约情况时，发包人可通知承包人立即解除合同，并按有关法律处理。</w:t>
      </w:r>
    </w:p>
    <w:p>
      <w:pPr>
        <w:spacing w:line="400" w:lineRule="exact"/>
        <w:ind w:firstLine="718" w:firstLineChars="342"/>
        <w:rPr>
          <w:rFonts w:hint="eastAsia"/>
          <w:color w:val="auto"/>
        </w:rPr>
      </w:pPr>
      <w:r>
        <w:rPr>
          <w:rFonts w:hint="eastAsia"/>
          <w:color w:val="auto"/>
        </w:rPr>
        <w:t>（2）承包人发生除第22.1.1（6）目约定以外的其他违约情况时，监理人可向承包人发出整改通知，要求其在指定的期限内改正。承包人应承担其违约所引起的费用增加和（或）工期延误。</w:t>
      </w:r>
    </w:p>
    <w:p>
      <w:pPr>
        <w:spacing w:line="400" w:lineRule="exact"/>
        <w:ind w:firstLine="718" w:firstLineChars="342"/>
        <w:rPr>
          <w:rFonts w:hint="eastAsia"/>
          <w:color w:val="auto"/>
        </w:rPr>
      </w:pPr>
      <w:r>
        <w:rPr>
          <w:rFonts w:hint="eastAsia"/>
          <w:color w:val="auto"/>
        </w:rPr>
        <w:t>（3）经检查证明承包人已采取了有效措施纠正违约行为，具备复工条件的，可由监理人签发复工通知复工。</w:t>
      </w:r>
    </w:p>
    <w:p>
      <w:pPr>
        <w:spacing w:line="400" w:lineRule="exact"/>
        <w:ind w:firstLine="420" w:firstLineChars="200"/>
        <w:rPr>
          <w:rFonts w:hint="eastAsia" w:ascii="黑体" w:eastAsia="黑体"/>
          <w:color w:val="auto"/>
        </w:rPr>
      </w:pPr>
      <w:r>
        <w:rPr>
          <w:rFonts w:hint="eastAsia"/>
          <w:color w:val="auto"/>
        </w:rPr>
        <w:t>22.1.3</w:t>
      </w:r>
      <w:r>
        <w:rPr>
          <w:rFonts w:hint="eastAsia" w:ascii="黑体" w:eastAsia="黑体"/>
          <w:color w:val="auto"/>
        </w:rPr>
        <w:t xml:space="preserve"> 承包人违约解除合同</w:t>
      </w:r>
    </w:p>
    <w:p>
      <w:pPr>
        <w:spacing w:line="400" w:lineRule="exact"/>
        <w:ind w:firstLine="420" w:firstLineChars="200"/>
        <w:rPr>
          <w:rFonts w:hint="eastAsia"/>
          <w:color w:val="auto"/>
        </w:rPr>
      </w:pPr>
      <w:r>
        <w:rPr>
          <w:rFonts w:hint="eastAsia"/>
          <w:color w:val="auto"/>
        </w:rPr>
        <w:t>监理人发出整改通知28天后，承包人仍不纠正违约行为的，发包人可向承包人发出解除合同通知。合同解除后，发包人可派员进驻施工场地，另行组织人员或委托其他承包人施工。发包人因继续完成该工程的需要，有权扣留使用承包人在现场的材料、设备和临时设施。但发包人的这一行动不免除承包人应承担的违约责任，也不影响发包人根据合同约定享有的索赔权利。</w:t>
      </w:r>
    </w:p>
    <w:p>
      <w:pPr>
        <w:spacing w:line="400" w:lineRule="exact"/>
        <w:ind w:firstLine="420" w:firstLineChars="200"/>
        <w:rPr>
          <w:rFonts w:hint="eastAsia" w:ascii="黑体" w:eastAsia="黑体"/>
          <w:color w:val="auto"/>
        </w:rPr>
      </w:pPr>
      <w:r>
        <w:rPr>
          <w:rFonts w:hint="eastAsia"/>
          <w:color w:val="auto"/>
        </w:rPr>
        <w:t>22.1.4</w:t>
      </w:r>
      <w:r>
        <w:rPr>
          <w:rFonts w:hint="eastAsia" w:ascii="黑体" w:eastAsia="黑体"/>
          <w:color w:val="auto"/>
        </w:rPr>
        <w:t xml:space="preserve"> 合同解除后的估价、付款和结清</w:t>
      </w:r>
    </w:p>
    <w:p>
      <w:pPr>
        <w:spacing w:line="400" w:lineRule="exact"/>
        <w:ind w:firstLine="718" w:firstLineChars="342"/>
        <w:rPr>
          <w:rFonts w:hint="eastAsia"/>
          <w:color w:val="auto"/>
        </w:rPr>
      </w:pPr>
      <w:r>
        <w:rPr>
          <w:rFonts w:hint="eastAsia"/>
          <w:color w:val="auto"/>
        </w:rPr>
        <w:t xml:space="preserve">（1）合同解除后，监理人按第3.5款商定或确定承包人实际完成工作的价值，以及承包人已提供的材料、施工设备、工程设备和临时工程等的价值。 </w:t>
      </w:r>
    </w:p>
    <w:p>
      <w:pPr>
        <w:spacing w:line="400" w:lineRule="exact"/>
        <w:ind w:firstLine="718" w:firstLineChars="342"/>
        <w:rPr>
          <w:rFonts w:hint="eastAsia"/>
          <w:color w:val="auto"/>
        </w:rPr>
      </w:pPr>
      <w:r>
        <w:rPr>
          <w:rFonts w:hint="eastAsia"/>
          <w:color w:val="auto"/>
        </w:rPr>
        <w:t xml:space="preserve">（2）合同解除后，发包人应暂停对承包人的一切付款，查清各项付款和已扣款金额，包括承包人应支付的违约金。 </w:t>
      </w:r>
    </w:p>
    <w:p>
      <w:pPr>
        <w:spacing w:line="400" w:lineRule="exact"/>
        <w:ind w:firstLine="718" w:firstLineChars="342"/>
        <w:rPr>
          <w:rFonts w:hint="eastAsia"/>
          <w:color w:val="auto"/>
        </w:rPr>
      </w:pPr>
      <w:r>
        <w:rPr>
          <w:rFonts w:hint="eastAsia"/>
          <w:color w:val="auto"/>
        </w:rPr>
        <w:t>（3）合同解除后，发包人应按第23.4款的约定向承包人索赔由于解除合同给发包人造成的损失。</w:t>
      </w:r>
    </w:p>
    <w:p>
      <w:pPr>
        <w:spacing w:line="400" w:lineRule="exact"/>
        <w:ind w:firstLine="718" w:firstLineChars="342"/>
        <w:rPr>
          <w:rFonts w:hint="eastAsia"/>
          <w:color w:val="auto"/>
        </w:rPr>
      </w:pPr>
      <w:r>
        <w:rPr>
          <w:rFonts w:hint="eastAsia"/>
          <w:color w:val="auto"/>
        </w:rPr>
        <w:t>（4）合同双方确认上述往来款项后，出具最终结清付款证书，结清全部合同款项。</w:t>
      </w:r>
    </w:p>
    <w:p>
      <w:pPr>
        <w:spacing w:line="400" w:lineRule="exact"/>
        <w:ind w:firstLine="718" w:firstLineChars="342"/>
        <w:rPr>
          <w:rFonts w:hint="eastAsia"/>
          <w:color w:val="auto"/>
        </w:rPr>
      </w:pPr>
      <w:r>
        <w:rPr>
          <w:rFonts w:hint="eastAsia"/>
          <w:color w:val="auto"/>
        </w:rPr>
        <w:t>（5）发包人和承包人未能就解除合同后的结清达成一致而形成争议的，按第24条的约定办理。</w:t>
      </w:r>
    </w:p>
    <w:p>
      <w:pPr>
        <w:spacing w:line="400" w:lineRule="exact"/>
        <w:ind w:firstLine="420" w:firstLineChars="200"/>
        <w:rPr>
          <w:rFonts w:hint="eastAsia" w:ascii="黑体" w:eastAsia="黑体"/>
          <w:color w:val="auto"/>
        </w:rPr>
      </w:pPr>
      <w:r>
        <w:rPr>
          <w:rFonts w:hint="eastAsia"/>
          <w:color w:val="auto"/>
        </w:rPr>
        <w:t>22.1.5</w:t>
      </w:r>
      <w:r>
        <w:rPr>
          <w:rFonts w:hint="eastAsia" w:ascii="黑体" w:eastAsia="黑体"/>
          <w:color w:val="auto"/>
        </w:rPr>
        <w:t xml:space="preserve"> 协议利益的转让</w:t>
      </w:r>
    </w:p>
    <w:p>
      <w:pPr>
        <w:spacing w:line="400" w:lineRule="exact"/>
        <w:ind w:firstLine="420" w:firstLineChars="200"/>
        <w:rPr>
          <w:rFonts w:hint="eastAsia"/>
          <w:color w:val="auto"/>
        </w:rPr>
      </w:pPr>
      <w:r>
        <w:rPr>
          <w:rFonts w:hint="eastAsia"/>
          <w:color w:val="auto"/>
        </w:rPr>
        <w:t xml:space="preserve">因承包人违约解除合同的，发包人有权要求承包人将其为实施合同而签订的材料和设备的订货协议或任何服务协议利益转让给发包人，并在解除合同后的14天内，依法办理转让手续。 </w:t>
      </w:r>
    </w:p>
    <w:p>
      <w:pPr>
        <w:spacing w:line="400" w:lineRule="exact"/>
        <w:ind w:firstLine="420" w:firstLineChars="200"/>
        <w:rPr>
          <w:rFonts w:hint="eastAsia" w:ascii="黑体" w:eastAsia="黑体"/>
          <w:color w:val="auto"/>
        </w:rPr>
      </w:pPr>
      <w:r>
        <w:rPr>
          <w:rFonts w:hint="eastAsia"/>
          <w:color w:val="auto"/>
        </w:rPr>
        <w:t>22.1.6</w:t>
      </w:r>
      <w:r>
        <w:rPr>
          <w:rFonts w:hint="eastAsia" w:ascii="黑体" w:eastAsia="黑体"/>
          <w:color w:val="auto"/>
        </w:rPr>
        <w:t xml:space="preserve"> 紧急情况下无能力或不愿进行抢救</w:t>
      </w:r>
    </w:p>
    <w:p>
      <w:pPr>
        <w:spacing w:line="400" w:lineRule="exact"/>
        <w:ind w:firstLine="420" w:firstLineChars="200"/>
        <w:rPr>
          <w:rFonts w:hint="eastAsia"/>
          <w:color w:val="auto"/>
        </w:rPr>
      </w:pPr>
      <w:r>
        <w:rPr>
          <w:rFonts w:hint="eastAsia"/>
          <w:color w:val="auto"/>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pPr>
        <w:keepNext/>
        <w:keepLines/>
        <w:spacing w:line="400" w:lineRule="exact"/>
        <w:outlineLvl w:val="3"/>
        <w:rPr>
          <w:rFonts w:hint="eastAsia" w:eastAsia="黑体"/>
          <w:color w:val="auto"/>
          <w:sz w:val="24"/>
          <w:szCs w:val="20"/>
        </w:rPr>
      </w:pPr>
      <w:bookmarkStart w:id="1695" w:name="_Toc16160"/>
      <w:bookmarkStart w:id="1696" w:name="_Toc517172544"/>
      <w:bookmarkStart w:id="1697" w:name="_Toc152045755"/>
      <w:bookmarkStart w:id="1698" w:name="_Toc152042534"/>
      <w:bookmarkStart w:id="1699" w:name="_Toc144974726"/>
      <w:bookmarkStart w:id="1700" w:name="_Toc179632773"/>
      <w:r>
        <w:rPr>
          <w:rFonts w:hint="eastAsia" w:eastAsia="黑体"/>
          <w:color w:val="auto"/>
          <w:sz w:val="24"/>
          <w:szCs w:val="20"/>
        </w:rPr>
        <w:t>22.2 发包人违约</w:t>
      </w:r>
      <w:bookmarkEnd w:id="1695"/>
      <w:bookmarkEnd w:id="1696"/>
      <w:bookmarkEnd w:id="1697"/>
      <w:bookmarkEnd w:id="1698"/>
      <w:bookmarkEnd w:id="1699"/>
      <w:bookmarkEnd w:id="1700"/>
    </w:p>
    <w:p>
      <w:pPr>
        <w:spacing w:line="400" w:lineRule="exact"/>
        <w:ind w:firstLine="420" w:firstLineChars="200"/>
        <w:rPr>
          <w:rFonts w:hint="eastAsia" w:ascii="黑体" w:eastAsia="黑体"/>
          <w:color w:val="auto"/>
        </w:rPr>
      </w:pPr>
      <w:r>
        <w:rPr>
          <w:rFonts w:hint="eastAsia"/>
          <w:color w:val="auto"/>
        </w:rPr>
        <w:t xml:space="preserve">22.2.1 </w:t>
      </w:r>
      <w:r>
        <w:rPr>
          <w:rFonts w:hint="eastAsia" w:ascii="黑体" w:eastAsia="黑体"/>
          <w:color w:val="auto"/>
        </w:rPr>
        <w:t>发包人违约的情形</w:t>
      </w:r>
    </w:p>
    <w:p>
      <w:pPr>
        <w:spacing w:line="400" w:lineRule="exact"/>
        <w:ind w:firstLine="420" w:firstLineChars="200"/>
        <w:rPr>
          <w:rFonts w:hint="eastAsia"/>
          <w:color w:val="auto"/>
        </w:rPr>
      </w:pPr>
      <w:r>
        <w:rPr>
          <w:rFonts w:hint="eastAsia"/>
          <w:color w:val="auto"/>
        </w:rPr>
        <w:t>在履行合同过程中发生的下列情形，属发包人违约：</w:t>
      </w:r>
    </w:p>
    <w:p>
      <w:pPr>
        <w:spacing w:line="400" w:lineRule="exact"/>
        <w:ind w:firstLine="718" w:firstLineChars="342"/>
        <w:rPr>
          <w:rFonts w:hint="eastAsia"/>
          <w:color w:val="auto"/>
        </w:rPr>
      </w:pPr>
      <w:r>
        <w:rPr>
          <w:rFonts w:hint="eastAsia"/>
          <w:color w:val="auto"/>
        </w:rPr>
        <w:t>（1）发包人未能按合同约定支付预付款或合同价款，或拖延、拒绝批准付款申请和支付凭证，导致付款延误的；</w:t>
      </w:r>
    </w:p>
    <w:p>
      <w:pPr>
        <w:spacing w:line="400" w:lineRule="exact"/>
        <w:ind w:firstLine="718" w:firstLineChars="342"/>
        <w:rPr>
          <w:rFonts w:hint="eastAsia"/>
          <w:color w:val="auto"/>
        </w:rPr>
      </w:pPr>
      <w:r>
        <w:rPr>
          <w:rFonts w:hint="eastAsia"/>
          <w:color w:val="auto"/>
        </w:rPr>
        <w:t>（2）发包人原因造成停工的；</w:t>
      </w:r>
    </w:p>
    <w:p>
      <w:pPr>
        <w:spacing w:line="400" w:lineRule="exact"/>
        <w:ind w:firstLine="718" w:firstLineChars="342"/>
        <w:rPr>
          <w:rFonts w:hint="eastAsia"/>
          <w:color w:val="auto"/>
        </w:rPr>
      </w:pPr>
      <w:r>
        <w:rPr>
          <w:rFonts w:hint="eastAsia"/>
          <w:color w:val="auto"/>
        </w:rPr>
        <w:t>（3）监理人无正当理由没有在约定期限内发出复工指示，导致承包人无法复工的；</w:t>
      </w:r>
    </w:p>
    <w:p>
      <w:pPr>
        <w:spacing w:line="400" w:lineRule="exact"/>
        <w:ind w:firstLine="718" w:firstLineChars="342"/>
        <w:rPr>
          <w:rFonts w:hint="eastAsia"/>
          <w:color w:val="auto"/>
        </w:rPr>
      </w:pPr>
      <w:r>
        <w:rPr>
          <w:rFonts w:hint="eastAsia"/>
          <w:color w:val="auto"/>
        </w:rPr>
        <w:t>（4）发包人无法继续履行或明确表示不履行或实质上已停止履行合同的；</w:t>
      </w:r>
    </w:p>
    <w:p>
      <w:pPr>
        <w:spacing w:line="400" w:lineRule="exact"/>
        <w:ind w:firstLine="718" w:firstLineChars="342"/>
        <w:rPr>
          <w:rFonts w:hint="eastAsia"/>
          <w:color w:val="auto"/>
        </w:rPr>
      </w:pPr>
      <w:r>
        <w:rPr>
          <w:rFonts w:hint="eastAsia"/>
          <w:color w:val="auto"/>
        </w:rPr>
        <w:t>（5）发包人不履行合同约定其他义务的。</w:t>
      </w:r>
    </w:p>
    <w:p>
      <w:pPr>
        <w:spacing w:line="400" w:lineRule="exact"/>
        <w:ind w:firstLine="420" w:firstLineChars="200"/>
        <w:rPr>
          <w:rFonts w:hint="eastAsia"/>
          <w:color w:val="auto"/>
        </w:rPr>
      </w:pPr>
      <w:r>
        <w:rPr>
          <w:rFonts w:hint="eastAsia"/>
          <w:color w:val="auto"/>
        </w:rPr>
        <w:t>22.2.2</w:t>
      </w:r>
      <w:r>
        <w:rPr>
          <w:rFonts w:hint="eastAsia" w:ascii="黑体" w:eastAsia="黑体"/>
          <w:color w:val="auto"/>
        </w:rPr>
        <w:t xml:space="preserve"> 承包人有权暂停施工</w:t>
      </w:r>
    </w:p>
    <w:p>
      <w:pPr>
        <w:spacing w:line="400" w:lineRule="exact"/>
        <w:ind w:firstLine="420" w:firstLineChars="200"/>
        <w:rPr>
          <w:rFonts w:hint="eastAsia"/>
          <w:color w:val="auto"/>
        </w:rPr>
      </w:pPr>
      <w:r>
        <w:rPr>
          <w:rFonts w:hint="eastAsia"/>
          <w:color w:val="auto"/>
        </w:rPr>
        <w:t>发包人发生除第22.2.1（4）目以外的违约情况时，承包人可向发包人发出通知，要求发包人采取有效措施纠正违约行为。发包人收到承包人通知后的28天内仍不履行合同义务，承包人有权暂停施工，并通知监理人，发包人应承担由此增加的费用和（或）工期延误，并支付承包人合理利润。</w:t>
      </w:r>
    </w:p>
    <w:p>
      <w:pPr>
        <w:spacing w:line="400" w:lineRule="exact"/>
        <w:ind w:firstLine="420" w:firstLineChars="200"/>
        <w:rPr>
          <w:rFonts w:hint="eastAsia"/>
          <w:color w:val="auto"/>
        </w:rPr>
      </w:pPr>
      <w:r>
        <w:rPr>
          <w:rFonts w:hint="eastAsia"/>
          <w:color w:val="auto"/>
        </w:rPr>
        <w:t>22.2.3</w:t>
      </w:r>
      <w:r>
        <w:rPr>
          <w:rFonts w:hint="eastAsia" w:ascii="黑体" w:eastAsia="黑体"/>
          <w:color w:val="auto"/>
        </w:rPr>
        <w:t xml:space="preserve"> 发包人违约解除合同</w:t>
      </w:r>
      <w:r>
        <w:rPr>
          <w:rFonts w:hint="eastAsia"/>
          <w:color w:val="auto"/>
        </w:rPr>
        <w:t xml:space="preserve"> </w:t>
      </w:r>
    </w:p>
    <w:p>
      <w:pPr>
        <w:spacing w:line="400" w:lineRule="exact"/>
        <w:ind w:firstLine="718" w:firstLineChars="342"/>
        <w:rPr>
          <w:rFonts w:hint="eastAsia"/>
          <w:color w:val="auto"/>
        </w:rPr>
      </w:pPr>
      <w:r>
        <w:rPr>
          <w:rFonts w:hint="eastAsia"/>
          <w:color w:val="auto"/>
        </w:rPr>
        <w:t xml:space="preserve">（1）发生第22.2.1（4）目的违约情况时，承包人可书面通知发包人解除合同。   </w:t>
      </w:r>
    </w:p>
    <w:p>
      <w:pPr>
        <w:spacing w:line="400" w:lineRule="exact"/>
        <w:ind w:firstLine="718" w:firstLineChars="342"/>
        <w:rPr>
          <w:rFonts w:hint="eastAsia"/>
          <w:color w:val="auto"/>
        </w:rPr>
      </w:pPr>
      <w:r>
        <w:rPr>
          <w:rFonts w:hint="eastAsia"/>
          <w:color w:val="auto"/>
        </w:rPr>
        <w:t>（2）承包人按22.2.2项暂停施工28天后，发包人仍不纠正违约行为的，承包人可向发包人发出解除合同通知。但承包人的这一行动不免除发包人承担的违约责任，也不影响承包人根据合同约定享有的索赔权利。</w:t>
      </w:r>
    </w:p>
    <w:p>
      <w:pPr>
        <w:spacing w:line="400" w:lineRule="exact"/>
        <w:ind w:firstLine="420" w:firstLineChars="200"/>
        <w:rPr>
          <w:rFonts w:hint="eastAsia" w:ascii="黑体" w:eastAsia="黑体"/>
          <w:color w:val="auto"/>
        </w:rPr>
      </w:pPr>
      <w:r>
        <w:rPr>
          <w:rFonts w:hint="eastAsia"/>
          <w:color w:val="auto"/>
        </w:rPr>
        <w:t>22.2.4</w:t>
      </w:r>
      <w:r>
        <w:rPr>
          <w:rFonts w:hint="eastAsia" w:ascii="黑体" w:eastAsia="黑体"/>
          <w:color w:val="auto"/>
        </w:rPr>
        <w:t xml:space="preserve"> 解除合同后的付款</w:t>
      </w:r>
    </w:p>
    <w:p>
      <w:pPr>
        <w:spacing w:line="400" w:lineRule="exact"/>
        <w:ind w:firstLine="420" w:firstLineChars="200"/>
        <w:rPr>
          <w:rFonts w:hint="eastAsia"/>
          <w:color w:val="auto"/>
        </w:rPr>
      </w:pPr>
      <w:r>
        <w:rPr>
          <w:rFonts w:hint="eastAsia"/>
          <w:color w:val="auto"/>
        </w:rPr>
        <w:t>因发包人违约解除合同的，发包人应在解除合同后28天内向承包人支付下列金额，承包人应在此期限内及时向发包人提交要求支付下列金额的有关资料和凭证：</w:t>
      </w:r>
    </w:p>
    <w:p>
      <w:pPr>
        <w:spacing w:line="400" w:lineRule="exact"/>
        <w:ind w:firstLine="718" w:firstLineChars="342"/>
        <w:rPr>
          <w:rFonts w:hint="eastAsia"/>
          <w:color w:val="auto"/>
        </w:rPr>
      </w:pPr>
      <w:r>
        <w:rPr>
          <w:rFonts w:hint="eastAsia"/>
          <w:color w:val="auto"/>
        </w:rPr>
        <w:t>（1）合同解除日以前所完成工作的价款；</w:t>
      </w:r>
    </w:p>
    <w:p>
      <w:pPr>
        <w:spacing w:line="400" w:lineRule="exact"/>
        <w:ind w:firstLine="718" w:firstLineChars="342"/>
        <w:rPr>
          <w:rFonts w:hint="eastAsia"/>
          <w:color w:val="auto"/>
        </w:rPr>
      </w:pPr>
      <w:r>
        <w:rPr>
          <w:rFonts w:hint="eastAsia"/>
          <w:color w:val="auto"/>
        </w:rPr>
        <w:t>（2）承包人为该工程施工订购并已付款的材料、工程设备和其他物品的金额。发包人付还后，该材料、工程设备和其他物品归发包人所有；</w:t>
      </w:r>
    </w:p>
    <w:p>
      <w:pPr>
        <w:spacing w:line="400" w:lineRule="exact"/>
        <w:ind w:firstLine="718" w:firstLineChars="342"/>
        <w:rPr>
          <w:rFonts w:hint="eastAsia"/>
          <w:color w:val="auto"/>
        </w:rPr>
      </w:pPr>
      <w:r>
        <w:rPr>
          <w:rFonts w:hint="eastAsia"/>
          <w:color w:val="auto"/>
        </w:rPr>
        <w:t>（3）承包人为完成工程所发生的，而发包人未支付的金额；</w:t>
      </w:r>
    </w:p>
    <w:p>
      <w:pPr>
        <w:spacing w:line="400" w:lineRule="exact"/>
        <w:ind w:firstLine="718" w:firstLineChars="342"/>
        <w:rPr>
          <w:rFonts w:hint="eastAsia"/>
          <w:color w:val="auto"/>
        </w:rPr>
      </w:pPr>
      <w:r>
        <w:rPr>
          <w:rFonts w:hint="eastAsia"/>
          <w:color w:val="auto"/>
        </w:rPr>
        <w:t>（4）承包人撤离施工场地以及遣散承包人人员的金额；</w:t>
      </w:r>
    </w:p>
    <w:p>
      <w:pPr>
        <w:spacing w:line="400" w:lineRule="exact"/>
        <w:ind w:firstLine="718" w:firstLineChars="342"/>
        <w:rPr>
          <w:rFonts w:hint="eastAsia"/>
          <w:color w:val="auto"/>
        </w:rPr>
      </w:pPr>
      <w:r>
        <w:rPr>
          <w:rFonts w:hint="eastAsia"/>
          <w:color w:val="auto"/>
        </w:rPr>
        <w:t>（5）由于解除合同应赔偿的承包人损失；</w:t>
      </w:r>
    </w:p>
    <w:p>
      <w:pPr>
        <w:spacing w:line="400" w:lineRule="exact"/>
        <w:ind w:firstLine="718" w:firstLineChars="342"/>
        <w:rPr>
          <w:rFonts w:hint="eastAsia"/>
          <w:color w:val="auto"/>
        </w:rPr>
      </w:pPr>
      <w:r>
        <w:rPr>
          <w:rFonts w:hint="eastAsia"/>
          <w:color w:val="auto"/>
        </w:rPr>
        <w:t>（6）按合同约定在合同解除日前应支付给承包人的其他金额。</w:t>
      </w:r>
    </w:p>
    <w:p>
      <w:pPr>
        <w:spacing w:line="400" w:lineRule="exact"/>
        <w:ind w:firstLine="420" w:firstLineChars="200"/>
        <w:rPr>
          <w:rFonts w:hint="eastAsia"/>
          <w:color w:val="auto"/>
        </w:rPr>
      </w:pPr>
      <w:r>
        <w:rPr>
          <w:rFonts w:hint="eastAsia"/>
          <w:color w:val="auto"/>
        </w:rPr>
        <w:t>发包人应按本项约定支付上述金额并退还质量保证金和履约担保，但有权要求承包人支付应偿还给发包人的各项金额。</w:t>
      </w:r>
    </w:p>
    <w:p>
      <w:pPr>
        <w:spacing w:line="400" w:lineRule="exact"/>
        <w:ind w:firstLine="420" w:firstLineChars="200"/>
        <w:rPr>
          <w:rFonts w:hint="eastAsia" w:ascii="黑体" w:eastAsia="黑体"/>
          <w:color w:val="auto"/>
        </w:rPr>
      </w:pPr>
      <w:r>
        <w:rPr>
          <w:rFonts w:hint="eastAsia"/>
          <w:color w:val="auto"/>
        </w:rPr>
        <w:t>22.2.5</w:t>
      </w:r>
      <w:r>
        <w:rPr>
          <w:rFonts w:hint="eastAsia" w:ascii="黑体" w:eastAsia="黑体"/>
          <w:color w:val="auto"/>
        </w:rPr>
        <w:t xml:space="preserve"> 解除合同后的承包人撤离</w:t>
      </w:r>
    </w:p>
    <w:p>
      <w:pPr>
        <w:spacing w:line="400" w:lineRule="exact"/>
        <w:ind w:firstLine="420" w:firstLineChars="200"/>
        <w:rPr>
          <w:rFonts w:hint="eastAsia"/>
          <w:color w:val="auto"/>
        </w:rPr>
      </w:pPr>
      <w:r>
        <w:rPr>
          <w:rFonts w:hint="eastAsia"/>
          <w:color w:val="auto"/>
        </w:rPr>
        <w:t>因发包人违约而解除合同后，承包人应妥善做好已竣工工程和已购材料、设备的保护和移交工作，按发包人要求将承包人设备和人员撤出施工场地。承包人撤出施工场地应遵守第18.7.1项的约定，发包人应为承包人撤出提供必要条件。</w:t>
      </w:r>
    </w:p>
    <w:p>
      <w:pPr>
        <w:keepNext/>
        <w:keepLines/>
        <w:spacing w:line="400" w:lineRule="exact"/>
        <w:outlineLvl w:val="3"/>
        <w:rPr>
          <w:rFonts w:hint="eastAsia" w:eastAsia="黑体"/>
          <w:color w:val="auto"/>
          <w:sz w:val="24"/>
          <w:szCs w:val="20"/>
        </w:rPr>
      </w:pPr>
      <w:bookmarkStart w:id="1701" w:name="_Toc517172545"/>
      <w:bookmarkStart w:id="1702" w:name="_Toc22799"/>
      <w:bookmarkStart w:id="1703" w:name="_Toc179632774"/>
      <w:bookmarkStart w:id="1704" w:name="_Toc152042535"/>
      <w:bookmarkStart w:id="1705" w:name="_Toc152045756"/>
      <w:r>
        <w:rPr>
          <w:rFonts w:hint="eastAsia" w:eastAsia="黑体"/>
          <w:color w:val="auto"/>
          <w:sz w:val="24"/>
          <w:szCs w:val="20"/>
        </w:rPr>
        <w:t>22.3 第三人造成的违约</w:t>
      </w:r>
      <w:bookmarkEnd w:id="1701"/>
      <w:bookmarkEnd w:id="1702"/>
      <w:bookmarkEnd w:id="1703"/>
      <w:bookmarkEnd w:id="1704"/>
      <w:bookmarkEnd w:id="1705"/>
    </w:p>
    <w:p>
      <w:pPr>
        <w:spacing w:line="400" w:lineRule="exact"/>
        <w:ind w:firstLine="420" w:firstLineChars="200"/>
        <w:rPr>
          <w:rFonts w:hint="eastAsia"/>
          <w:color w:val="auto"/>
        </w:rPr>
      </w:pPr>
      <w:r>
        <w:rPr>
          <w:rFonts w:hint="eastAsia"/>
          <w:color w:val="auto"/>
        </w:rPr>
        <w:t>在履行合同过程中，一方当事人因第三人的原因造成违约的，应当向对方当事人承担违约责任。一方当事人和第三人之间的纠纷，依照法律规定或者按照约定解决。</w:t>
      </w:r>
    </w:p>
    <w:p>
      <w:pPr>
        <w:pStyle w:val="80"/>
        <w:spacing w:before="120" w:after="120" w:afterLines="50"/>
        <w:outlineLvl w:val="2"/>
        <w:rPr>
          <w:rFonts w:hint="eastAsia"/>
          <w:color w:val="auto"/>
        </w:rPr>
      </w:pPr>
      <w:bookmarkStart w:id="1706" w:name="_Toc491089753"/>
      <w:bookmarkStart w:id="1707" w:name="_Toc222029524"/>
      <w:bookmarkStart w:id="1708" w:name="_Toc222031026"/>
      <w:bookmarkStart w:id="1709" w:name="_Toc222032693"/>
      <w:bookmarkStart w:id="1710" w:name="_Toc222033875"/>
      <w:bookmarkStart w:id="1711" w:name="_Toc229305384"/>
      <w:bookmarkStart w:id="1712" w:name="_Toc387753606"/>
      <w:bookmarkStart w:id="1713" w:name="_Toc517172546"/>
      <w:bookmarkStart w:id="1714" w:name="_Toc23489"/>
      <w:bookmarkStart w:id="1715" w:name="_Toc221951088"/>
      <w:r>
        <w:rPr>
          <w:color w:val="auto"/>
        </w:rPr>
        <w:t xml:space="preserve">23. </w:t>
      </w:r>
      <w:r>
        <w:rPr>
          <w:rFonts w:hint="eastAsia"/>
          <w:color w:val="auto"/>
        </w:rPr>
        <w:t>索赔</w:t>
      </w:r>
      <w:bookmarkEnd w:id="1706"/>
      <w:bookmarkEnd w:id="1707"/>
      <w:bookmarkEnd w:id="1708"/>
      <w:bookmarkEnd w:id="1709"/>
      <w:bookmarkEnd w:id="1710"/>
      <w:bookmarkEnd w:id="1711"/>
      <w:bookmarkEnd w:id="1712"/>
      <w:bookmarkEnd w:id="1713"/>
      <w:bookmarkEnd w:id="1714"/>
      <w:bookmarkEnd w:id="1715"/>
    </w:p>
    <w:p>
      <w:pPr>
        <w:keepNext/>
        <w:keepLines/>
        <w:spacing w:line="400" w:lineRule="exact"/>
        <w:outlineLvl w:val="3"/>
        <w:rPr>
          <w:rFonts w:hint="eastAsia" w:eastAsia="黑体"/>
          <w:color w:val="auto"/>
          <w:sz w:val="24"/>
          <w:szCs w:val="20"/>
        </w:rPr>
      </w:pPr>
      <w:bookmarkStart w:id="1716" w:name="_Toc24473"/>
      <w:bookmarkStart w:id="1717" w:name="_Toc517172547"/>
      <w:bookmarkStart w:id="1718" w:name="_Toc179632776"/>
      <w:bookmarkStart w:id="1719" w:name="_Toc152042537"/>
      <w:bookmarkStart w:id="1720" w:name="_Toc152045758"/>
      <w:bookmarkStart w:id="1721" w:name="_Toc144974728"/>
      <w:bookmarkStart w:id="1722" w:name="_Toc221951097"/>
      <w:r>
        <w:rPr>
          <w:rFonts w:hint="eastAsia" w:eastAsia="黑体"/>
          <w:color w:val="auto"/>
          <w:sz w:val="24"/>
          <w:szCs w:val="20"/>
        </w:rPr>
        <w:t>23.1 承包人索赔的提出</w:t>
      </w:r>
      <w:bookmarkEnd w:id="1716"/>
      <w:bookmarkEnd w:id="1717"/>
      <w:bookmarkEnd w:id="1718"/>
      <w:bookmarkEnd w:id="1719"/>
      <w:bookmarkEnd w:id="1720"/>
      <w:bookmarkEnd w:id="1721"/>
    </w:p>
    <w:p>
      <w:pPr>
        <w:spacing w:line="400" w:lineRule="exact"/>
        <w:ind w:firstLine="420" w:firstLineChars="200"/>
        <w:rPr>
          <w:rFonts w:hint="eastAsia"/>
          <w:color w:val="auto"/>
        </w:rPr>
      </w:pPr>
      <w:r>
        <w:rPr>
          <w:rFonts w:hint="eastAsia"/>
          <w:color w:val="auto"/>
        </w:rPr>
        <w:t>根据合同约定，承包人认为有权得到追加付款和（或）延长工期的，应按以下程序向发包人提出索赔：</w:t>
      </w:r>
    </w:p>
    <w:p>
      <w:pPr>
        <w:spacing w:line="400" w:lineRule="exact"/>
        <w:ind w:firstLine="359" w:firstLineChars="171"/>
        <w:rPr>
          <w:rFonts w:hint="eastAsia"/>
          <w:color w:val="auto"/>
        </w:rPr>
      </w:pPr>
      <w:r>
        <w:rPr>
          <w:rFonts w:hint="eastAsia"/>
          <w:color w:val="auto"/>
        </w:rPr>
        <w:t>（1）承包人应在知道或应当知道索赔事件发生后28天内，向监理人递交索赔意向通知书，并说明发生索赔事件的事由。承包人未在前述28天内发出索赔意向通知书的，丧失要求追加付款和（或）延长工期的权利；</w:t>
      </w:r>
    </w:p>
    <w:p>
      <w:pPr>
        <w:spacing w:line="400" w:lineRule="exact"/>
        <w:ind w:firstLine="359" w:firstLineChars="171"/>
        <w:rPr>
          <w:rFonts w:hint="eastAsia"/>
          <w:color w:val="auto"/>
        </w:rPr>
      </w:pPr>
      <w:r>
        <w:rPr>
          <w:rFonts w:hint="eastAsia"/>
          <w:color w:val="auto"/>
        </w:rPr>
        <w:t>（2）承包人应在发出索赔意向通知书后28天内，向监理人正式递交索赔通知书。索赔通知书应详细说明索赔理由以及要求追加的付款金额和（或）延长的工期，并附必要的记录和证明材料；</w:t>
      </w:r>
    </w:p>
    <w:p>
      <w:pPr>
        <w:spacing w:line="400" w:lineRule="exact"/>
        <w:ind w:firstLine="359" w:firstLineChars="171"/>
        <w:rPr>
          <w:rFonts w:hint="eastAsia"/>
          <w:color w:val="auto"/>
        </w:rPr>
      </w:pPr>
      <w:r>
        <w:rPr>
          <w:rFonts w:hint="eastAsia"/>
          <w:color w:val="auto"/>
        </w:rPr>
        <w:t>（3）索赔事件具有连续影响的，承包人应按合理时间间隔继续递交延续索赔通知，说明连续影响的实际情况和记录，列出累计的追加付款金额和（或）工期延长天数；</w:t>
      </w:r>
    </w:p>
    <w:p>
      <w:pPr>
        <w:spacing w:line="400" w:lineRule="exact"/>
        <w:ind w:firstLine="359" w:firstLineChars="171"/>
        <w:rPr>
          <w:rFonts w:hint="eastAsia"/>
          <w:color w:val="auto"/>
        </w:rPr>
      </w:pPr>
      <w:r>
        <w:rPr>
          <w:rFonts w:hint="eastAsia"/>
          <w:color w:val="auto"/>
        </w:rPr>
        <w:t>（4）在索赔事件影响结束后的28天内，承包人应向监理人递交最终索赔通知书，说明最终要求索赔的追加付款金额和延长的工期，并附必要的记录和证明材料。</w:t>
      </w:r>
    </w:p>
    <w:p>
      <w:pPr>
        <w:keepNext/>
        <w:keepLines/>
        <w:spacing w:line="400" w:lineRule="exact"/>
        <w:outlineLvl w:val="3"/>
        <w:rPr>
          <w:rFonts w:hint="eastAsia" w:eastAsia="黑体"/>
          <w:color w:val="auto"/>
          <w:sz w:val="24"/>
          <w:szCs w:val="20"/>
        </w:rPr>
      </w:pPr>
      <w:bookmarkStart w:id="1723" w:name="_Toc152045759"/>
      <w:bookmarkStart w:id="1724" w:name="_Toc517172548"/>
      <w:bookmarkStart w:id="1725" w:name="_Toc179632777"/>
      <w:bookmarkStart w:id="1726" w:name="_Toc144974729"/>
      <w:bookmarkStart w:id="1727" w:name="_Toc152042538"/>
      <w:bookmarkStart w:id="1728" w:name="_Toc30710"/>
      <w:r>
        <w:rPr>
          <w:rFonts w:hint="eastAsia" w:eastAsia="黑体"/>
          <w:color w:val="auto"/>
          <w:sz w:val="24"/>
          <w:szCs w:val="20"/>
        </w:rPr>
        <w:t>23.2 承包人索赔处理程序</w:t>
      </w:r>
      <w:bookmarkEnd w:id="1723"/>
      <w:bookmarkEnd w:id="1724"/>
      <w:bookmarkEnd w:id="1725"/>
      <w:bookmarkEnd w:id="1726"/>
      <w:bookmarkEnd w:id="1727"/>
      <w:bookmarkEnd w:id="1728"/>
    </w:p>
    <w:p>
      <w:pPr>
        <w:spacing w:line="400" w:lineRule="exact"/>
        <w:ind w:firstLine="359" w:firstLineChars="171"/>
        <w:rPr>
          <w:rFonts w:hint="eastAsia"/>
          <w:color w:val="auto"/>
        </w:rPr>
      </w:pPr>
      <w:r>
        <w:rPr>
          <w:rFonts w:hint="eastAsia"/>
          <w:color w:val="auto"/>
        </w:rPr>
        <w:t>（1）监理人收到承包人提交的索赔通知书后，应及时审查索赔通知书的内容、查验承包人的记录和证明材料，必要时监理人可要求承包人提交全部原始记录备份。</w:t>
      </w:r>
    </w:p>
    <w:p>
      <w:pPr>
        <w:spacing w:line="400" w:lineRule="exact"/>
        <w:ind w:firstLine="359" w:firstLineChars="171"/>
        <w:rPr>
          <w:rFonts w:hint="eastAsia"/>
          <w:color w:val="auto"/>
        </w:rPr>
      </w:pPr>
      <w:r>
        <w:rPr>
          <w:rFonts w:hint="eastAsia"/>
          <w:color w:val="auto"/>
        </w:rPr>
        <w:t>（2）监理人应按第3.5款商定或确定追加的付款和（或）延长的工期，并在收到上述索赔通知书或有关索赔的进一步证明材料后的42天内，将索赔处理结果答复承包人。</w:t>
      </w:r>
    </w:p>
    <w:p>
      <w:pPr>
        <w:spacing w:line="400" w:lineRule="exact"/>
        <w:ind w:firstLine="359" w:firstLineChars="171"/>
        <w:rPr>
          <w:rFonts w:hint="eastAsia"/>
          <w:color w:val="auto"/>
        </w:rPr>
      </w:pPr>
      <w:r>
        <w:rPr>
          <w:rFonts w:hint="eastAsia"/>
          <w:color w:val="auto"/>
        </w:rPr>
        <w:t>（3）承包人接受索赔处理结果的，发包人应在作出索赔处理结果答复后28天内完成赔付。承包人不接受索赔处理结果的，按第24条的约定办理。</w:t>
      </w:r>
    </w:p>
    <w:p>
      <w:pPr>
        <w:keepNext/>
        <w:keepLines/>
        <w:spacing w:line="400" w:lineRule="exact"/>
        <w:outlineLvl w:val="3"/>
        <w:rPr>
          <w:rFonts w:hint="eastAsia" w:eastAsia="黑体"/>
          <w:color w:val="auto"/>
          <w:sz w:val="24"/>
          <w:szCs w:val="20"/>
        </w:rPr>
      </w:pPr>
      <w:bookmarkStart w:id="1729" w:name="_Toc517172549"/>
      <w:bookmarkStart w:id="1730" w:name="_Toc152042539"/>
      <w:bookmarkStart w:id="1731" w:name="_Toc152045760"/>
      <w:bookmarkStart w:id="1732" w:name="_Toc179632778"/>
      <w:bookmarkStart w:id="1733" w:name="_Toc144974730"/>
      <w:bookmarkStart w:id="1734" w:name="_Toc11296"/>
      <w:r>
        <w:rPr>
          <w:rFonts w:hint="eastAsia" w:eastAsia="黑体"/>
          <w:color w:val="auto"/>
          <w:sz w:val="24"/>
          <w:szCs w:val="20"/>
        </w:rPr>
        <w:t>23.3 承包人提出索赔的期限</w:t>
      </w:r>
      <w:bookmarkEnd w:id="1729"/>
      <w:bookmarkEnd w:id="1730"/>
      <w:bookmarkEnd w:id="1731"/>
      <w:bookmarkEnd w:id="1732"/>
      <w:bookmarkEnd w:id="1733"/>
      <w:bookmarkEnd w:id="1734"/>
    </w:p>
    <w:p>
      <w:pPr>
        <w:spacing w:line="400" w:lineRule="exact"/>
        <w:ind w:firstLine="420" w:firstLineChars="200"/>
        <w:rPr>
          <w:rFonts w:hint="eastAsia"/>
          <w:color w:val="auto"/>
        </w:rPr>
      </w:pPr>
      <w:r>
        <w:rPr>
          <w:rFonts w:hint="eastAsia"/>
          <w:color w:val="auto"/>
        </w:rPr>
        <w:t>23.3.1 承包人按第17.5款的约定接受了完工付款证书后，应被认为已无权再提出在合同工程完工证书颁发前所发生的任何索赔。</w:t>
      </w:r>
    </w:p>
    <w:p>
      <w:pPr>
        <w:spacing w:line="400" w:lineRule="exact"/>
        <w:ind w:firstLine="420" w:firstLineChars="200"/>
        <w:rPr>
          <w:rFonts w:hint="eastAsia"/>
          <w:color w:val="auto"/>
          <w:shd w:val="pct10" w:color="auto" w:fill="FFFFFF"/>
        </w:rPr>
      </w:pPr>
      <w:r>
        <w:rPr>
          <w:rFonts w:hint="eastAsia"/>
          <w:color w:val="auto"/>
        </w:rPr>
        <w:t xml:space="preserve">23.3.2 承包人按第17.6款的约定提交的最终结清申请单中，只限于提出合同工程完工证书颁发后发生的索赔。提出索赔的期限自接受最终结清证书时终止。 </w:t>
      </w:r>
    </w:p>
    <w:p>
      <w:pPr>
        <w:keepNext/>
        <w:keepLines/>
        <w:spacing w:line="400" w:lineRule="exact"/>
        <w:outlineLvl w:val="3"/>
        <w:rPr>
          <w:rFonts w:hint="eastAsia" w:eastAsia="黑体"/>
          <w:color w:val="auto"/>
          <w:sz w:val="24"/>
          <w:szCs w:val="20"/>
        </w:rPr>
      </w:pPr>
      <w:bookmarkStart w:id="1735" w:name="_Toc144974731"/>
      <w:bookmarkStart w:id="1736" w:name="_Toc152045761"/>
      <w:bookmarkStart w:id="1737" w:name="_Toc179632779"/>
      <w:bookmarkStart w:id="1738" w:name="_Toc517172550"/>
      <w:bookmarkStart w:id="1739" w:name="_Toc7442"/>
      <w:bookmarkStart w:id="1740" w:name="_Toc152042540"/>
      <w:r>
        <w:rPr>
          <w:rFonts w:hint="eastAsia" w:eastAsia="黑体"/>
          <w:color w:val="auto"/>
          <w:sz w:val="24"/>
          <w:szCs w:val="20"/>
        </w:rPr>
        <w:t>23.4 发包人的索赔</w:t>
      </w:r>
      <w:bookmarkEnd w:id="1735"/>
      <w:bookmarkEnd w:id="1736"/>
      <w:bookmarkEnd w:id="1737"/>
      <w:bookmarkEnd w:id="1738"/>
      <w:bookmarkEnd w:id="1739"/>
      <w:bookmarkEnd w:id="1740"/>
    </w:p>
    <w:p>
      <w:pPr>
        <w:spacing w:line="400" w:lineRule="exact"/>
        <w:ind w:firstLine="420" w:firstLineChars="200"/>
        <w:rPr>
          <w:rFonts w:hint="eastAsia"/>
          <w:color w:val="auto"/>
        </w:rPr>
      </w:pPr>
      <w:r>
        <w:rPr>
          <w:rFonts w:hint="eastAsia"/>
          <w:color w:val="auto"/>
        </w:rPr>
        <w:t>23.4.1 发生索赔事件后，监理人应及时书面通知承包人，详细说明发包人有权得到的索赔金额和（或）延长缺陷责任期的细节和依据。发包人提出索赔的期限和要求与第23.3款的约定相同，延长缺陷责任期的通知应在缺陷责任期届满前发出。</w:t>
      </w:r>
    </w:p>
    <w:p>
      <w:pPr>
        <w:spacing w:line="400" w:lineRule="exact"/>
        <w:ind w:firstLine="420" w:firstLineChars="200"/>
        <w:rPr>
          <w:rFonts w:hint="eastAsia"/>
          <w:color w:val="auto"/>
        </w:rPr>
      </w:pPr>
      <w:r>
        <w:rPr>
          <w:rFonts w:hint="eastAsia"/>
          <w:color w:val="auto"/>
        </w:rPr>
        <w:t>23.4.2 监理人按第3.5款商定或确定发包人从承包人处得到赔付的金额和（或）缺陷责任期的延长期。承包人应付给发包人的金额可从拟支付给承包人的合同价款中扣除，或由承包人以其他方式支付给发包人。</w:t>
      </w:r>
    </w:p>
    <w:p>
      <w:pPr>
        <w:spacing w:line="400" w:lineRule="exact"/>
        <w:ind w:firstLine="420" w:firstLineChars="200"/>
        <w:rPr>
          <w:rFonts w:hint="eastAsia"/>
          <w:color w:val="auto"/>
        </w:rPr>
      </w:pPr>
      <w:r>
        <w:rPr>
          <w:color w:val="auto"/>
        </w:rPr>
        <w:t>2</w:t>
      </w:r>
      <w:r>
        <w:rPr>
          <w:rFonts w:hint="eastAsia"/>
          <w:color w:val="auto"/>
        </w:rPr>
        <w:t>3.4.3 承包人对监理人按第</w:t>
      </w:r>
      <w:r>
        <w:rPr>
          <w:color w:val="auto"/>
        </w:rPr>
        <w:t>2</w:t>
      </w:r>
      <w:r>
        <w:rPr>
          <w:rFonts w:hint="eastAsia"/>
          <w:color w:val="auto"/>
        </w:rPr>
        <w:t>3.4.1项发出的索赔书面通知内容持异议时，应在收到书面通知后的14天内，将持有异议的书面报告及其证明材料提交监理人。监理人应在收到承包人书面报告后的14天内，将异议的处理意见通知承包人，并按第</w:t>
      </w:r>
      <w:r>
        <w:rPr>
          <w:color w:val="auto"/>
        </w:rPr>
        <w:t>2</w:t>
      </w:r>
      <w:r>
        <w:rPr>
          <w:rFonts w:hint="eastAsia"/>
          <w:color w:val="auto"/>
        </w:rPr>
        <w:t>3.4.2项的约定执行赔付。若承包人不接受监理人的索赔处理意见，可按本合同第24条的规定办理。</w:t>
      </w:r>
      <w:bookmarkEnd w:id="1722"/>
    </w:p>
    <w:p>
      <w:pPr>
        <w:pStyle w:val="80"/>
        <w:spacing w:before="120" w:after="120" w:afterLines="50"/>
        <w:outlineLvl w:val="2"/>
        <w:rPr>
          <w:rFonts w:hint="eastAsia"/>
          <w:color w:val="auto"/>
        </w:rPr>
      </w:pPr>
      <w:bookmarkStart w:id="1741" w:name="_Toc222033876"/>
      <w:bookmarkStart w:id="1742" w:name="_Toc221951098"/>
      <w:bookmarkStart w:id="1743" w:name="_Toc222029525"/>
      <w:bookmarkStart w:id="1744" w:name="_Toc222031027"/>
      <w:bookmarkStart w:id="1745" w:name="_Toc229305385"/>
      <w:bookmarkStart w:id="1746" w:name="_Toc387753607"/>
      <w:bookmarkStart w:id="1747" w:name="_Toc517172551"/>
      <w:bookmarkStart w:id="1748" w:name="_Toc21081"/>
      <w:bookmarkStart w:id="1749" w:name="_Toc491089754"/>
      <w:bookmarkStart w:id="1750" w:name="_Toc222032694"/>
      <w:r>
        <w:rPr>
          <w:color w:val="auto"/>
        </w:rPr>
        <w:t xml:space="preserve">24. </w:t>
      </w:r>
      <w:r>
        <w:rPr>
          <w:rFonts w:hint="eastAsia"/>
          <w:color w:val="auto"/>
        </w:rPr>
        <w:t>争议的解决</w:t>
      </w:r>
      <w:bookmarkEnd w:id="1741"/>
      <w:bookmarkEnd w:id="1742"/>
      <w:bookmarkEnd w:id="1743"/>
      <w:bookmarkEnd w:id="1744"/>
      <w:bookmarkEnd w:id="1745"/>
      <w:bookmarkEnd w:id="1746"/>
      <w:bookmarkEnd w:id="1747"/>
      <w:bookmarkEnd w:id="1748"/>
      <w:bookmarkEnd w:id="1749"/>
      <w:bookmarkEnd w:id="1750"/>
    </w:p>
    <w:p>
      <w:pPr>
        <w:keepNext/>
        <w:keepLines/>
        <w:spacing w:line="400" w:lineRule="exact"/>
        <w:outlineLvl w:val="3"/>
        <w:rPr>
          <w:rFonts w:hint="eastAsia" w:eastAsia="黑体"/>
          <w:color w:val="auto"/>
          <w:sz w:val="24"/>
          <w:szCs w:val="20"/>
        </w:rPr>
      </w:pPr>
      <w:bookmarkStart w:id="1751" w:name="_Toc144974733"/>
      <w:bookmarkStart w:id="1752" w:name="_Toc152042542"/>
      <w:bookmarkStart w:id="1753" w:name="_Toc152045763"/>
      <w:bookmarkStart w:id="1754" w:name="_Toc179632781"/>
      <w:bookmarkStart w:id="1755" w:name="_Toc517172552"/>
      <w:bookmarkStart w:id="1756" w:name="_Toc18656"/>
      <w:r>
        <w:rPr>
          <w:rFonts w:hint="eastAsia" w:eastAsia="黑体"/>
          <w:color w:val="auto"/>
          <w:sz w:val="24"/>
          <w:szCs w:val="20"/>
        </w:rPr>
        <w:t>24.1 争议的解决方式</w:t>
      </w:r>
      <w:bookmarkEnd w:id="1751"/>
      <w:bookmarkEnd w:id="1752"/>
      <w:bookmarkEnd w:id="1753"/>
      <w:bookmarkEnd w:id="1754"/>
      <w:bookmarkEnd w:id="1755"/>
      <w:bookmarkEnd w:id="1756"/>
    </w:p>
    <w:p>
      <w:pPr>
        <w:spacing w:line="400" w:lineRule="exact"/>
        <w:ind w:firstLine="420" w:firstLineChars="200"/>
        <w:rPr>
          <w:rFonts w:hint="eastAsia"/>
          <w:color w:val="auto"/>
        </w:rPr>
      </w:pPr>
      <w:r>
        <w:rPr>
          <w:rFonts w:hint="eastAsia"/>
          <w:color w:val="auto"/>
        </w:rPr>
        <w:t>发包人和承包人在履行合同中发生争议的，可以友好协商解决或者提请争议评审组评审。合同当事人友好协商解决不成、不愿提请争议评审或者不接受争议评审组意见的，可在专用合同条款中约定下列一种方式解决。</w:t>
      </w:r>
    </w:p>
    <w:p>
      <w:pPr>
        <w:spacing w:line="400" w:lineRule="exact"/>
        <w:ind w:firstLine="420" w:firstLineChars="200"/>
        <w:rPr>
          <w:rFonts w:hint="eastAsia"/>
          <w:color w:val="auto"/>
        </w:rPr>
      </w:pPr>
      <w:r>
        <w:rPr>
          <w:rFonts w:hint="eastAsia"/>
          <w:color w:val="auto"/>
        </w:rPr>
        <w:t>（1）向约定的仲裁委员会申请仲裁；</w:t>
      </w:r>
    </w:p>
    <w:p>
      <w:pPr>
        <w:spacing w:line="400" w:lineRule="exact"/>
        <w:ind w:firstLine="420" w:firstLineChars="200"/>
        <w:rPr>
          <w:rFonts w:hint="eastAsia"/>
          <w:color w:val="auto"/>
        </w:rPr>
      </w:pPr>
      <w:r>
        <w:rPr>
          <w:rFonts w:hint="eastAsia"/>
          <w:color w:val="auto"/>
        </w:rPr>
        <w:t>（2）向有管辖权的人民法院提起诉讼。</w:t>
      </w:r>
    </w:p>
    <w:p>
      <w:pPr>
        <w:keepNext/>
        <w:keepLines/>
        <w:spacing w:line="400" w:lineRule="exact"/>
        <w:outlineLvl w:val="3"/>
        <w:rPr>
          <w:rFonts w:hint="eastAsia" w:eastAsia="黑体"/>
          <w:color w:val="auto"/>
          <w:sz w:val="24"/>
          <w:szCs w:val="20"/>
        </w:rPr>
      </w:pPr>
      <w:bookmarkStart w:id="1757" w:name="_Toc22054"/>
      <w:bookmarkStart w:id="1758" w:name="_Toc144974734"/>
      <w:bookmarkStart w:id="1759" w:name="_Toc152045764"/>
      <w:bookmarkStart w:id="1760" w:name="_Toc179632782"/>
      <w:bookmarkStart w:id="1761" w:name="_Toc517172553"/>
      <w:bookmarkStart w:id="1762" w:name="_Toc152042543"/>
      <w:r>
        <w:rPr>
          <w:rFonts w:hint="eastAsia" w:eastAsia="黑体"/>
          <w:color w:val="auto"/>
          <w:sz w:val="24"/>
          <w:szCs w:val="20"/>
        </w:rPr>
        <w:t>24.2 友好解决</w:t>
      </w:r>
      <w:bookmarkEnd w:id="1757"/>
      <w:bookmarkEnd w:id="1758"/>
      <w:bookmarkEnd w:id="1759"/>
      <w:bookmarkEnd w:id="1760"/>
      <w:bookmarkEnd w:id="1761"/>
      <w:bookmarkEnd w:id="1762"/>
    </w:p>
    <w:p>
      <w:pPr>
        <w:spacing w:line="400" w:lineRule="exact"/>
        <w:ind w:firstLine="420" w:firstLineChars="200"/>
        <w:rPr>
          <w:rFonts w:hint="eastAsia"/>
          <w:color w:val="auto"/>
        </w:rPr>
      </w:pPr>
      <w:r>
        <w:rPr>
          <w:rFonts w:hint="eastAsia"/>
          <w:color w:val="auto"/>
        </w:rPr>
        <w:t>在提请争议评审、仲裁或者诉讼前，以及在争议评审、仲裁或诉讼过程中，发包人和承包人均可共同努力友好协商解决争议。</w:t>
      </w:r>
    </w:p>
    <w:p>
      <w:pPr>
        <w:keepNext/>
        <w:keepLines/>
        <w:spacing w:line="400" w:lineRule="exact"/>
        <w:outlineLvl w:val="3"/>
        <w:rPr>
          <w:rFonts w:hint="eastAsia" w:eastAsia="黑体"/>
          <w:color w:val="auto"/>
          <w:sz w:val="24"/>
          <w:szCs w:val="20"/>
        </w:rPr>
      </w:pPr>
      <w:bookmarkStart w:id="1763" w:name="_Toc144974735"/>
      <w:bookmarkStart w:id="1764" w:name="_Toc152042544"/>
      <w:bookmarkStart w:id="1765" w:name="_Toc152045765"/>
      <w:bookmarkStart w:id="1766" w:name="_Toc179632783"/>
      <w:bookmarkStart w:id="1767" w:name="_Toc517172554"/>
      <w:bookmarkStart w:id="1768" w:name="_Toc32754"/>
      <w:r>
        <w:rPr>
          <w:rFonts w:hint="eastAsia" w:eastAsia="黑体"/>
          <w:color w:val="auto"/>
          <w:sz w:val="24"/>
          <w:szCs w:val="20"/>
        </w:rPr>
        <w:t>24.3 争议评审</w:t>
      </w:r>
      <w:bookmarkEnd w:id="1763"/>
      <w:bookmarkEnd w:id="1764"/>
      <w:bookmarkEnd w:id="1765"/>
      <w:bookmarkEnd w:id="1766"/>
      <w:bookmarkEnd w:id="1767"/>
      <w:bookmarkEnd w:id="1768"/>
    </w:p>
    <w:p>
      <w:pPr>
        <w:spacing w:line="400" w:lineRule="exact"/>
        <w:ind w:firstLine="420" w:firstLineChars="200"/>
        <w:rPr>
          <w:rFonts w:hint="eastAsia"/>
          <w:color w:val="auto"/>
        </w:rPr>
      </w:pPr>
      <w:r>
        <w:rPr>
          <w:rFonts w:hint="eastAsia"/>
          <w:color w:val="auto"/>
        </w:rPr>
        <w:t>24.3.1 采用争议评审的，发包人和承包人应在开工日后的28天内或在争议发生后，协商成立争议评审组。争议评审组由有合同管理和工程实践经验的专家组成。</w:t>
      </w:r>
    </w:p>
    <w:p>
      <w:pPr>
        <w:spacing w:line="400" w:lineRule="exact"/>
        <w:ind w:firstLine="420" w:firstLineChars="200"/>
        <w:rPr>
          <w:rFonts w:hint="eastAsia"/>
          <w:color w:val="auto"/>
        </w:rPr>
      </w:pPr>
      <w:r>
        <w:rPr>
          <w:rFonts w:hint="eastAsia"/>
          <w:color w:val="auto"/>
        </w:rPr>
        <w:t>24.3.2 合同双方的争议，应首先由申请人向争议评审组提交一份详细的评审申请报告，并附必要的文件、图纸和证明材料，申请人还应将上述报告的备份同时提交给被申请人和监理人。</w:t>
      </w:r>
    </w:p>
    <w:p>
      <w:pPr>
        <w:spacing w:line="400" w:lineRule="exact"/>
        <w:ind w:firstLine="420" w:firstLineChars="200"/>
        <w:rPr>
          <w:rFonts w:hint="eastAsia"/>
          <w:color w:val="auto"/>
        </w:rPr>
      </w:pPr>
      <w:r>
        <w:rPr>
          <w:rFonts w:hint="eastAsia"/>
          <w:color w:val="auto"/>
        </w:rPr>
        <w:t>24.3.3 被申请人在收到申请人评审申请报告备份后的28天内，向争议评审组提交一份答辩报告，并附证明材料。被申请人应将答辩报告的备份同时提交给申请人和监理人。</w:t>
      </w:r>
    </w:p>
    <w:p>
      <w:pPr>
        <w:spacing w:line="400" w:lineRule="exact"/>
        <w:ind w:firstLine="420" w:firstLineChars="200"/>
        <w:rPr>
          <w:rFonts w:hint="eastAsia"/>
          <w:color w:val="auto"/>
        </w:rPr>
      </w:pPr>
      <w:r>
        <w:rPr>
          <w:rFonts w:hint="eastAsia"/>
          <w:color w:val="auto"/>
        </w:rPr>
        <w:t>24.3.4 除专用合同条款另有约定外，争议评审组在收到合同双方报告后的14天内，邀请双方代表和有关人员举行调查会，向双方调查争议细节；必要时争议评审组可要求双方进一步提供补充材料。</w:t>
      </w:r>
    </w:p>
    <w:p>
      <w:pPr>
        <w:spacing w:line="400" w:lineRule="exact"/>
        <w:ind w:firstLine="420" w:firstLineChars="200"/>
        <w:rPr>
          <w:rFonts w:hint="eastAsia"/>
          <w:color w:val="auto"/>
        </w:rPr>
      </w:pPr>
      <w:r>
        <w:rPr>
          <w:rFonts w:hint="eastAsia"/>
          <w:color w:val="auto"/>
        </w:rPr>
        <w:t>24.3.5 除专用合同条款另有约定外，在调查会结束后的14天内，争议评审组应在不受任何干扰的情况下进行独立、公正的评审，作出书面评审意见，并说明理由。在争议评审期间，争议双方暂按总监理工程师的确定执行。</w:t>
      </w:r>
    </w:p>
    <w:p>
      <w:pPr>
        <w:spacing w:line="400" w:lineRule="exact"/>
        <w:ind w:firstLine="420" w:firstLineChars="200"/>
        <w:rPr>
          <w:rFonts w:hint="eastAsia"/>
          <w:color w:val="auto"/>
        </w:rPr>
      </w:pPr>
      <w:r>
        <w:rPr>
          <w:rFonts w:hint="eastAsia"/>
          <w:color w:val="auto"/>
        </w:rPr>
        <w:t>24.3.6 发包人和承包人接受评审意见的，由监理人根据评审意见拟定执行协议，经争议双方签字后作为合同的补充文件，并遵照执行。</w:t>
      </w:r>
    </w:p>
    <w:p>
      <w:pPr>
        <w:spacing w:line="400" w:lineRule="exact"/>
        <w:ind w:firstLine="420" w:firstLineChars="200"/>
        <w:rPr>
          <w:rFonts w:hint="eastAsia"/>
          <w:color w:val="auto"/>
        </w:rPr>
      </w:pPr>
      <w:r>
        <w:rPr>
          <w:rFonts w:hint="eastAsia"/>
          <w:color w:val="auto"/>
        </w:rPr>
        <w:t>24.3.7 发包人或承包人不接受评审意见，并要求提交仲裁或提起诉讼的，应在收到评审意见后的14天内将仲裁或起诉意向书面通知另一方，并抄送监理人，但在仲裁或诉讼结束前应暂按总监理工程师的确定执行。</w:t>
      </w:r>
    </w:p>
    <w:p>
      <w:pPr>
        <w:keepNext/>
        <w:keepLines/>
        <w:spacing w:line="400" w:lineRule="exact"/>
        <w:outlineLvl w:val="3"/>
        <w:rPr>
          <w:rFonts w:hint="eastAsia" w:eastAsia="黑体"/>
          <w:color w:val="auto"/>
          <w:sz w:val="24"/>
          <w:szCs w:val="20"/>
        </w:rPr>
      </w:pPr>
      <w:bookmarkStart w:id="1769" w:name="_Toc491089755"/>
      <w:bookmarkStart w:id="1770" w:name="_Toc221951107"/>
      <w:bookmarkStart w:id="1771" w:name="_Toc24869"/>
      <w:bookmarkStart w:id="1772" w:name="_Toc517172555"/>
      <w:r>
        <w:rPr>
          <w:rFonts w:hint="eastAsia" w:eastAsia="黑体"/>
          <w:color w:val="auto"/>
          <w:sz w:val="24"/>
          <w:szCs w:val="20"/>
        </w:rPr>
        <w:t>24.4 仲裁</w:t>
      </w:r>
      <w:bookmarkEnd w:id="1769"/>
      <w:bookmarkEnd w:id="1770"/>
      <w:bookmarkEnd w:id="1771"/>
      <w:bookmarkEnd w:id="1772"/>
      <w:r>
        <w:rPr>
          <w:rFonts w:hint="eastAsia" w:eastAsia="黑体"/>
          <w:color w:val="auto"/>
          <w:sz w:val="24"/>
          <w:szCs w:val="20"/>
        </w:rPr>
        <w:t xml:space="preserve"> </w:t>
      </w:r>
    </w:p>
    <w:p>
      <w:pPr>
        <w:spacing w:line="400" w:lineRule="exact"/>
        <w:ind w:firstLine="420" w:firstLineChars="200"/>
        <w:rPr>
          <w:rFonts w:hint="eastAsia"/>
          <w:color w:val="auto"/>
        </w:rPr>
      </w:pPr>
      <w:bookmarkStart w:id="1773" w:name="_Toc221951108"/>
      <w:r>
        <w:rPr>
          <w:rFonts w:hint="eastAsia"/>
          <w:color w:val="auto"/>
        </w:rPr>
        <w:t>24.4.1若合同双方商定直接向仲裁机构申请仲裁，应签订仲裁协议并约定仲裁机构。</w:t>
      </w:r>
      <w:bookmarkEnd w:id="1773"/>
    </w:p>
    <w:p>
      <w:pPr>
        <w:spacing w:line="400" w:lineRule="exact"/>
        <w:ind w:firstLine="420" w:firstLineChars="200"/>
        <w:rPr>
          <w:rFonts w:hint="eastAsia"/>
          <w:color w:val="auto"/>
        </w:rPr>
      </w:pPr>
      <w:bookmarkStart w:id="1774" w:name="_Toc221951109"/>
      <w:r>
        <w:rPr>
          <w:rFonts w:hint="eastAsia"/>
          <w:color w:val="auto"/>
        </w:rPr>
        <w:t>24.4.2若合同双方未能达成仲裁协议，则本合同的仲裁条款无效，任一方均有权向人民法院提起诉讼。</w:t>
      </w:r>
      <w:bookmarkEnd w:id="1774"/>
      <w:r>
        <w:rPr>
          <w:rFonts w:hint="eastAsia"/>
          <w:color w:val="auto"/>
        </w:rPr>
        <w:t xml:space="preserve"> </w:t>
      </w:r>
    </w:p>
    <w:p>
      <w:pPr>
        <w:spacing w:line="360" w:lineRule="auto"/>
        <w:ind w:right="248" w:firstLine="480"/>
        <w:rPr>
          <w:rFonts w:hint="eastAsia" w:ascii="楷体_GB2312" w:eastAsia="楷体_GB2312"/>
          <w:color w:val="auto"/>
          <w:sz w:val="24"/>
        </w:rPr>
      </w:pPr>
      <w:r>
        <w:rPr>
          <w:rFonts w:hint="eastAsia" w:ascii="楷体_GB2312" w:eastAsia="楷体_GB2312"/>
          <w:color w:val="auto"/>
          <w:sz w:val="24"/>
        </w:rPr>
        <w:t xml:space="preserve"> </w:t>
      </w: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autoSpaceDE w:val="0"/>
        <w:autoSpaceDN w:val="0"/>
        <w:adjustRightInd w:val="0"/>
        <w:jc w:val="left"/>
        <w:rPr>
          <w:rFonts w:hint="eastAsia"/>
          <w:color w:val="auto"/>
        </w:rPr>
      </w:pPr>
    </w:p>
    <w:p>
      <w:pPr>
        <w:pStyle w:val="80"/>
        <w:spacing w:before="120" w:after="120" w:afterLines="50"/>
        <w:jc w:val="center"/>
        <w:rPr>
          <w:rFonts w:hint="eastAsia"/>
          <w:color w:val="auto"/>
        </w:rPr>
      </w:pPr>
      <w:r>
        <w:rPr>
          <w:color w:val="auto"/>
        </w:rPr>
        <w:br w:type="page"/>
      </w:r>
      <w:bookmarkStart w:id="1775" w:name="_Toc221948340"/>
      <w:bookmarkStart w:id="1776" w:name="_Toc221951110"/>
      <w:bookmarkStart w:id="1777" w:name="_Toc222033877"/>
      <w:bookmarkStart w:id="1778" w:name="_Toc222029526"/>
      <w:bookmarkStart w:id="1779" w:name="_Toc222031028"/>
      <w:bookmarkStart w:id="1780" w:name="_Toc222032695"/>
      <w:bookmarkStart w:id="1781" w:name="_Toc387753608"/>
      <w:bookmarkStart w:id="1782" w:name="_Toc491089756"/>
      <w:bookmarkStart w:id="1783" w:name="_Toc26490"/>
      <w:bookmarkStart w:id="1784" w:name="_Toc229305386"/>
      <w:r>
        <w:rPr>
          <w:rFonts w:hint="eastAsia"/>
          <w:color w:val="auto"/>
        </w:rPr>
        <w:t>第2节 专用合同条款</w:t>
      </w:r>
      <w:bookmarkEnd w:id="1775"/>
      <w:bookmarkEnd w:id="1776"/>
      <w:bookmarkEnd w:id="1777"/>
      <w:bookmarkEnd w:id="1778"/>
      <w:bookmarkEnd w:id="1779"/>
      <w:bookmarkEnd w:id="1780"/>
      <w:bookmarkEnd w:id="1781"/>
      <w:bookmarkEnd w:id="1782"/>
      <w:bookmarkEnd w:id="1783"/>
      <w:bookmarkEnd w:id="1784"/>
    </w:p>
    <w:p>
      <w:pPr>
        <w:spacing w:line="360" w:lineRule="auto"/>
        <w:ind w:right="248"/>
        <w:rPr>
          <w:rFonts w:hint="eastAsia" w:ascii="宋体"/>
          <w:color w:val="auto"/>
          <w:sz w:val="24"/>
        </w:rPr>
      </w:pPr>
    </w:p>
    <w:p>
      <w:pPr>
        <w:pStyle w:val="80"/>
        <w:spacing w:before="120" w:after="120" w:afterLines="50"/>
        <w:outlineLvl w:val="2"/>
        <w:rPr>
          <w:rFonts w:hint="eastAsia"/>
          <w:color w:val="auto"/>
        </w:rPr>
      </w:pPr>
      <w:bookmarkStart w:id="1785" w:name="_Toc229305387"/>
      <w:bookmarkStart w:id="1786" w:name="_Toc221951111"/>
      <w:bookmarkStart w:id="1787" w:name="_Toc222029527"/>
      <w:bookmarkStart w:id="1788" w:name="_Toc222031029"/>
      <w:bookmarkStart w:id="1789" w:name="_Toc222032696"/>
      <w:bookmarkStart w:id="1790" w:name="_Toc491089757"/>
      <w:bookmarkStart w:id="1791" w:name="_Toc517172557"/>
      <w:bookmarkStart w:id="1792" w:name="_Toc17822"/>
      <w:bookmarkStart w:id="1793" w:name="_Toc222033878"/>
      <w:r>
        <w:rPr>
          <w:rFonts w:hint="eastAsia"/>
          <w:color w:val="auto"/>
        </w:rPr>
        <w:t>1. 一般约定</w:t>
      </w:r>
      <w:bookmarkEnd w:id="1785"/>
      <w:bookmarkEnd w:id="1786"/>
      <w:bookmarkEnd w:id="1787"/>
      <w:bookmarkEnd w:id="1788"/>
      <w:bookmarkEnd w:id="1789"/>
      <w:bookmarkEnd w:id="1790"/>
      <w:bookmarkEnd w:id="1791"/>
      <w:bookmarkEnd w:id="1792"/>
      <w:bookmarkEnd w:id="1793"/>
    </w:p>
    <w:p>
      <w:pPr>
        <w:keepNext/>
        <w:keepLines/>
        <w:spacing w:line="400" w:lineRule="exact"/>
        <w:outlineLvl w:val="3"/>
        <w:rPr>
          <w:rFonts w:hint="eastAsia" w:eastAsia="黑体"/>
          <w:color w:val="auto"/>
          <w:sz w:val="24"/>
          <w:szCs w:val="20"/>
        </w:rPr>
      </w:pPr>
      <w:bookmarkStart w:id="1794" w:name="_Toc517172558"/>
      <w:bookmarkStart w:id="1795" w:name="_Toc19192"/>
      <w:bookmarkStart w:id="1796" w:name="_Toc221951112"/>
      <w:r>
        <w:rPr>
          <w:rFonts w:eastAsia="黑体"/>
          <w:color w:val="auto"/>
          <w:sz w:val="24"/>
          <w:szCs w:val="20"/>
        </w:rPr>
        <w:t xml:space="preserve">1.1 </w:t>
      </w:r>
      <w:r>
        <w:rPr>
          <w:rFonts w:hint="eastAsia" w:eastAsia="黑体"/>
          <w:color w:val="auto"/>
          <w:sz w:val="24"/>
          <w:szCs w:val="20"/>
        </w:rPr>
        <w:t>词语定义</w:t>
      </w:r>
      <w:bookmarkEnd w:id="1794"/>
      <w:bookmarkEnd w:id="1795"/>
      <w:bookmarkEnd w:id="1796"/>
    </w:p>
    <w:p>
      <w:pPr>
        <w:spacing w:line="400" w:lineRule="exact"/>
        <w:rPr>
          <w:rFonts w:hint="eastAsia"/>
          <w:color w:val="auto"/>
        </w:rPr>
      </w:pPr>
      <w:bookmarkStart w:id="1797" w:name="_Toc221951113"/>
      <w:bookmarkStart w:id="1798" w:name="_Toc387753609"/>
      <w:r>
        <w:rPr>
          <w:rFonts w:hint="eastAsia"/>
          <w:color w:val="auto"/>
        </w:rPr>
        <w:t>1.1.2  合同当事人和人员</w:t>
      </w:r>
      <w:bookmarkEnd w:id="1797"/>
      <w:bookmarkEnd w:id="1798"/>
    </w:p>
    <w:p>
      <w:pPr>
        <w:spacing w:line="400" w:lineRule="exact"/>
        <w:rPr>
          <w:rFonts w:hint="eastAsia" w:ascii="宋体" w:hAnsi="宋体"/>
          <w:color w:val="auto"/>
          <w:szCs w:val="21"/>
        </w:rPr>
      </w:pPr>
      <w:bookmarkStart w:id="1799" w:name="_Toc221951114"/>
      <w:r>
        <w:rPr>
          <w:rFonts w:hint="eastAsia" w:ascii="宋体" w:hAnsi="宋体"/>
          <w:color w:val="auto"/>
          <w:szCs w:val="21"/>
        </w:rPr>
        <w:t>1.1.2.2  发包人：</w:t>
      </w:r>
      <w:r>
        <w:rPr>
          <w:rFonts w:hint="eastAsia" w:ascii="宋体" w:hAnsi="宋体"/>
          <w:color w:val="auto"/>
          <w:szCs w:val="21"/>
          <w:u w:val="single"/>
        </w:rPr>
        <w:t xml:space="preserve">             (填入发包人的名称)       </w:t>
      </w:r>
      <w:r>
        <w:rPr>
          <w:rFonts w:hint="eastAsia" w:ascii="宋体" w:hAnsi="宋体"/>
          <w:color w:val="auto"/>
          <w:szCs w:val="21"/>
        </w:rPr>
        <w:t>。</w:t>
      </w:r>
      <w:bookmarkEnd w:id="1799"/>
    </w:p>
    <w:p>
      <w:pPr>
        <w:spacing w:line="400" w:lineRule="exact"/>
        <w:rPr>
          <w:rFonts w:hint="eastAsia" w:ascii="宋体" w:hAnsi="宋体"/>
          <w:color w:val="auto"/>
          <w:szCs w:val="21"/>
        </w:rPr>
      </w:pPr>
      <w:bookmarkStart w:id="1800" w:name="_Toc221951115"/>
      <w:r>
        <w:rPr>
          <w:rFonts w:hint="eastAsia" w:ascii="宋体" w:hAnsi="宋体"/>
          <w:color w:val="auto"/>
          <w:szCs w:val="21"/>
        </w:rPr>
        <w:t>1.1.2.3  承包人：</w:t>
      </w:r>
      <w:r>
        <w:rPr>
          <w:rFonts w:hint="eastAsia" w:ascii="宋体" w:hAnsi="宋体"/>
          <w:color w:val="auto"/>
          <w:szCs w:val="21"/>
          <w:u w:val="single"/>
        </w:rPr>
        <w:t xml:space="preserve">          (签约后填入承包人的名称)    </w:t>
      </w:r>
      <w:r>
        <w:rPr>
          <w:rFonts w:hint="eastAsia" w:ascii="宋体" w:hAnsi="宋体"/>
          <w:color w:val="auto"/>
          <w:szCs w:val="21"/>
        </w:rPr>
        <w:t>。</w:t>
      </w:r>
      <w:bookmarkEnd w:id="1800"/>
    </w:p>
    <w:p>
      <w:pPr>
        <w:spacing w:line="400" w:lineRule="exact"/>
        <w:rPr>
          <w:rFonts w:hint="eastAsia" w:ascii="宋体" w:hAnsi="宋体"/>
          <w:color w:val="auto"/>
          <w:szCs w:val="21"/>
        </w:rPr>
      </w:pPr>
      <w:bookmarkStart w:id="1801" w:name="_Toc221951116"/>
      <w:r>
        <w:rPr>
          <w:rFonts w:hint="eastAsia" w:ascii="宋体" w:hAnsi="宋体"/>
          <w:color w:val="auto"/>
          <w:szCs w:val="21"/>
        </w:rPr>
        <w:t>1.1.2.5  分包人：</w:t>
      </w:r>
      <w:r>
        <w:rPr>
          <w:rFonts w:hint="eastAsia" w:ascii="宋体" w:hAnsi="宋体"/>
          <w:color w:val="auto"/>
          <w:szCs w:val="21"/>
          <w:u w:val="single"/>
        </w:rPr>
        <w:t xml:space="preserve">          (签约后填入分包人的名称)    </w:t>
      </w:r>
      <w:r>
        <w:rPr>
          <w:rFonts w:hint="eastAsia" w:ascii="宋体" w:hAnsi="宋体"/>
          <w:color w:val="auto"/>
          <w:szCs w:val="21"/>
        </w:rPr>
        <w:t>。</w:t>
      </w:r>
      <w:bookmarkEnd w:id="1801"/>
    </w:p>
    <w:p>
      <w:pPr>
        <w:spacing w:line="400" w:lineRule="exact"/>
        <w:rPr>
          <w:rFonts w:hint="eastAsia" w:ascii="宋体" w:hAnsi="宋体"/>
          <w:color w:val="auto"/>
          <w:szCs w:val="21"/>
        </w:rPr>
      </w:pPr>
      <w:bookmarkStart w:id="1802" w:name="_Toc221951117"/>
      <w:r>
        <w:rPr>
          <w:rFonts w:hint="eastAsia" w:ascii="宋体" w:hAnsi="宋体"/>
          <w:color w:val="auto"/>
          <w:szCs w:val="21"/>
        </w:rPr>
        <w:t>1.1.2.6  监理人：</w:t>
      </w:r>
      <w:r>
        <w:rPr>
          <w:rFonts w:hint="eastAsia" w:ascii="宋体" w:hAnsi="宋体"/>
          <w:color w:val="auto"/>
          <w:szCs w:val="21"/>
          <w:u w:val="single"/>
        </w:rPr>
        <w:t xml:space="preserve">              </w:t>
      </w:r>
      <w:r>
        <w:rPr>
          <w:rFonts w:ascii="宋体" w:hAnsi="宋体"/>
          <w:color w:val="auto"/>
          <w:szCs w:val="21"/>
          <w:u w:val="single"/>
        </w:rPr>
        <w:t>(</w:t>
      </w:r>
      <w:r>
        <w:rPr>
          <w:rFonts w:hint="eastAsia" w:ascii="宋体" w:hAnsi="宋体"/>
          <w:color w:val="auto"/>
          <w:szCs w:val="21"/>
          <w:u w:val="single"/>
        </w:rPr>
        <w:t>填入监理人名称</w:t>
      </w:r>
      <w:r>
        <w:rPr>
          <w:rFonts w:ascii="宋体" w:hAnsi="宋体"/>
          <w:color w:val="auto"/>
          <w:szCs w:val="21"/>
          <w:u w:val="single"/>
        </w:rPr>
        <w:t>)</w:t>
      </w:r>
      <w:r>
        <w:rPr>
          <w:rFonts w:hint="eastAsia" w:ascii="宋体" w:hAnsi="宋体"/>
          <w:color w:val="auto"/>
          <w:szCs w:val="21"/>
          <w:u w:val="single"/>
        </w:rPr>
        <w:t xml:space="preserve">        </w:t>
      </w:r>
      <w:r>
        <w:rPr>
          <w:rFonts w:hint="eastAsia" w:ascii="宋体" w:hAnsi="宋体"/>
          <w:color w:val="auto"/>
          <w:szCs w:val="21"/>
        </w:rPr>
        <w:t>。</w:t>
      </w:r>
      <w:bookmarkEnd w:id="1802"/>
    </w:p>
    <w:p>
      <w:pPr>
        <w:spacing w:line="400" w:lineRule="exact"/>
        <w:rPr>
          <w:rFonts w:hint="eastAsia" w:ascii="宋体" w:hAnsi="宋体"/>
          <w:color w:val="auto"/>
          <w:szCs w:val="21"/>
        </w:rPr>
      </w:pPr>
      <w:bookmarkStart w:id="1803" w:name="_Toc221951125"/>
      <w:r>
        <w:rPr>
          <w:rFonts w:ascii="宋体" w:hAnsi="宋体"/>
          <w:color w:val="auto"/>
          <w:szCs w:val="21"/>
        </w:rPr>
        <w:t>1</w:t>
      </w: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r>
        <w:rPr>
          <w:rFonts w:ascii="宋体" w:hAnsi="宋体"/>
          <w:color w:val="auto"/>
          <w:szCs w:val="21"/>
        </w:rPr>
        <w:t xml:space="preserve">4  </w:t>
      </w:r>
      <w:r>
        <w:rPr>
          <w:rFonts w:hint="eastAsia" w:ascii="宋体" w:hAnsi="宋体"/>
          <w:color w:val="auto"/>
          <w:szCs w:val="21"/>
        </w:rPr>
        <w:t>日期</w:t>
      </w:r>
      <w:bookmarkEnd w:id="1803"/>
    </w:p>
    <w:p>
      <w:pPr>
        <w:spacing w:line="400" w:lineRule="exact"/>
        <w:rPr>
          <w:rFonts w:hint="eastAsia" w:ascii="宋体" w:hAnsi="宋体"/>
          <w:color w:val="auto"/>
          <w:szCs w:val="21"/>
        </w:rPr>
      </w:pPr>
      <w:bookmarkStart w:id="1804" w:name="_Toc221951126"/>
      <w:r>
        <w:rPr>
          <w:rFonts w:ascii="宋体" w:hAnsi="宋体"/>
          <w:color w:val="auto"/>
          <w:szCs w:val="21"/>
        </w:rPr>
        <w:t>1</w:t>
      </w: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r>
        <w:rPr>
          <w:rFonts w:ascii="宋体" w:hAnsi="宋体"/>
          <w:color w:val="auto"/>
          <w:szCs w:val="21"/>
        </w:rPr>
        <w:t>4</w:t>
      </w:r>
      <w:r>
        <w:rPr>
          <w:rFonts w:hint="eastAsia" w:ascii="宋体" w:hAnsi="宋体"/>
          <w:color w:val="auto"/>
          <w:szCs w:val="21"/>
        </w:rPr>
        <w:t>.</w:t>
      </w:r>
      <w:r>
        <w:rPr>
          <w:rFonts w:ascii="宋体" w:hAnsi="宋体"/>
          <w:color w:val="auto"/>
          <w:szCs w:val="21"/>
        </w:rPr>
        <w:t>5</w:t>
      </w:r>
      <w:r>
        <w:rPr>
          <w:rFonts w:hint="eastAsia" w:ascii="宋体" w:hAnsi="宋体"/>
          <w:color w:val="auto"/>
          <w:szCs w:val="21"/>
        </w:rPr>
        <w:t xml:space="preserve">  缺陷责任期（工程质量保修期）：</w:t>
      </w:r>
      <w:r>
        <w:rPr>
          <w:rFonts w:hint="eastAsia" w:ascii="宋体" w:hAnsi="宋体"/>
          <w:color w:val="auto"/>
          <w:szCs w:val="21"/>
          <w:u w:val="single"/>
        </w:rPr>
        <w:t xml:space="preserve">                 </w:t>
      </w:r>
      <w:r>
        <w:rPr>
          <w:rFonts w:hint="eastAsia" w:ascii="宋体" w:hAnsi="宋体"/>
          <w:color w:val="auto"/>
          <w:szCs w:val="21"/>
        </w:rPr>
        <w:t>。</w:t>
      </w:r>
      <w:bookmarkEnd w:id="1804"/>
    </w:p>
    <w:p>
      <w:pPr>
        <w:keepNext/>
        <w:keepLines/>
        <w:spacing w:line="400" w:lineRule="exact"/>
        <w:outlineLvl w:val="3"/>
        <w:rPr>
          <w:rFonts w:hint="eastAsia" w:eastAsia="黑体"/>
          <w:color w:val="auto"/>
          <w:sz w:val="24"/>
          <w:szCs w:val="20"/>
        </w:rPr>
      </w:pPr>
      <w:bookmarkStart w:id="1805" w:name="_Toc221951127"/>
      <w:bookmarkStart w:id="1806" w:name="_Toc517172559"/>
      <w:bookmarkStart w:id="1807" w:name="_Toc16901"/>
      <w:r>
        <w:rPr>
          <w:rFonts w:hint="eastAsia" w:eastAsia="黑体"/>
          <w:color w:val="auto"/>
          <w:sz w:val="24"/>
          <w:szCs w:val="20"/>
        </w:rPr>
        <w:t>1.4 合同文件的优先顺序</w:t>
      </w:r>
      <w:bookmarkEnd w:id="1805"/>
      <w:bookmarkEnd w:id="1806"/>
      <w:bookmarkEnd w:id="1807"/>
    </w:p>
    <w:p>
      <w:pPr>
        <w:spacing w:line="400" w:lineRule="exact"/>
        <w:rPr>
          <w:rFonts w:hint="eastAsia" w:ascii="宋体" w:hAnsi="宋体"/>
          <w:color w:val="auto"/>
          <w:szCs w:val="21"/>
        </w:rPr>
      </w:pPr>
      <w:bookmarkStart w:id="1808" w:name="_Toc221951128"/>
      <w:r>
        <w:rPr>
          <w:rFonts w:hint="eastAsia" w:ascii="宋体" w:hAnsi="宋体"/>
          <w:color w:val="auto"/>
          <w:szCs w:val="21"/>
        </w:rPr>
        <w:t>进入合同的各项文件及其优先顺序</w:t>
      </w:r>
      <w:bookmarkEnd w:id="1808"/>
      <w:r>
        <w:rPr>
          <w:rFonts w:hint="eastAsia" w:ascii="宋体" w:hAnsi="宋体"/>
          <w:color w:val="auto"/>
          <w:szCs w:val="21"/>
        </w:rPr>
        <w:t>是</w:t>
      </w:r>
      <w:r>
        <w:rPr>
          <w:rFonts w:hint="eastAsia" w:ascii="宋体" w:hAnsi="宋体"/>
          <w:color w:val="auto"/>
          <w:szCs w:val="21"/>
          <w:u w:val="single"/>
        </w:rPr>
        <w:t xml:space="preserve">                       </w:t>
      </w:r>
      <w:r>
        <w:rPr>
          <w:rFonts w:hint="eastAsia" w:ascii="宋体" w:hAnsi="宋体"/>
          <w:color w:val="auto"/>
          <w:szCs w:val="21"/>
        </w:rPr>
        <w:t>。</w:t>
      </w:r>
    </w:p>
    <w:p>
      <w:pPr>
        <w:keepNext/>
        <w:keepLines/>
        <w:spacing w:line="400" w:lineRule="exact"/>
        <w:outlineLvl w:val="3"/>
        <w:rPr>
          <w:rFonts w:hint="eastAsia" w:ascii="黑体" w:hAnsi="黑体" w:eastAsia="黑体"/>
          <w:color w:val="auto"/>
          <w:sz w:val="24"/>
          <w:szCs w:val="20"/>
        </w:rPr>
      </w:pPr>
      <w:bookmarkStart w:id="1809" w:name="_Toc221951129"/>
      <w:bookmarkStart w:id="1810" w:name="_Toc517172560"/>
      <w:bookmarkStart w:id="1811" w:name="_Toc21565"/>
      <w:r>
        <w:rPr>
          <w:rFonts w:hint="eastAsia" w:ascii="黑体" w:hAnsi="黑体" w:eastAsia="黑体"/>
          <w:color w:val="auto"/>
          <w:sz w:val="24"/>
          <w:szCs w:val="20"/>
        </w:rPr>
        <w:t>1.7 联络</w:t>
      </w:r>
      <w:bookmarkEnd w:id="1809"/>
      <w:bookmarkEnd w:id="1810"/>
      <w:bookmarkEnd w:id="1811"/>
    </w:p>
    <w:p>
      <w:pPr>
        <w:rPr>
          <w:rFonts w:hint="eastAsia"/>
          <w:color w:val="auto"/>
        </w:rPr>
      </w:pPr>
      <w:bookmarkStart w:id="1812" w:name="_Toc221951130"/>
      <w:bookmarkStart w:id="1813" w:name="_Toc387753610"/>
      <w:r>
        <w:rPr>
          <w:color w:val="auto"/>
        </w:rPr>
        <w:t>1</w:t>
      </w:r>
      <w:r>
        <w:rPr>
          <w:rFonts w:hint="eastAsia"/>
          <w:color w:val="auto"/>
        </w:rPr>
        <w:t>.</w:t>
      </w:r>
      <w:r>
        <w:rPr>
          <w:color w:val="auto"/>
        </w:rPr>
        <w:t>7</w:t>
      </w:r>
      <w:r>
        <w:rPr>
          <w:rFonts w:hint="eastAsia"/>
          <w:color w:val="auto"/>
        </w:rPr>
        <w:t>.</w:t>
      </w:r>
      <w:r>
        <w:rPr>
          <w:color w:val="auto"/>
        </w:rPr>
        <w:t>2</w:t>
      </w:r>
      <w:r>
        <w:rPr>
          <w:rFonts w:hint="eastAsia"/>
          <w:color w:val="auto"/>
        </w:rPr>
        <w:t xml:space="preserve">  来往函件均应按技术标准和要求（合同技术条款）约定的期限送达  (填写文件送达地点)  。</w:t>
      </w:r>
      <w:bookmarkEnd w:id="1812"/>
      <w:bookmarkEnd w:id="1813"/>
    </w:p>
    <w:p>
      <w:pPr>
        <w:pStyle w:val="80"/>
        <w:spacing w:before="120" w:after="120" w:afterLines="50"/>
        <w:outlineLvl w:val="2"/>
        <w:rPr>
          <w:rFonts w:hint="eastAsia"/>
          <w:color w:val="auto"/>
        </w:rPr>
      </w:pPr>
      <w:bookmarkStart w:id="1814" w:name="_Toc222029528"/>
      <w:bookmarkStart w:id="1815" w:name="_Toc221951131"/>
      <w:bookmarkStart w:id="1816" w:name="_Toc222033879"/>
      <w:bookmarkStart w:id="1817" w:name="_Toc222032697"/>
      <w:bookmarkStart w:id="1818" w:name="_Toc222031030"/>
      <w:bookmarkStart w:id="1819" w:name="_Toc491089758"/>
      <w:bookmarkStart w:id="1820" w:name="_Toc229305388"/>
      <w:bookmarkStart w:id="1821" w:name="_Toc20843"/>
      <w:bookmarkStart w:id="1822" w:name="_Toc517172561"/>
      <w:r>
        <w:rPr>
          <w:rFonts w:hint="eastAsia"/>
          <w:color w:val="auto"/>
        </w:rPr>
        <w:t>2. 发包人义务</w:t>
      </w:r>
      <w:bookmarkEnd w:id="1814"/>
      <w:bookmarkEnd w:id="1815"/>
      <w:bookmarkEnd w:id="1816"/>
      <w:bookmarkEnd w:id="1817"/>
      <w:bookmarkEnd w:id="1818"/>
      <w:bookmarkEnd w:id="1819"/>
      <w:bookmarkEnd w:id="1820"/>
      <w:bookmarkEnd w:id="1821"/>
      <w:bookmarkEnd w:id="1822"/>
    </w:p>
    <w:p>
      <w:pPr>
        <w:keepNext/>
        <w:keepLines/>
        <w:spacing w:line="400" w:lineRule="exact"/>
        <w:outlineLvl w:val="3"/>
        <w:rPr>
          <w:rFonts w:hint="eastAsia" w:eastAsia="黑体"/>
          <w:color w:val="auto"/>
          <w:sz w:val="24"/>
          <w:szCs w:val="20"/>
        </w:rPr>
      </w:pPr>
      <w:bookmarkStart w:id="1823" w:name="_Toc221951132"/>
      <w:bookmarkStart w:id="1824" w:name="_Toc517172562"/>
      <w:bookmarkStart w:id="1825" w:name="_Toc12431"/>
      <w:r>
        <w:rPr>
          <w:rFonts w:hint="eastAsia" w:eastAsia="黑体"/>
          <w:color w:val="auto"/>
          <w:sz w:val="24"/>
          <w:szCs w:val="20"/>
        </w:rPr>
        <w:t>2.3</w:t>
      </w:r>
      <w:r>
        <w:rPr>
          <w:rFonts w:eastAsia="黑体"/>
          <w:color w:val="auto"/>
          <w:sz w:val="24"/>
          <w:szCs w:val="20"/>
        </w:rPr>
        <w:t xml:space="preserve"> </w:t>
      </w:r>
      <w:r>
        <w:rPr>
          <w:rFonts w:hint="eastAsia" w:eastAsia="黑体"/>
          <w:color w:val="auto"/>
          <w:sz w:val="24"/>
          <w:szCs w:val="20"/>
        </w:rPr>
        <w:t>提供施工场地</w:t>
      </w:r>
      <w:bookmarkEnd w:id="1823"/>
      <w:bookmarkEnd w:id="1824"/>
      <w:bookmarkEnd w:id="1825"/>
    </w:p>
    <w:p>
      <w:pPr>
        <w:spacing w:line="400" w:lineRule="exact"/>
        <w:ind w:right="248" w:firstLine="480"/>
        <w:rPr>
          <w:rFonts w:hint="eastAsia"/>
          <w:bCs/>
          <w:color w:val="auto"/>
          <w:sz w:val="24"/>
        </w:rPr>
      </w:pPr>
      <w:bookmarkStart w:id="1826" w:name="_Toc221951133"/>
      <w:r>
        <w:rPr>
          <w:rFonts w:hint="eastAsia" w:ascii="宋体"/>
          <w:color w:val="auto"/>
          <w:szCs w:val="21"/>
        </w:rPr>
        <w:t>2.3.2发包人提供的施工场地范围为：</w:t>
      </w:r>
      <w:bookmarkEnd w:id="1826"/>
      <w:r>
        <w:rPr>
          <w:rFonts w:hint="eastAsia" w:ascii="宋体"/>
          <w:color w:val="auto"/>
          <w:szCs w:val="21"/>
          <w:u w:val="single"/>
        </w:rPr>
        <w:t xml:space="preserve">                          </w:t>
      </w:r>
      <w:r>
        <w:rPr>
          <w:rFonts w:hint="eastAsia"/>
          <w:bCs/>
          <w:color w:val="auto"/>
          <w:sz w:val="24"/>
        </w:rPr>
        <w:t xml:space="preserve">。  </w:t>
      </w:r>
    </w:p>
    <w:p>
      <w:pPr>
        <w:spacing w:line="400" w:lineRule="exact"/>
        <w:ind w:right="248" w:firstLine="480"/>
        <w:rPr>
          <w:rFonts w:hint="eastAsia" w:ascii="宋体"/>
          <w:color w:val="auto"/>
          <w:szCs w:val="21"/>
        </w:rPr>
      </w:pPr>
      <w:r>
        <w:rPr>
          <w:rFonts w:hint="eastAsia" w:ascii="宋体"/>
          <w:color w:val="auto"/>
          <w:szCs w:val="21"/>
        </w:rPr>
        <w:t>2.3.3承包人自行勘察的施工场地范围为：</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1827" w:name="_Toc221951134"/>
      <w:bookmarkStart w:id="1828" w:name="_Toc517172563"/>
      <w:bookmarkStart w:id="1829" w:name="_Toc30863"/>
      <w:r>
        <w:rPr>
          <w:rFonts w:hint="eastAsia" w:eastAsia="黑体"/>
          <w:color w:val="auto"/>
          <w:sz w:val="24"/>
          <w:szCs w:val="20"/>
        </w:rPr>
        <w:t>2.8 其它义务</w:t>
      </w:r>
      <w:bookmarkEnd w:id="1827"/>
      <w:bookmarkEnd w:id="1828"/>
      <w:bookmarkEnd w:id="1829"/>
      <w:r>
        <w:rPr>
          <w:rFonts w:hint="eastAsia" w:eastAsia="黑体"/>
          <w:color w:val="auto"/>
          <w:sz w:val="24"/>
          <w:szCs w:val="20"/>
        </w:rPr>
        <w:t xml:space="preserve">  </w:t>
      </w:r>
    </w:p>
    <w:p>
      <w:pPr>
        <w:pStyle w:val="22"/>
        <w:spacing w:line="400" w:lineRule="exact"/>
        <w:ind w:right="248"/>
        <w:rPr>
          <w:rFonts w:hint="eastAsia" w:ascii="宋体" w:hAnsi="宋体"/>
          <w:color w:val="auto"/>
        </w:rPr>
      </w:pPr>
      <w:bookmarkStart w:id="1830" w:name="_Toc221951135"/>
      <w:r>
        <w:rPr>
          <w:color w:val="auto"/>
        </w:rPr>
        <w:t xml:space="preserve"> (</w:t>
      </w:r>
      <w:r>
        <w:rPr>
          <w:rFonts w:hint="eastAsia"/>
          <w:color w:val="auto"/>
        </w:rPr>
        <w:t>根据发包人的合同管理要求补充</w:t>
      </w:r>
      <w:r>
        <w:rPr>
          <w:color w:val="auto"/>
        </w:rPr>
        <w:t>)</w:t>
      </w:r>
      <w:bookmarkEnd w:id="1830"/>
    </w:p>
    <w:p>
      <w:pPr>
        <w:spacing w:line="400" w:lineRule="exact"/>
        <w:ind w:right="248" w:firstLine="480"/>
        <w:rPr>
          <w:rFonts w:hint="eastAsia" w:ascii="宋体"/>
          <w:color w:val="auto"/>
          <w:sz w:val="24"/>
        </w:rPr>
      </w:pPr>
      <w:bookmarkStart w:id="1831" w:name="_Toc221951136"/>
      <w:r>
        <w:rPr>
          <w:rFonts w:hint="eastAsia" w:ascii="宋体"/>
          <w:color w:val="auto"/>
          <w:sz w:val="24"/>
        </w:rPr>
        <w:t>(1) ……</w:t>
      </w:r>
      <w:bookmarkEnd w:id="1831"/>
    </w:p>
    <w:p>
      <w:pPr>
        <w:spacing w:line="400" w:lineRule="exact"/>
        <w:ind w:right="248" w:firstLine="480"/>
        <w:rPr>
          <w:rFonts w:hint="eastAsia" w:ascii="宋体"/>
          <w:color w:val="auto"/>
          <w:sz w:val="24"/>
        </w:rPr>
      </w:pPr>
      <w:bookmarkStart w:id="1832" w:name="_Toc221951137"/>
      <w:r>
        <w:rPr>
          <w:rFonts w:hint="eastAsia" w:ascii="宋体"/>
          <w:color w:val="auto"/>
          <w:sz w:val="24"/>
        </w:rPr>
        <w:t>(2) ……</w:t>
      </w:r>
      <w:bookmarkEnd w:id="1832"/>
    </w:p>
    <w:p>
      <w:pPr>
        <w:spacing w:line="400" w:lineRule="exact"/>
        <w:ind w:left="240" w:right="248" w:firstLine="480"/>
        <w:rPr>
          <w:rFonts w:hint="eastAsia" w:ascii="宋体"/>
          <w:color w:val="auto"/>
          <w:sz w:val="24"/>
        </w:rPr>
      </w:pPr>
      <w:bookmarkStart w:id="1833" w:name="_Toc221951138"/>
      <w:r>
        <w:rPr>
          <w:rFonts w:hint="eastAsia" w:ascii="宋体"/>
          <w:color w:val="auto"/>
          <w:sz w:val="24"/>
        </w:rPr>
        <w:t>┇</w:t>
      </w:r>
      <w:bookmarkEnd w:id="1833"/>
    </w:p>
    <w:p>
      <w:pPr>
        <w:spacing w:line="400" w:lineRule="exact"/>
        <w:ind w:left="240" w:right="248" w:firstLine="480"/>
        <w:rPr>
          <w:rFonts w:hint="eastAsia" w:ascii="宋体"/>
          <w:color w:val="auto"/>
          <w:sz w:val="24"/>
        </w:rPr>
      </w:pPr>
      <w:bookmarkStart w:id="1834" w:name="_Toc221951139"/>
      <w:r>
        <w:rPr>
          <w:rFonts w:hint="eastAsia" w:ascii="宋体"/>
          <w:color w:val="auto"/>
          <w:sz w:val="24"/>
        </w:rPr>
        <w:t>┇</w:t>
      </w:r>
      <w:bookmarkEnd w:id="1834"/>
    </w:p>
    <w:p>
      <w:pPr>
        <w:pStyle w:val="80"/>
        <w:spacing w:before="120" w:after="120" w:afterLines="50"/>
        <w:outlineLvl w:val="2"/>
        <w:rPr>
          <w:rFonts w:hint="eastAsia"/>
          <w:color w:val="auto"/>
        </w:rPr>
      </w:pPr>
      <w:bookmarkStart w:id="1835" w:name="_Toc229305389"/>
      <w:bookmarkStart w:id="1836" w:name="_Toc222032698"/>
      <w:bookmarkStart w:id="1837" w:name="_Toc221951140"/>
      <w:bookmarkStart w:id="1838" w:name="_Toc222029529"/>
      <w:bookmarkStart w:id="1839" w:name="_Toc222031031"/>
      <w:bookmarkStart w:id="1840" w:name="_Toc222033880"/>
      <w:bookmarkStart w:id="1841" w:name="_Toc491089759"/>
      <w:bookmarkStart w:id="1842" w:name="_Toc517172564"/>
      <w:bookmarkStart w:id="1843" w:name="_Toc29686"/>
      <w:r>
        <w:rPr>
          <w:rFonts w:hint="eastAsia"/>
          <w:color w:val="auto"/>
        </w:rPr>
        <w:t>3. 监理人</w:t>
      </w:r>
      <w:bookmarkEnd w:id="1835"/>
      <w:bookmarkEnd w:id="1836"/>
      <w:bookmarkEnd w:id="1837"/>
      <w:bookmarkEnd w:id="1838"/>
      <w:bookmarkEnd w:id="1839"/>
      <w:bookmarkEnd w:id="1840"/>
      <w:bookmarkEnd w:id="1841"/>
      <w:bookmarkEnd w:id="1842"/>
      <w:bookmarkEnd w:id="1843"/>
    </w:p>
    <w:p>
      <w:pPr>
        <w:keepNext/>
        <w:keepLines/>
        <w:spacing w:line="400" w:lineRule="exact"/>
        <w:outlineLvl w:val="3"/>
        <w:rPr>
          <w:rFonts w:hint="eastAsia" w:eastAsia="黑体"/>
          <w:color w:val="auto"/>
          <w:sz w:val="24"/>
          <w:szCs w:val="20"/>
        </w:rPr>
      </w:pPr>
      <w:bookmarkStart w:id="1844" w:name="_Toc221951141"/>
      <w:bookmarkStart w:id="1845" w:name="_Toc517172565"/>
      <w:bookmarkStart w:id="1846" w:name="_Toc15479"/>
      <w:r>
        <w:rPr>
          <w:rFonts w:hint="eastAsia" w:eastAsia="黑体"/>
          <w:color w:val="auto"/>
          <w:sz w:val="24"/>
          <w:szCs w:val="20"/>
        </w:rPr>
        <w:t>3.1 监理人的职责和权力</w:t>
      </w:r>
      <w:bookmarkEnd w:id="1844"/>
      <w:bookmarkEnd w:id="1845"/>
      <w:bookmarkEnd w:id="1846"/>
    </w:p>
    <w:p>
      <w:pPr>
        <w:spacing w:line="360" w:lineRule="auto"/>
        <w:ind w:left="600" w:right="248"/>
        <w:rPr>
          <w:rFonts w:hint="eastAsia" w:ascii="宋体"/>
          <w:color w:val="auto"/>
          <w:sz w:val="24"/>
        </w:rPr>
      </w:pPr>
      <w:bookmarkStart w:id="1847" w:name="_Toc221951142"/>
      <w:r>
        <w:rPr>
          <w:rFonts w:hint="eastAsia" w:ascii="宋体"/>
          <w:color w:val="auto"/>
          <w:szCs w:val="21"/>
        </w:rPr>
        <w:t>3.1.1</w:t>
      </w:r>
      <w:bookmarkEnd w:id="1847"/>
      <w:r>
        <w:rPr>
          <w:rFonts w:hint="eastAsia" w:ascii="宋体"/>
          <w:color w:val="auto"/>
          <w:szCs w:val="21"/>
        </w:rPr>
        <w:t>　</w:t>
      </w:r>
      <w:bookmarkStart w:id="1848" w:name="_Toc221951143"/>
      <w:r>
        <w:rPr>
          <w:rFonts w:hint="eastAsia" w:ascii="宋体"/>
          <w:color w:val="auto"/>
          <w:szCs w:val="21"/>
        </w:rPr>
        <w:t>监理人须根据发包人事先批准的权力范围行使权力，发包人批准的权力范围：</w:t>
      </w:r>
      <w:bookmarkEnd w:id="1848"/>
      <w:r>
        <w:rPr>
          <w:rFonts w:hint="eastAsia" w:ascii="宋体"/>
          <w:color w:val="auto"/>
          <w:szCs w:val="21"/>
        </w:rPr>
        <w:t xml:space="preserve">     </w:t>
      </w:r>
    </w:p>
    <w:p>
      <w:pPr>
        <w:spacing w:line="360" w:lineRule="auto"/>
        <w:ind w:right="248" w:firstLine="480"/>
        <w:rPr>
          <w:rFonts w:hint="eastAsia" w:ascii="宋体"/>
          <w:color w:val="auto"/>
          <w:szCs w:val="21"/>
        </w:rPr>
      </w:pPr>
      <w:bookmarkStart w:id="1849" w:name="_Toc221951144"/>
      <w:r>
        <w:rPr>
          <w:rFonts w:hint="eastAsia" w:ascii="宋体"/>
          <w:color w:val="auto"/>
          <w:szCs w:val="21"/>
        </w:rPr>
        <w:t>(</w:t>
      </w:r>
      <w:r>
        <w:rPr>
          <w:rFonts w:hint="eastAsia" w:ascii="楷体_GB2312" w:eastAsia="楷体_GB2312"/>
          <w:color w:val="auto"/>
          <w:szCs w:val="21"/>
        </w:rPr>
        <w:t>填写监理人须经发包人批准才能行使的权力</w:t>
      </w:r>
      <w:r>
        <w:rPr>
          <w:rFonts w:hint="eastAsia" w:ascii="宋体"/>
          <w:color w:val="auto"/>
          <w:szCs w:val="21"/>
        </w:rPr>
        <w:t>，以下</w:t>
      </w:r>
      <w:r>
        <w:rPr>
          <w:rFonts w:hint="eastAsia" w:ascii="楷体_GB2312" w:eastAsia="楷体_GB2312"/>
          <w:color w:val="auto"/>
          <w:szCs w:val="21"/>
        </w:rPr>
        <w:t>示例供参考</w:t>
      </w:r>
      <w:r>
        <w:rPr>
          <w:rFonts w:ascii="宋体"/>
          <w:color w:val="auto"/>
          <w:szCs w:val="21"/>
        </w:rPr>
        <w:t>)</w:t>
      </w:r>
      <w:bookmarkEnd w:id="1849"/>
    </w:p>
    <w:p>
      <w:pPr>
        <w:numPr>
          <w:ilvl w:val="0"/>
          <w:numId w:val="7"/>
        </w:numPr>
        <w:spacing w:line="360" w:lineRule="auto"/>
        <w:ind w:right="248"/>
        <w:rPr>
          <w:rFonts w:hint="eastAsia" w:ascii="宋体"/>
          <w:color w:val="auto"/>
          <w:szCs w:val="21"/>
        </w:rPr>
      </w:pPr>
      <w:bookmarkStart w:id="1850" w:name="_Toc221951145"/>
      <w:r>
        <w:rPr>
          <w:rFonts w:hint="eastAsia" w:ascii="宋体"/>
          <w:color w:val="auto"/>
          <w:szCs w:val="21"/>
        </w:rPr>
        <w:t>按第4.3条约定，批准工程的分包；</w:t>
      </w:r>
      <w:bookmarkEnd w:id="1850"/>
    </w:p>
    <w:p>
      <w:pPr>
        <w:numPr>
          <w:ilvl w:val="0"/>
          <w:numId w:val="7"/>
        </w:numPr>
        <w:spacing w:line="360" w:lineRule="auto"/>
        <w:ind w:right="248"/>
        <w:rPr>
          <w:rFonts w:hint="eastAsia" w:ascii="宋体"/>
          <w:color w:val="auto"/>
          <w:szCs w:val="21"/>
        </w:rPr>
      </w:pPr>
      <w:bookmarkStart w:id="1851" w:name="_Toc221951146"/>
      <w:r>
        <w:rPr>
          <w:rFonts w:hint="eastAsia" w:ascii="宋体"/>
          <w:color w:val="auto"/>
          <w:szCs w:val="21"/>
        </w:rPr>
        <w:t>按第11.3条约定，确定延长完工期限；</w:t>
      </w:r>
      <w:bookmarkEnd w:id="1851"/>
    </w:p>
    <w:p>
      <w:pPr>
        <w:numPr>
          <w:ilvl w:val="0"/>
          <w:numId w:val="7"/>
        </w:numPr>
        <w:spacing w:line="360" w:lineRule="auto"/>
        <w:ind w:right="248"/>
        <w:rPr>
          <w:rFonts w:hint="eastAsia" w:ascii="宋体"/>
          <w:color w:val="auto"/>
          <w:szCs w:val="21"/>
        </w:rPr>
      </w:pPr>
      <w:bookmarkStart w:id="1852" w:name="_Toc221951147"/>
      <w:r>
        <w:rPr>
          <w:rFonts w:hint="eastAsia" w:ascii="宋体"/>
          <w:color w:val="auto"/>
          <w:szCs w:val="21"/>
        </w:rPr>
        <w:t>按第15.6条约定，批准暂列金额的使用；</w:t>
      </w:r>
      <w:bookmarkEnd w:id="1852"/>
    </w:p>
    <w:p>
      <w:pPr>
        <w:numPr>
          <w:ilvl w:val="0"/>
          <w:numId w:val="7"/>
        </w:numPr>
        <w:spacing w:line="360" w:lineRule="auto"/>
        <w:ind w:right="248"/>
        <w:rPr>
          <w:rFonts w:hint="eastAsia" w:ascii="宋体"/>
          <w:color w:val="auto"/>
          <w:szCs w:val="21"/>
        </w:rPr>
      </w:pPr>
      <w:bookmarkStart w:id="1853" w:name="_Toc221951148"/>
      <w:r>
        <w:rPr>
          <w:rFonts w:hint="eastAsia" w:ascii="宋体"/>
          <w:color w:val="auto"/>
          <w:szCs w:val="21"/>
        </w:rPr>
        <w:t>……</w:t>
      </w:r>
      <w:bookmarkEnd w:id="1853"/>
    </w:p>
    <w:p>
      <w:pPr>
        <w:spacing w:line="360" w:lineRule="auto"/>
        <w:ind w:left="600" w:right="248"/>
        <w:rPr>
          <w:rFonts w:hint="eastAsia" w:ascii="宋体"/>
          <w:color w:val="auto"/>
          <w:szCs w:val="21"/>
        </w:rPr>
      </w:pPr>
      <w:bookmarkStart w:id="1854" w:name="_Toc221951149"/>
      <w:r>
        <w:rPr>
          <w:rFonts w:hint="eastAsia" w:ascii="宋体"/>
          <w:color w:val="auto"/>
          <w:szCs w:val="21"/>
        </w:rPr>
        <w:t>(5)  ……</w:t>
      </w:r>
      <w:bookmarkEnd w:id="1854"/>
    </w:p>
    <w:p>
      <w:pPr>
        <w:pStyle w:val="80"/>
        <w:spacing w:before="120" w:after="120" w:afterLines="50"/>
        <w:outlineLvl w:val="2"/>
        <w:rPr>
          <w:rFonts w:hint="eastAsia"/>
          <w:color w:val="auto"/>
        </w:rPr>
      </w:pPr>
      <w:bookmarkStart w:id="1855" w:name="_Toc222033881"/>
      <w:bookmarkStart w:id="1856" w:name="_Toc229305390"/>
      <w:bookmarkStart w:id="1857" w:name="_Toc222032699"/>
      <w:bookmarkStart w:id="1858" w:name="_Toc21505"/>
      <w:bookmarkStart w:id="1859" w:name="_Toc491089760"/>
      <w:bookmarkStart w:id="1860" w:name="_Toc517172566"/>
      <w:bookmarkStart w:id="1861" w:name="_Toc222029530"/>
      <w:bookmarkStart w:id="1862" w:name="_Toc222031032"/>
      <w:bookmarkStart w:id="1863" w:name="_Toc221951150"/>
      <w:r>
        <w:rPr>
          <w:rFonts w:hint="eastAsia"/>
          <w:color w:val="auto"/>
        </w:rPr>
        <w:t>4. 承包人</w:t>
      </w:r>
      <w:bookmarkEnd w:id="1855"/>
      <w:bookmarkEnd w:id="1856"/>
      <w:bookmarkEnd w:id="1857"/>
      <w:bookmarkEnd w:id="1858"/>
      <w:bookmarkEnd w:id="1859"/>
      <w:bookmarkEnd w:id="1860"/>
      <w:bookmarkEnd w:id="1861"/>
      <w:bookmarkEnd w:id="1862"/>
      <w:bookmarkEnd w:id="1863"/>
    </w:p>
    <w:p>
      <w:pPr>
        <w:keepNext/>
        <w:keepLines/>
        <w:spacing w:line="400" w:lineRule="exact"/>
        <w:outlineLvl w:val="3"/>
        <w:rPr>
          <w:rFonts w:hint="eastAsia" w:eastAsia="黑体"/>
          <w:color w:val="auto"/>
          <w:sz w:val="24"/>
          <w:szCs w:val="20"/>
        </w:rPr>
      </w:pPr>
      <w:bookmarkStart w:id="1864" w:name="_Toc517172567"/>
      <w:bookmarkStart w:id="1865" w:name="_Toc5806"/>
      <w:bookmarkStart w:id="1866" w:name="_Toc221951151"/>
      <w:r>
        <w:rPr>
          <w:rFonts w:hint="eastAsia" w:eastAsia="黑体"/>
          <w:color w:val="auto"/>
          <w:sz w:val="24"/>
          <w:szCs w:val="20"/>
        </w:rPr>
        <w:t>4.1</w:t>
      </w:r>
      <w:r>
        <w:rPr>
          <w:rFonts w:eastAsia="黑体"/>
          <w:color w:val="auto"/>
          <w:sz w:val="24"/>
          <w:szCs w:val="20"/>
        </w:rPr>
        <w:t xml:space="preserve"> </w:t>
      </w:r>
      <w:r>
        <w:rPr>
          <w:rFonts w:hint="eastAsia" w:eastAsia="黑体"/>
          <w:color w:val="auto"/>
          <w:sz w:val="24"/>
          <w:szCs w:val="20"/>
        </w:rPr>
        <w:t>承包人的一般义务</w:t>
      </w:r>
      <w:bookmarkEnd w:id="1864"/>
      <w:bookmarkEnd w:id="1865"/>
      <w:bookmarkEnd w:id="1866"/>
    </w:p>
    <w:p>
      <w:pPr>
        <w:spacing w:line="400" w:lineRule="exact"/>
        <w:ind w:right="248" w:firstLine="480"/>
        <w:rPr>
          <w:rFonts w:hint="eastAsia" w:ascii="宋体"/>
          <w:color w:val="auto"/>
          <w:szCs w:val="21"/>
        </w:rPr>
      </w:pPr>
      <w:bookmarkStart w:id="1867" w:name="_Toc221951152"/>
      <w:r>
        <w:rPr>
          <w:rFonts w:ascii="宋体"/>
          <w:color w:val="auto"/>
          <w:szCs w:val="21"/>
        </w:rPr>
        <w:t>4</w:t>
      </w:r>
      <w:r>
        <w:rPr>
          <w:rFonts w:hint="eastAsia" w:ascii="宋体"/>
          <w:color w:val="auto"/>
          <w:szCs w:val="21"/>
        </w:rPr>
        <w:t>.</w:t>
      </w:r>
      <w:r>
        <w:rPr>
          <w:rFonts w:ascii="宋体"/>
          <w:color w:val="auto"/>
          <w:szCs w:val="21"/>
        </w:rPr>
        <w:t>1</w:t>
      </w:r>
      <w:r>
        <w:rPr>
          <w:rFonts w:hint="eastAsia" w:ascii="宋体"/>
          <w:color w:val="auto"/>
          <w:szCs w:val="21"/>
        </w:rPr>
        <w:t>.</w:t>
      </w:r>
      <w:r>
        <w:rPr>
          <w:rFonts w:ascii="宋体"/>
          <w:color w:val="auto"/>
          <w:szCs w:val="21"/>
        </w:rPr>
        <w:t>10</w:t>
      </w:r>
      <w:r>
        <w:rPr>
          <w:rFonts w:hint="eastAsia" w:ascii="宋体"/>
          <w:color w:val="auto"/>
          <w:szCs w:val="21"/>
        </w:rPr>
        <w:t xml:space="preserve">  其他义务</w:t>
      </w:r>
      <w:bookmarkEnd w:id="1867"/>
    </w:p>
    <w:p>
      <w:pPr>
        <w:pStyle w:val="22"/>
        <w:spacing w:line="400" w:lineRule="exact"/>
        <w:ind w:right="248"/>
        <w:rPr>
          <w:rFonts w:hint="eastAsia"/>
          <w:color w:val="auto"/>
          <w:szCs w:val="21"/>
        </w:rPr>
      </w:pPr>
      <w:r>
        <w:rPr>
          <w:rFonts w:hint="eastAsia"/>
          <w:color w:val="auto"/>
          <w:szCs w:val="21"/>
        </w:rPr>
        <w:t>　（1）</w:t>
      </w:r>
      <w:r>
        <w:rPr>
          <w:color w:val="auto"/>
          <w:szCs w:val="21"/>
        </w:rPr>
        <w:t>………</w:t>
      </w:r>
    </w:p>
    <w:p>
      <w:pPr>
        <w:pStyle w:val="22"/>
        <w:spacing w:line="400" w:lineRule="exact"/>
        <w:ind w:right="248"/>
        <w:rPr>
          <w:rFonts w:hint="eastAsia"/>
          <w:color w:val="auto"/>
        </w:rPr>
      </w:pPr>
      <w:r>
        <w:rPr>
          <w:rFonts w:hint="eastAsia"/>
          <w:color w:val="auto"/>
        </w:rPr>
        <w:t>　</w:t>
      </w:r>
      <w:r>
        <w:rPr>
          <w:rFonts w:hint="eastAsia"/>
          <w:color w:val="auto"/>
          <w:szCs w:val="21"/>
        </w:rPr>
        <w:t>（2）</w:t>
      </w:r>
      <w:r>
        <w:rPr>
          <w:color w:val="auto"/>
          <w:szCs w:val="21"/>
        </w:rPr>
        <w:t>………</w:t>
      </w:r>
    </w:p>
    <w:p>
      <w:pPr>
        <w:keepNext/>
        <w:keepLines/>
        <w:spacing w:line="400" w:lineRule="exact"/>
        <w:outlineLvl w:val="3"/>
        <w:rPr>
          <w:rFonts w:hint="eastAsia" w:eastAsia="黑体"/>
          <w:color w:val="auto"/>
          <w:sz w:val="24"/>
          <w:szCs w:val="20"/>
        </w:rPr>
      </w:pPr>
      <w:bookmarkStart w:id="1868" w:name="_Toc221951153"/>
      <w:bookmarkStart w:id="1869" w:name="_Toc517172568"/>
      <w:bookmarkStart w:id="1870" w:name="_Toc23927"/>
      <w:r>
        <w:rPr>
          <w:rFonts w:hint="eastAsia" w:eastAsia="黑体"/>
          <w:color w:val="auto"/>
          <w:sz w:val="24"/>
          <w:szCs w:val="20"/>
        </w:rPr>
        <w:t>4.3 分包</w:t>
      </w:r>
      <w:bookmarkEnd w:id="1868"/>
      <w:bookmarkEnd w:id="1869"/>
      <w:bookmarkEnd w:id="1870"/>
    </w:p>
    <w:p>
      <w:pPr>
        <w:spacing w:line="400" w:lineRule="exact"/>
        <w:ind w:right="248" w:firstLine="420" w:firstLineChars="200"/>
        <w:rPr>
          <w:rFonts w:hint="eastAsia" w:ascii="宋体"/>
          <w:bCs/>
          <w:color w:val="auto"/>
          <w:szCs w:val="21"/>
        </w:rPr>
      </w:pPr>
      <w:bookmarkStart w:id="1871" w:name="_Toc221951154"/>
      <w:r>
        <w:rPr>
          <w:rFonts w:hint="eastAsia" w:ascii="宋体"/>
          <w:bCs/>
          <w:color w:val="auto"/>
          <w:szCs w:val="21"/>
        </w:rPr>
        <w:t>4.3.2  允许承包人分包的工程项目、工作内容与</w:t>
      </w:r>
      <w:r>
        <w:rPr>
          <w:rFonts w:hint="eastAsia" w:ascii="宋体" w:hAnsi="宋体" w:cs="宋体"/>
          <w:color w:val="auto"/>
          <w:szCs w:val="21"/>
          <w:lang w:val="zh-CN"/>
        </w:rPr>
        <w:t>分包金额</w:t>
      </w:r>
      <w:r>
        <w:rPr>
          <w:rFonts w:hint="eastAsia" w:ascii="宋体" w:hAnsi="宋体"/>
          <w:bCs/>
          <w:color w:val="auto"/>
          <w:szCs w:val="21"/>
        </w:rPr>
        <w:t>限额为</w:t>
      </w:r>
      <w:r>
        <w:rPr>
          <w:rFonts w:hint="eastAsia" w:ascii="宋体"/>
          <w:bCs/>
          <w:color w:val="auto"/>
          <w:szCs w:val="21"/>
        </w:rPr>
        <w:t>：</w:t>
      </w:r>
      <w:bookmarkEnd w:id="1871"/>
    </w:p>
    <w:p>
      <w:pPr>
        <w:pStyle w:val="22"/>
        <w:spacing w:line="400" w:lineRule="exact"/>
        <w:ind w:left="0" w:leftChars="0" w:right="248"/>
        <w:rPr>
          <w:rFonts w:hint="eastAsia" w:ascii="宋体" w:hAnsi="宋体"/>
          <w:bCs/>
          <w:color w:val="auto"/>
          <w:szCs w:val="21"/>
        </w:rPr>
      </w:pPr>
      <w:r>
        <w:rPr>
          <w:rFonts w:hint="eastAsia" w:ascii="宋体" w:hAnsi="宋体"/>
          <w:color w:val="auto"/>
          <w:szCs w:val="21"/>
        </w:rPr>
        <w:t xml:space="preserve">  </w:t>
      </w:r>
      <w:bookmarkStart w:id="1872" w:name="_Toc221951155"/>
      <w:r>
        <w:rPr>
          <w:rFonts w:hint="eastAsia" w:ascii="宋体" w:hAnsi="宋体"/>
          <w:bCs/>
          <w:color w:val="auto"/>
          <w:szCs w:val="21"/>
        </w:rPr>
        <w:t>1）</w:t>
      </w:r>
      <w:r>
        <w:rPr>
          <w:rFonts w:hint="eastAsia" w:ascii="宋体"/>
          <w:bCs/>
          <w:color w:val="auto"/>
          <w:szCs w:val="21"/>
        </w:rPr>
        <w:t>工程项目：</w:t>
      </w:r>
      <w:r>
        <w:rPr>
          <w:rFonts w:hint="eastAsia" w:ascii="宋体"/>
          <w:bCs/>
          <w:color w:val="auto"/>
          <w:szCs w:val="21"/>
          <w:u w:val="single"/>
        </w:rPr>
        <w:t xml:space="preserve">                                                </w:t>
      </w:r>
      <w:r>
        <w:rPr>
          <w:rFonts w:hint="eastAsia" w:ascii="宋体"/>
          <w:bCs/>
          <w:color w:val="auto"/>
          <w:szCs w:val="21"/>
        </w:rPr>
        <w:t>。</w:t>
      </w:r>
      <w:bookmarkEnd w:id="1872"/>
    </w:p>
    <w:p>
      <w:pPr>
        <w:pStyle w:val="22"/>
        <w:spacing w:line="400" w:lineRule="exact"/>
        <w:ind w:left="0" w:leftChars="0" w:right="248" w:firstLine="105" w:firstLineChars="50"/>
        <w:rPr>
          <w:rFonts w:hint="eastAsia" w:ascii="宋体" w:hAnsi="宋体"/>
          <w:bCs/>
          <w:color w:val="auto"/>
          <w:szCs w:val="21"/>
        </w:rPr>
      </w:pPr>
      <w:r>
        <w:rPr>
          <w:rFonts w:hint="eastAsia" w:ascii="宋体" w:hAnsi="宋体"/>
          <w:bCs/>
          <w:color w:val="auto"/>
          <w:szCs w:val="21"/>
        </w:rPr>
        <w:t xml:space="preserve"> </w:t>
      </w:r>
      <w:bookmarkStart w:id="1873" w:name="_Toc221951156"/>
      <w:r>
        <w:rPr>
          <w:rFonts w:hint="eastAsia" w:ascii="宋体" w:hAnsi="宋体"/>
          <w:bCs/>
          <w:color w:val="auto"/>
          <w:szCs w:val="21"/>
        </w:rPr>
        <w:t>2）</w:t>
      </w:r>
      <w:r>
        <w:rPr>
          <w:rFonts w:hint="eastAsia" w:ascii="宋体"/>
          <w:bCs/>
          <w:color w:val="auto"/>
          <w:szCs w:val="21"/>
        </w:rPr>
        <w:t>工作内容：</w:t>
      </w:r>
      <w:r>
        <w:rPr>
          <w:rFonts w:hint="eastAsia" w:ascii="宋体"/>
          <w:bCs/>
          <w:color w:val="auto"/>
          <w:szCs w:val="21"/>
          <w:u w:val="single"/>
        </w:rPr>
        <w:t xml:space="preserve">                                                </w:t>
      </w:r>
      <w:r>
        <w:rPr>
          <w:rFonts w:hint="eastAsia" w:ascii="宋体"/>
          <w:bCs/>
          <w:color w:val="auto"/>
          <w:szCs w:val="21"/>
        </w:rPr>
        <w:t>。</w:t>
      </w:r>
      <w:bookmarkEnd w:id="1873"/>
    </w:p>
    <w:p>
      <w:pPr>
        <w:pStyle w:val="22"/>
        <w:spacing w:line="400" w:lineRule="exact"/>
        <w:ind w:left="0" w:leftChars="0" w:right="248" w:firstLine="210" w:firstLineChars="100"/>
        <w:rPr>
          <w:rFonts w:hint="eastAsia"/>
          <w:color w:val="auto"/>
        </w:rPr>
      </w:pPr>
      <w:bookmarkStart w:id="1874" w:name="_Toc221951157"/>
      <w:r>
        <w:rPr>
          <w:rFonts w:hint="eastAsia"/>
          <w:color w:val="auto"/>
          <w:szCs w:val="21"/>
        </w:rPr>
        <w:t>3）分包金额限额：</w:t>
      </w:r>
      <w:r>
        <w:rPr>
          <w:rFonts w:hint="eastAsia"/>
          <w:color w:val="auto"/>
          <w:szCs w:val="21"/>
          <w:u w:val="single"/>
        </w:rPr>
        <w:t xml:space="preserve">                                            </w:t>
      </w:r>
      <w:r>
        <w:rPr>
          <w:rFonts w:hint="eastAsia"/>
          <w:color w:val="auto"/>
          <w:szCs w:val="21"/>
        </w:rPr>
        <w:t>。</w:t>
      </w:r>
      <w:bookmarkEnd w:id="1874"/>
      <w:r>
        <w:rPr>
          <w:rFonts w:hint="eastAsia"/>
          <w:color w:val="auto"/>
        </w:rPr>
        <w:t xml:space="preserve">        </w:t>
      </w:r>
    </w:p>
    <w:p>
      <w:pPr>
        <w:spacing w:line="400" w:lineRule="exact"/>
        <w:ind w:right="248" w:firstLine="420" w:firstLineChars="200"/>
        <w:rPr>
          <w:rFonts w:hint="eastAsia" w:ascii="宋体"/>
          <w:bCs/>
          <w:color w:val="auto"/>
          <w:szCs w:val="21"/>
        </w:rPr>
      </w:pPr>
      <w:r>
        <w:rPr>
          <w:rFonts w:hint="eastAsia" w:ascii="宋体"/>
          <w:bCs/>
          <w:color w:val="auto"/>
          <w:szCs w:val="21"/>
        </w:rPr>
        <w:t>4.3.10 分包人项目管理机构的设立：</w:t>
      </w:r>
      <w:r>
        <w:rPr>
          <w:rFonts w:hint="eastAsia" w:ascii="宋体"/>
          <w:bCs/>
          <w:color w:val="auto"/>
          <w:szCs w:val="21"/>
          <w:u w:val="single"/>
        </w:rPr>
        <w:t xml:space="preserve">                          </w:t>
      </w:r>
      <w:r>
        <w:rPr>
          <w:rFonts w:hint="eastAsia" w:ascii="宋体"/>
          <w:bCs/>
          <w:color w:val="auto"/>
          <w:szCs w:val="21"/>
        </w:rPr>
        <w:t xml:space="preserve">。                                        </w:t>
      </w:r>
    </w:p>
    <w:p>
      <w:pPr>
        <w:keepNext/>
        <w:keepLines/>
        <w:spacing w:line="400" w:lineRule="exact"/>
        <w:outlineLvl w:val="3"/>
        <w:rPr>
          <w:rFonts w:hint="eastAsia" w:eastAsia="黑体"/>
          <w:color w:val="auto"/>
          <w:sz w:val="24"/>
          <w:szCs w:val="20"/>
        </w:rPr>
      </w:pPr>
      <w:bookmarkStart w:id="1875" w:name="_Toc221951158"/>
      <w:bookmarkStart w:id="1876" w:name="_Toc517172569"/>
      <w:bookmarkStart w:id="1877" w:name="_Toc7325"/>
      <w:r>
        <w:rPr>
          <w:rFonts w:eastAsia="黑体"/>
          <w:color w:val="auto"/>
          <w:sz w:val="24"/>
          <w:szCs w:val="20"/>
        </w:rPr>
        <w:t>4</w:t>
      </w:r>
      <w:r>
        <w:rPr>
          <w:rFonts w:hint="eastAsia" w:eastAsia="黑体"/>
          <w:color w:val="auto"/>
          <w:sz w:val="24"/>
          <w:szCs w:val="20"/>
        </w:rPr>
        <w:t>.</w:t>
      </w:r>
      <w:r>
        <w:rPr>
          <w:rFonts w:eastAsia="黑体"/>
          <w:color w:val="auto"/>
          <w:sz w:val="24"/>
          <w:szCs w:val="20"/>
        </w:rPr>
        <w:t xml:space="preserve">11 </w:t>
      </w:r>
      <w:r>
        <w:rPr>
          <w:rFonts w:hint="eastAsia" w:eastAsia="黑体"/>
          <w:color w:val="auto"/>
          <w:sz w:val="24"/>
          <w:szCs w:val="20"/>
        </w:rPr>
        <w:t>不利物质条件</w:t>
      </w:r>
      <w:bookmarkEnd w:id="1875"/>
      <w:bookmarkEnd w:id="1876"/>
      <w:bookmarkEnd w:id="1877"/>
    </w:p>
    <w:p>
      <w:pPr>
        <w:spacing w:line="400" w:lineRule="exact"/>
        <w:ind w:right="248" w:firstLine="420" w:firstLineChars="200"/>
        <w:rPr>
          <w:rFonts w:hint="eastAsia" w:ascii="宋体"/>
          <w:color w:val="auto"/>
          <w:szCs w:val="21"/>
        </w:rPr>
      </w:pPr>
      <w:bookmarkStart w:id="1878" w:name="_Toc221951159"/>
      <w:r>
        <w:rPr>
          <w:rFonts w:hint="eastAsia" w:ascii="宋体"/>
          <w:color w:val="auto"/>
          <w:szCs w:val="21"/>
        </w:rPr>
        <w:t>4.11.1不利物质条件的范围：</w:t>
      </w:r>
      <w:r>
        <w:rPr>
          <w:rFonts w:hint="eastAsia" w:ascii="宋体"/>
          <w:color w:val="auto"/>
          <w:szCs w:val="21"/>
          <w:u w:val="single"/>
        </w:rPr>
        <w:t xml:space="preserve">                                 </w:t>
      </w:r>
      <w:r>
        <w:rPr>
          <w:rFonts w:hint="eastAsia" w:ascii="宋体"/>
          <w:color w:val="auto"/>
          <w:szCs w:val="21"/>
        </w:rPr>
        <w:t>。</w:t>
      </w:r>
      <w:bookmarkEnd w:id="1878"/>
    </w:p>
    <w:p>
      <w:pPr>
        <w:pStyle w:val="80"/>
        <w:spacing w:before="120" w:after="120" w:afterLines="50"/>
        <w:outlineLvl w:val="2"/>
        <w:rPr>
          <w:rFonts w:hint="eastAsia"/>
          <w:color w:val="auto"/>
        </w:rPr>
      </w:pPr>
      <w:bookmarkStart w:id="1879" w:name="_Toc229305391"/>
      <w:bookmarkStart w:id="1880" w:name="_Toc222032700"/>
      <w:bookmarkStart w:id="1881" w:name="_Toc221951160"/>
      <w:bookmarkStart w:id="1882" w:name="_Toc222029531"/>
      <w:bookmarkStart w:id="1883" w:name="_Toc222031033"/>
      <w:bookmarkStart w:id="1884" w:name="_Toc222033882"/>
      <w:bookmarkStart w:id="1885" w:name="_Toc491089761"/>
      <w:bookmarkStart w:id="1886" w:name="_Toc517172570"/>
      <w:bookmarkStart w:id="1887" w:name="_Toc9429"/>
      <w:r>
        <w:rPr>
          <w:rFonts w:hint="eastAsia"/>
          <w:color w:val="auto"/>
        </w:rPr>
        <w:t>5. 材料和工程设备</w:t>
      </w:r>
      <w:bookmarkEnd w:id="1879"/>
      <w:bookmarkEnd w:id="1880"/>
      <w:bookmarkEnd w:id="1881"/>
      <w:bookmarkEnd w:id="1882"/>
      <w:bookmarkEnd w:id="1883"/>
      <w:bookmarkEnd w:id="1884"/>
      <w:bookmarkEnd w:id="1885"/>
      <w:bookmarkEnd w:id="1886"/>
      <w:bookmarkEnd w:id="1887"/>
    </w:p>
    <w:p>
      <w:pPr>
        <w:keepNext/>
        <w:keepLines/>
        <w:spacing w:line="400" w:lineRule="exact"/>
        <w:outlineLvl w:val="3"/>
        <w:rPr>
          <w:rFonts w:hint="eastAsia" w:eastAsia="黑体"/>
          <w:color w:val="auto"/>
          <w:sz w:val="24"/>
          <w:szCs w:val="20"/>
        </w:rPr>
      </w:pPr>
      <w:bookmarkStart w:id="1888" w:name="_Toc221951163"/>
      <w:bookmarkStart w:id="1889" w:name="_Toc517172571"/>
      <w:bookmarkStart w:id="1890" w:name="_Toc31394"/>
      <w:r>
        <w:rPr>
          <w:rFonts w:eastAsia="黑体"/>
          <w:color w:val="auto"/>
          <w:sz w:val="24"/>
          <w:szCs w:val="20"/>
        </w:rPr>
        <w:t>5</w:t>
      </w:r>
      <w:r>
        <w:rPr>
          <w:rFonts w:hint="eastAsia" w:eastAsia="黑体"/>
          <w:color w:val="auto"/>
          <w:sz w:val="24"/>
          <w:szCs w:val="20"/>
        </w:rPr>
        <w:t>.</w:t>
      </w:r>
      <w:r>
        <w:rPr>
          <w:rFonts w:eastAsia="黑体"/>
          <w:color w:val="auto"/>
          <w:sz w:val="24"/>
          <w:szCs w:val="20"/>
        </w:rPr>
        <w:t>2</w:t>
      </w:r>
      <w:r>
        <w:rPr>
          <w:rFonts w:hint="eastAsia" w:eastAsia="黑体"/>
          <w:color w:val="auto"/>
          <w:sz w:val="24"/>
          <w:szCs w:val="20"/>
        </w:rPr>
        <w:t xml:space="preserve"> 发包人提供的材料和工程设备</w:t>
      </w:r>
      <w:bookmarkEnd w:id="1888"/>
      <w:bookmarkEnd w:id="1889"/>
      <w:bookmarkEnd w:id="1890"/>
    </w:p>
    <w:p>
      <w:pPr>
        <w:spacing w:line="360" w:lineRule="auto"/>
        <w:ind w:right="248" w:firstLine="420" w:firstLineChars="200"/>
        <w:rPr>
          <w:rFonts w:hint="eastAsia" w:ascii="宋体"/>
          <w:color w:val="auto"/>
          <w:szCs w:val="21"/>
        </w:rPr>
      </w:pPr>
      <w:r>
        <w:rPr>
          <w:rFonts w:hint="eastAsia" w:ascii="宋体"/>
          <w:color w:val="auto"/>
          <w:szCs w:val="21"/>
        </w:rPr>
        <w:t>5.2.1发包人提供的材料和工程设备见下表：</w:t>
      </w:r>
    </w:p>
    <w:p>
      <w:pPr>
        <w:spacing w:line="360" w:lineRule="auto"/>
        <w:ind w:right="248"/>
        <w:jc w:val="center"/>
        <w:rPr>
          <w:rFonts w:hint="eastAsia" w:ascii="宋体"/>
          <w:color w:val="auto"/>
          <w:szCs w:val="21"/>
        </w:rPr>
      </w:pPr>
    </w:p>
    <w:p>
      <w:pPr>
        <w:spacing w:line="360" w:lineRule="auto"/>
        <w:ind w:right="248"/>
        <w:jc w:val="center"/>
        <w:rPr>
          <w:rFonts w:hint="eastAsia" w:ascii="宋体"/>
          <w:color w:val="auto"/>
          <w:szCs w:val="21"/>
        </w:rPr>
      </w:pPr>
      <w:r>
        <w:rPr>
          <w:rFonts w:hint="eastAsia" w:ascii="宋体"/>
          <w:color w:val="auto"/>
          <w:szCs w:val="21"/>
        </w:rPr>
        <w:t>发包人提供的主要材料表</w:t>
      </w:r>
      <w:r>
        <w:rPr>
          <w:rFonts w:ascii="宋体"/>
          <w:color w:val="auto"/>
          <w:szCs w:val="21"/>
        </w:rPr>
        <w:t>(</w:t>
      </w:r>
      <w:r>
        <w:rPr>
          <w:rFonts w:hint="eastAsia" w:ascii="宋体"/>
          <w:color w:val="auto"/>
          <w:szCs w:val="21"/>
        </w:rPr>
        <w:t>参考格式</w:t>
      </w:r>
      <w:r>
        <w:rPr>
          <w:rFonts w:ascii="宋体"/>
          <w:color w:val="auto"/>
          <w:szCs w:val="21"/>
        </w:rPr>
        <w:t>)</w:t>
      </w:r>
    </w:p>
    <w:tbl>
      <w:tblPr>
        <w:tblStyle w:val="3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701"/>
        <w:gridCol w:w="1701"/>
        <w:gridCol w:w="1134"/>
        <w:gridCol w:w="1134"/>
        <w:gridCol w:w="1559"/>
        <w:gridCol w:w="9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pPr>
              <w:ind w:right="-3"/>
              <w:jc w:val="center"/>
              <w:rPr>
                <w:rFonts w:hint="eastAsia" w:ascii="宋体"/>
                <w:color w:val="auto"/>
                <w:szCs w:val="21"/>
              </w:rPr>
            </w:pPr>
            <w:r>
              <w:rPr>
                <w:rFonts w:hint="eastAsia" w:ascii="宋体"/>
                <w:color w:val="auto"/>
                <w:szCs w:val="21"/>
              </w:rPr>
              <w:t>序号</w:t>
            </w:r>
          </w:p>
        </w:tc>
        <w:tc>
          <w:tcPr>
            <w:tcW w:w="1701" w:type="dxa"/>
            <w:noWrap w:val="0"/>
            <w:vAlign w:val="center"/>
          </w:tcPr>
          <w:p>
            <w:pPr>
              <w:jc w:val="center"/>
              <w:rPr>
                <w:rFonts w:hint="eastAsia" w:ascii="宋体"/>
                <w:color w:val="auto"/>
                <w:szCs w:val="21"/>
              </w:rPr>
            </w:pPr>
            <w:r>
              <w:rPr>
                <w:rFonts w:hint="eastAsia" w:ascii="宋体"/>
                <w:color w:val="auto"/>
                <w:szCs w:val="21"/>
              </w:rPr>
              <w:t>材料名称</w:t>
            </w:r>
          </w:p>
        </w:tc>
        <w:tc>
          <w:tcPr>
            <w:tcW w:w="1701" w:type="dxa"/>
            <w:noWrap w:val="0"/>
            <w:vAlign w:val="center"/>
          </w:tcPr>
          <w:p>
            <w:pPr>
              <w:jc w:val="center"/>
              <w:rPr>
                <w:rFonts w:hint="eastAsia" w:ascii="宋体"/>
                <w:color w:val="auto"/>
                <w:szCs w:val="21"/>
              </w:rPr>
            </w:pPr>
            <w:r>
              <w:rPr>
                <w:rFonts w:hint="eastAsia" w:ascii="宋体"/>
                <w:color w:val="auto"/>
                <w:szCs w:val="21"/>
              </w:rPr>
              <w:t>材料规格</w:t>
            </w:r>
          </w:p>
        </w:tc>
        <w:tc>
          <w:tcPr>
            <w:tcW w:w="1134" w:type="dxa"/>
            <w:noWrap w:val="0"/>
            <w:vAlign w:val="center"/>
          </w:tcPr>
          <w:p>
            <w:pPr>
              <w:ind w:right="-33"/>
              <w:jc w:val="center"/>
              <w:rPr>
                <w:rFonts w:hint="eastAsia" w:ascii="宋体"/>
                <w:color w:val="auto"/>
                <w:szCs w:val="21"/>
              </w:rPr>
            </w:pPr>
            <w:r>
              <w:rPr>
                <w:rFonts w:hint="eastAsia" w:ascii="宋体"/>
                <w:color w:val="auto"/>
                <w:szCs w:val="21"/>
              </w:rPr>
              <w:t>数量</w:t>
            </w:r>
          </w:p>
        </w:tc>
        <w:tc>
          <w:tcPr>
            <w:tcW w:w="1134" w:type="dxa"/>
            <w:noWrap w:val="0"/>
            <w:vAlign w:val="center"/>
          </w:tcPr>
          <w:p>
            <w:pPr>
              <w:jc w:val="center"/>
              <w:rPr>
                <w:rFonts w:hint="eastAsia" w:ascii="宋体"/>
                <w:color w:val="auto"/>
                <w:szCs w:val="21"/>
              </w:rPr>
            </w:pPr>
            <w:r>
              <w:rPr>
                <w:rFonts w:hint="eastAsia" w:ascii="宋体"/>
                <w:color w:val="auto"/>
                <w:szCs w:val="21"/>
              </w:rPr>
              <w:t>交货地点</w:t>
            </w:r>
          </w:p>
        </w:tc>
        <w:tc>
          <w:tcPr>
            <w:tcW w:w="1559" w:type="dxa"/>
            <w:noWrap w:val="0"/>
            <w:vAlign w:val="center"/>
          </w:tcPr>
          <w:p>
            <w:pPr>
              <w:jc w:val="center"/>
              <w:rPr>
                <w:rFonts w:ascii="宋体"/>
                <w:color w:val="auto"/>
                <w:szCs w:val="21"/>
              </w:rPr>
            </w:pPr>
            <w:r>
              <w:rPr>
                <w:rFonts w:hint="eastAsia" w:ascii="宋体"/>
                <w:color w:val="auto"/>
                <w:szCs w:val="21"/>
              </w:rPr>
              <w:t>计划交货日期</w:t>
            </w:r>
          </w:p>
        </w:tc>
        <w:tc>
          <w:tcPr>
            <w:tcW w:w="992" w:type="dxa"/>
            <w:noWrap w:val="0"/>
            <w:vAlign w:val="center"/>
          </w:tcPr>
          <w:p>
            <w:pPr>
              <w:jc w:val="center"/>
              <w:rPr>
                <w:rFonts w:ascii="宋体"/>
                <w:color w:val="auto"/>
                <w:szCs w:val="21"/>
              </w:rPr>
            </w:pPr>
            <w:r>
              <w:rPr>
                <w:rFonts w:hint="eastAsia" w:ascii="宋体"/>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559"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959"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559"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959"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559"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r>
    </w:tbl>
    <w:p>
      <w:pPr>
        <w:spacing w:line="360" w:lineRule="auto"/>
        <w:ind w:right="248" w:firstLine="1131" w:firstLineChars="539"/>
        <w:rPr>
          <w:rFonts w:hint="eastAsia" w:ascii="宋体"/>
          <w:color w:val="auto"/>
          <w:szCs w:val="21"/>
        </w:rPr>
      </w:pPr>
    </w:p>
    <w:p>
      <w:pPr>
        <w:spacing w:line="360" w:lineRule="auto"/>
        <w:ind w:right="248"/>
        <w:jc w:val="center"/>
        <w:rPr>
          <w:rFonts w:hint="eastAsia" w:ascii="宋体"/>
          <w:color w:val="auto"/>
          <w:szCs w:val="21"/>
        </w:rPr>
      </w:pPr>
      <w:r>
        <w:rPr>
          <w:rFonts w:hint="eastAsia" w:ascii="宋体"/>
          <w:color w:val="auto"/>
          <w:szCs w:val="21"/>
        </w:rPr>
        <w:t>发包人提供的主要设备表</w:t>
      </w:r>
      <w:r>
        <w:rPr>
          <w:rFonts w:ascii="宋体"/>
          <w:color w:val="auto"/>
          <w:szCs w:val="21"/>
        </w:rPr>
        <w:t>(</w:t>
      </w:r>
      <w:r>
        <w:rPr>
          <w:rFonts w:hint="eastAsia" w:ascii="宋体"/>
          <w:color w:val="auto"/>
          <w:szCs w:val="21"/>
        </w:rPr>
        <w:t>参考格式</w:t>
      </w:r>
      <w:r>
        <w:rPr>
          <w:rFonts w:ascii="宋体"/>
          <w:color w:val="auto"/>
          <w:szCs w:val="21"/>
        </w:rPr>
        <w:t>)</w:t>
      </w:r>
    </w:p>
    <w:tbl>
      <w:tblPr>
        <w:tblStyle w:val="3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1560"/>
        <w:gridCol w:w="992"/>
        <w:gridCol w:w="1134"/>
        <w:gridCol w:w="1701"/>
        <w:gridCol w:w="8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3"/>
              <w:jc w:val="center"/>
              <w:rPr>
                <w:rFonts w:hint="eastAsia" w:ascii="宋体"/>
                <w:color w:val="auto"/>
                <w:szCs w:val="21"/>
              </w:rPr>
            </w:pPr>
            <w:r>
              <w:rPr>
                <w:rFonts w:hint="eastAsia" w:ascii="宋体"/>
                <w:color w:val="auto"/>
                <w:szCs w:val="21"/>
              </w:rPr>
              <w:t>序号</w:t>
            </w:r>
          </w:p>
        </w:tc>
        <w:tc>
          <w:tcPr>
            <w:tcW w:w="1842" w:type="dxa"/>
            <w:noWrap w:val="0"/>
            <w:vAlign w:val="center"/>
          </w:tcPr>
          <w:p>
            <w:pPr>
              <w:jc w:val="center"/>
              <w:rPr>
                <w:rFonts w:hint="eastAsia" w:ascii="宋体"/>
                <w:color w:val="auto"/>
                <w:szCs w:val="21"/>
              </w:rPr>
            </w:pPr>
            <w:r>
              <w:rPr>
                <w:rFonts w:hint="eastAsia" w:ascii="宋体"/>
                <w:color w:val="auto"/>
                <w:szCs w:val="21"/>
              </w:rPr>
              <w:t>工程设备名称</w:t>
            </w:r>
          </w:p>
        </w:tc>
        <w:tc>
          <w:tcPr>
            <w:tcW w:w="1560" w:type="dxa"/>
            <w:noWrap w:val="0"/>
            <w:vAlign w:val="center"/>
          </w:tcPr>
          <w:p>
            <w:pPr>
              <w:jc w:val="center"/>
              <w:rPr>
                <w:rFonts w:hint="eastAsia" w:ascii="宋体"/>
                <w:color w:val="auto"/>
                <w:szCs w:val="21"/>
              </w:rPr>
            </w:pPr>
            <w:r>
              <w:rPr>
                <w:rFonts w:hint="eastAsia" w:ascii="宋体"/>
                <w:color w:val="auto"/>
                <w:szCs w:val="21"/>
              </w:rPr>
              <w:t>型号及规格</w:t>
            </w:r>
          </w:p>
        </w:tc>
        <w:tc>
          <w:tcPr>
            <w:tcW w:w="992" w:type="dxa"/>
            <w:noWrap w:val="0"/>
            <w:vAlign w:val="center"/>
          </w:tcPr>
          <w:p>
            <w:pPr>
              <w:ind w:right="-33"/>
              <w:jc w:val="center"/>
              <w:rPr>
                <w:rFonts w:hint="eastAsia" w:ascii="宋体"/>
                <w:color w:val="auto"/>
                <w:szCs w:val="21"/>
              </w:rPr>
            </w:pPr>
            <w:r>
              <w:rPr>
                <w:rFonts w:hint="eastAsia" w:ascii="宋体"/>
                <w:color w:val="auto"/>
                <w:szCs w:val="21"/>
              </w:rPr>
              <w:t>数量</w:t>
            </w:r>
          </w:p>
        </w:tc>
        <w:tc>
          <w:tcPr>
            <w:tcW w:w="1134" w:type="dxa"/>
            <w:noWrap w:val="0"/>
            <w:vAlign w:val="center"/>
          </w:tcPr>
          <w:p>
            <w:pPr>
              <w:jc w:val="center"/>
              <w:rPr>
                <w:rFonts w:hint="eastAsia" w:ascii="宋体"/>
                <w:color w:val="auto"/>
                <w:szCs w:val="21"/>
              </w:rPr>
            </w:pPr>
            <w:r>
              <w:rPr>
                <w:rFonts w:hint="eastAsia" w:ascii="宋体"/>
                <w:color w:val="auto"/>
                <w:szCs w:val="21"/>
              </w:rPr>
              <w:t>交货地点</w:t>
            </w:r>
          </w:p>
        </w:tc>
        <w:tc>
          <w:tcPr>
            <w:tcW w:w="1701" w:type="dxa"/>
            <w:noWrap w:val="0"/>
            <w:vAlign w:val="center"/>
          </w:tcPr>
          <w:p>
            <w:pPr>
              <w:jc w:val="center"/>
              <w:rPr>
                <w:rFonts w:ascii="宋体"/>
                <w:color w:val="auto"/>
                <w:szCs w:val="21"/>
              </w:rPr>
            </w:pPr>
            <w:r>
              <w:rPr>
                <w:rFonts w:hint="eastAsia" w:ascii="宋体"/>
                <w:color w:val="auto"/>
                <w:szCs w:val="21"/>
              </w:rPr>
              <w:t>计划交货日期</w:t>
            </w:r>
          </w:p>
        </w:tc>
        <w:tc>
          <w:tcPr>
            <w:tcW w:w="850" w:type="dxa"/>
            <w:noWrap w:val="0"/>
            <w:vAlign w:val="center"/>
          </w:tcPr>
          <w:p>
            <w:pPr>
              <w:jc w:val="center"/>
              <w:rPr>
                <w:rFonts w:ascii="宋体"/>
                <w:color w:val="auto"/>
                <w:szCs w:val="21"/>
              </w:rPr>
            </w:pPr>
            <w:r>
              <w:rPr>
                <w:rFonts w:hint="eastAsia" w:ascii="宋体"/>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bl>
    <w:p>
      <w:pPr>
        <w:pStyle w:val="80"/>
        <w:spacing w:before="120" w:after="120" w:afterLines="50"/>
        <w:outlineLvl w:val="2"/>
        <w:rPr>
          <w:rFonts w:hint="eastAsia"/>
          <w:color w:val="auto"/>
        </w:rPr>
      </w:pPr>
      <w:bookmarkStart w:id="1891" w:name="_Toc222033883"/>
      <w:bookmarkStart w:id="1892" w:name="_Toc222029532"/>
      <w:bookmarkStart w:id="1893" w:name="_Toc12173"/>
      <w:bookmarkStart w:id="1894" w:name="_Toc229305392"/>
      <w:bookmarkStart w:id="1895" w:name="_Toc222031034"/>
      <w:bookmarkStart w:id="1896" w:name="_Toc517172572"/>
      <w:bookmarkStart w:id="1897" w:name="_Toc221951166"/>
      <w:bookmarkStart w:id="1898" w:name="_Toc222032701"/>
      <w:bookmarkStart w:id="1899" w:name="_Toc491089762"/>
      <w:r>
        <w:rPr>
          <w:rFonts w:hint="eastAsia"/>
          <w:color w:val="auto"/>
        </w:rPr>
        <w:t>6. 施工设备和临时设施</w:t>
      </w:r>
      <w:bookmarkEnd w:id="1891"/>
      <w:bookmarkEnd w:id="1892"/>
      <w:bookmarkEnd w:id="1893"/>
      <w:bookmarkEnd w:id="1894"/>
      <w:bookmarkEnd w:id="1895"/>
      <w:bookmarkEnd w:id="1896"/>
      <w:bookmarkEnd w:id="1897"/>
      <w:bookmarkEnd w:id="1898"/>
      <w:bookmarkEnd w:id="1899"/>
      <w:r>
        <w:rPr>
          <w:rFonts w:hint="eastAsia"/>
          <w:color w:val="auto"/>
        </w:rPr>
        <w:t xml:space="preserve"> </w:t>
      </w:r>
    </w:p>
    <w:p>
      <w:pPr>
        <w:keepNext/>
        <w:keepLines/>
        <w:spacing w:line="400" w:lineRule="exact"/>
        <w:outlineLvl w:val="3"/>
        <w:rPr>
          <w:rFonts w:hint="eastAsia" w:eastAsia="黑体"/>
          <w:color w:val="auto"/>
          <w:sz w:val="24"/>
          <w:szCs w:val="20"/>
        </w:rPr>
      </w:pPr>
      <w:bookmarkStart w:id="1900" w:name="_Toc10439"/>
      <w:bookmarkStart w:id="1901" w:name="_Toc517172573"/>
      <w:bookmarkStart w:id="1902" w:name="_Toc221951167"/>
      <w:r>
        <w:rPr>
          <w:rFonts w:hint="eastAsia" w:eastAsia="黑体"/>
          <w:color w:val="auto"/>
          <w:sz w:val="24"/>
          <w:szCs w:val="20"/>
        </w:rPr>
        <w:t>6.2 发包人提供的施工设备和临时设施</w:t>
      </w:r>
      <w:bookmarkEnd w:id="1900"/>
      <w:bookmarkEnd w:id="1901"/>
      <w:bookmarkEnd w:id="1902"/>
    </w:p>
    <w:p>
      <w:pPr>
        <w:spacing w:line="360" w:lineRule="auto"/>
        <w:ind w:right="248" w:firstLine="424" w:firstLineChars="202"/>
        <w:rPr>
          <w:rFonts w:hint="eastAsia" w:ascii="宋体"/>
          <w:color w:val="auto"/>
          <w:szCs w:val="21"/>
        </w:rPr>
      </w:pPr>
      <w:bookmarkStart w:id="1903" w:name="_Toc221951169"/>
      <w:r>
        <w:rPr>
          <w:rFonts w:hint="eastAsia" w:ascii="宋体"/>
          <w:color w:val="auto"/>
          <w:szCs w:val="21"/>
        </w:rPr>
        <w:t>（1）发包人提供的的施工设备见下表</w:t>
      </w:r>
      <w:bookmarkEnd w:id="1903"/>
      <w:r>
        <w:rPr>
          <w:rFonts w:hint="eastAsia" w:ascii="宋体"/>
          <w:color w:val="auto"/>
          <w:szCs w:val="21"/>
        </w:rPr>
        <w:t>：</w:t>
      </w:r>
    </w:p>
    <w:p>
      <w:pPr>
        <w:spacing w:line="360" w:lineRule="auto"/>
        <w:ind w:right="248"/>
        <w:jc w:val="center"/>
        <w:rPr>
          <w:rFonts w:hint="eastAsia" w:ascii="宋体"/>
          <w:color w:val="auto"/>
          <w:szCs w:val="21"/>
        </w:rPr>
      </w:pPr>
      <w:bookmarkStart w:id="1904" w:name="_Toc221951170"/>
      <w:r>
        <w:rPr>
          <w:rFonts w:hint="eastAsia" w:ascii="宋体"/>
          <w:color w:val="auto"/>
          <w:szCs w:val="21"/>
        </w:rPr>
        <w:t>发包人提供的施工设备表</w:t>
      </w:r>
      <w:r>
        <w:rPr>
          <w:rFonts w:ascii="宋体"/>
          <w:color w:val="auto"/>
          <w:szCs w:val="21"/>
        </w:rPr>
        <w:t>(</w:t>
      </w:r>
      <w:r>
        <w:rPr>
          <w:rFonts w:hint="eastAsia" w:ascii="宋体"/>
          <w:color w:val="auto"/>
          <w:szCs w:val="21"/>
        </w:rPr>
        <w:t>参考格式</w:t>
      </w:r>
      <w:r>
        <w:rPr>
          <w:rFonts w:ascii="宋体"/>
          <w:color w:val="auto"/>
          <w:szCs w:val="21"/>
        </w:rPr>
        <w:t>)</w:t>
      </w:r>
      <w:bookmarkEnd w:id="1904"/>
    </w:p>
    <w:tbl>
      <w:tblPr>
        <w:tblStyle w:val="3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842"/>
        <w:gridCol w:w="1560"/>
        <w:gridCol w:w="992"/>
        <w:gridCol w:w="1134"/>
        <w:gridCol w:w="1701"/>
        <w:gridCol w:w="8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3"/>
              <w:jc w:val="center"/>
              <w:rPr>
                <w:rFonts w:hint="eastAsia" w:ascii="宋体"/>
                <w:color w:val="auto"/>
                <w:szCs w:val="21"/>
              </w:rPr>
            </w:pPr>
            <w:r>
              <w:rPr>
                <w:rFonts w:hint="eastAsia" w:ascii="宋体"/>
                <w:color w:val="auto"/>
                <w:szCs w:val="21"/>
              </w:rPr>
              <w:t>序号</w:t>
            </w:r>
          </w:p>
        </w:tc>
        <w:tc>
          <w:tcPr>
            <w:tcW w:w="1842" w:type="dxa"/>
            <w:noWrap w:val="0"/>
            <w:vAlign w:val="center"/>
          </w:tcPr>
          <w:p>
            <w:pPr>
              <w:jc w:val="center"/>
              <w:rPr>
                <w:rFonts w:hint="eastAsia" w:ascii="宋体"/>
                <w:color w:val="auto"/>
                <w:szCs w:val="21"/>
              </w:rPr>
            </w:pPr>
            <w:r>
              <w:rPr>
                <w:rFonts w:hint="eastAsia" w:ascii="宋体"/>
                <w:color w:val="auto"/>
                <w:szCs w:val="21"/>
              </w:rPr>
              <w:t>施工设备名称</w:t>
            </w:r>
          </w:p>
        </w:tc>
        <w:tc>
          <w:tcPr>
            <w:tcW w:w="1560" w:type="dxa"/>
            <w:noWrap w:val="0"/>
            <w:vAlign w:val="center"/>
          </w:tcPr>
          <w:p>
            <w:pPr>
              <w:jc w:val="center"/>
              <w:rPr>
                <w:rFonts w:hint="eastAsia" w:ascii="宋体"/>
                <w:color w:val="auto"/>
                <w:szCs w:val="21"/>
              </w:rPr>
            </w:pPr>
            <w:r>
              <w:rPr>
                <w:rFonts w:hint="eastAsia" w:ascii="宋体"/>
                <w:color w:val="auto"/>
                <w:szCs w:val="21"/>
              </w:rPr>
              <w:t>型号及规格</w:t>
            </w:r>
          </w:p>
        </w:tc>
        <w:tc>
          <w:tcPr>
            <w:tcW w:w="992" w:type="dxa"/>
            <w:noWrap w:val="0"/>
            <w:vAlign w:val="center"/>
          </w:tcPr>
          <w:p>
            <w:pPr>
              <w:ind w:right="-33"/>
              <w:jc w:val="center"/>
              <w:rPr>
                <w:rFonts w:hint="eastAsia" w:ascii="宋体"/>
                <w:color w:val="auto"/>
                <w:szCs w:val="21"/>
              </w:rPr>
            </w:pPr>
            <w:r>
              <w:rPr>
                <w:rFonts w:hint="eastAsia" w:ascii="宋体"/>
                <w:color w:val="auto"/>
                <w:szCs w:val="21"/>
              </w:rPr>
              <w:t>数量</w:t>
            </w:r>
          </w:p>
        </w:tc>
        <w:tc>
          <w:tcPr>
            <w:tcW w:w="1134" w:type="dxa"/>
            <w:noWrap w:val="0"/>
            <w:vAlign w:val="center"/>
          </w:tcPr>
          <w:p>
            <w:pPr>
              <w:jc w:val="center"/>
              <w:rPr>
                <w:rFonts w:hint="eastAsia" w:ascii="宋体"/>
                <w:color w:val="auto"/>
                <w:szCs w:val="21"/>
              </w:rPr>
            </w:pPr>
            <w:r>
              <w:rPr>
                <w:rFonts w:hint="eastAsia" w:ascii="宋体"/>
                <w:color w:val="auto"/>
                <w:szCs w:val="21"/>
              </w:rPr>
              <w:t>交货地点</w:t>
            </w:r>
          </w:p>
        </w:tc>
        <w:tc>
          <w:tcPr>
            <w:tcW w:w="1701" w:type="dxa"/>
            <w:noWrap w:val="0"/>
            <w:vAlign w:val="center"/>
          </w:tcPr>
          <w:p>
            <w:pPr>
              <w:jc w:val="center"/>
              <w:rPr>
                <w:rFonts w:ascii="宋体"/>
                <w:color w:val="auto"/>
                <w:szCs w:val="21"/>
              </w:rPr>
            </w:pPr>
            <w:r>
              <w:rPr>
                <w:rFonts w:hint="eastAsia" w:ascii="宋体"/>
                <w:color w:val="auto"/>
                <w:szCs w:val="21"/>
              </w:rPr>
              <w:t>计划交货日期</w:t>
            </w:r>
          </w:p>
        </w:tc>
        <w:tc>
          <w:tcPr>
            <w:tcW w:w="850" w:type="dxa"/>
            <w:noWrap w:val="0"/>
            <w:vAlign w:val="center"/>
          </w:tcPr>
          <w:p>
            <w:pPr>
              <w:jc w:val="center"/>
              <w:rPr>
                <w:rFonts w:ascii="宋体"/>
                <w:color w:val="auto"/>
                <w:szCs w:val="21"/>
              </w:rPr>
            </w:pPr>
            <w:r>
              <w:rPr>
                <w:rFonts w:hint="eastAsia" w:ascii="宋体"/>
                <w:color w:val="auto"/>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101" w:type="dxa"/>
            <w:noWrap w:val="0"/>
            <w:vAlign w:val="center"/>
          </w:tcPr>
          <w:p>
            <w:pPr>
              <w:ind w:right="248"/>
              <w:jc w:val="center"/>
              <w:rPr>
                <w:rFonts w:hint="eastAsia" w:ascii="宋体"/>
                <w:color w:val="auto"/>
                <w:szCs w:val="21"/>
              </w:rPr>
            </w:pPr>
          </w:p>
        </w:tc>
        <w:tc>
          <w:tcPr>
            <w:tcW w:w="1842" w:type="dxa"/>
            <w:noWrap w:val="0"/>
            <w:vAlign w:val="center"/>
          </w:tcPr>
          <w:p>
            <w:pPr>
              <w:ind w:right="248"/>
              <w:jc w:val="center"/>
              <w:rPr>
                <w:rFonts w:hint="eastAsia" w:ascii="宋体"/>
                <w:color w:val="auto"/>
                <w:szCs w:val="21"/>
              </w:rPr>
            </w:pPr>
          </w:p>
        </w:tc>
        <w:tc>
          <w:tcPr>
            <w:tcW w:w="1560" w:type="dxa"/>
            <w:noWrap w:val="0"/>
            <w:vAlign w:val="center"/>
          </w:tcPr>
          <w:p>
            <w:pPr>
              <w:ind w:right="248"/>
              <w:jc w:val="center"/>
              <w:rPr>
                <w:rFonts w:hint="eastAsia" w:ascii="宋体"/>
                <w:color w:val="auto"/>
                <w:szCs w:val="21"/>
              </w:rPr>
            </w:pPr>
          </w:p>
        </w:tc>
        <w:tc>
          <w:tcPr>
            <w:tcW w:w="992" w:type="dxa"/>
            <w:noWrap w:val="0"/>
            <w:vAlign w:val="center"/>
          </w:tcPr>
          <w:p>
            <w:pPr>
              <w:ind w:right="248"/>
              <w:jc w:val="center"/>
              <w:rPr>
                <w:rFonts w:hint="eastAsia" w:ascii="宋体"/>
                <w:color w:val="auto"/>
                <w:szCs w:val="21"/>
              </w:rPr>
            </w:pPr>
          </w:p>
        </w:tc>
        <w:tc>
          <w:tcPr>
            <w:tcW w:w="1134" w:type="dxa"/>
            <w:noWrap w:val="0"/>
            <w:vAlign w:val="center"/>
          </w:tcPr>
          <w:p>
            <w:pPr>
              <w:ind w:right="248"/>
              <w:jc w:val="center"/>
              <w:rPr>
                <w:rFonts w:hint="eastAsia" w:ascii="宋体"/>
                <w:color w:val="auto"/>
                <w:szCs w:val="21"/>
              </w:rPr>
            </w:pPr>
          </w:p>
        </w:tc>
        <w:tc>
          <w:tcPr>
            <w:tcW w:w="1701" w:type="dxa"/>
            <w:noWrap w:val="0"/>
            <w:vAlign w:val="center"/>
          </w:tcPr>
          <w:p>
            <w:pPr>
              <w:ind w:right="248"/>
              <w:jc w:val="center"/>
              <w:rPr>
                <w:rFonts w:hint="eastAsia" w:ascii="宋体"/>
                <w:color w:val="auto"/>
                <w:szCs w:val="21"/>
              </w:rPr>
            </w:pPr>
          </w:p>
        </w:tc>
        <w:tc>
          <w:tcPr>
            <w:tcW w:w="850" w:type="dxa"/>
            <w:noWrap w:val="0"/>
            <w:vAlign w:val="center"/>
          </w:tcPr>
          <w:p>
            <w:pPr>
              <w:ind w:right="248"/>
              <w:jc w:val="center"/>
              <w:rPr>
                <w:rFonts w:hint="eastAsia" w:ascii="宋体"/>
                <w:color w:val="auto"/>
                <w:szCs w:val="21"/>
              </w:rPr>
            </w:pPr>
          </w:p>
        </w:tc>
      </w:tr>
    </w:tbl>
    <w:p>
      <w:pPr>
        <w:pStyle w:val="32"/>
        <w:spacing w:line="400" w:lineRule="exact"/>
        <w:rPr>
          <w:rFonts w:hint="eastAsia" w:ascii="宋体" w:hAnsi="宋体"/>
          <w:color w:val="auto"/>
          <w:szCs w:val="21"/>
        </w:rPr>
      </w:pPr>
      <w:bookmarkStart w:id="1905" w:name="_Toc221951177"/>
      <w:r>
        <w:rPr>
          <w:rFonts w:hint="eastAsia" w:ascii="宋体" w:hAnsi="宋体"/>
          <w:color w:val="auto"/>
          <w:szCs w:val="21"/>
        </w:rPr>
        <w:t>注：设备状况栏内填写该设备的新旧程度、购进时间、已使用小时数和最近一次的大修时间。</w:t>
      </w:r>
      <w:bookmarkEnd w:id="1905"/>
    </w:p>
    <w:p>
      <w:pPr>
        <w:spacing w:line="400" w:lineRule="exact"/>
        <w:ind w:right="248" w:firstLine="424" w:firstLineChars="202"/>
        <w:rPr>
          <w:rFonts w:hint="eastAsia" w:ascii="宋体"/>
          <w:color w:val="auto"/>
          <w:szCs w:val="21"/>
        </w:rPr>
      </w:pPr>
      <w:r>
        <w:rPr>
          <w:rFonts w:hint="eastAsia" w:ascii="宋体"/>
          <w:color w:val="auto"/>
          <w:szCs w:val="21"/>
        </w:rPr>
        <w:t>（2）发包人提供的临时设施：</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06" w:name="_Toc222031035"/>
      <w:bookmarkStart w:id="1907" w:name="_Toc517172574"/>
      <w:bookmarkStart w:id="1908" w:name="_Toc222029533"/>
      <w:bookmarkStart w:id="1909" w:name="_Toc221951178"/>
      <w:bookmarkStart w:id="1910" w:name="_Toc1115"/>
      <w:bookmarkStart w:id="1911" w:name="_Toc222032702"/>
      <w:bookmarkStart w:id="1912" w:name="_Toc222033884"/>
      <w:bookmarkStart w:id="1913" w:name="_Toc491089763"/>
      <w:r>
        <w:rPr>
          <w:rFonts w:hint="eastAsia"/>
          <w:color w:val="auto"/>
        </w:rPr>
        <w:t>7. 交通运输</w:t>
      </w:r>
      <w:bookmarkEnd w:id="1906"/>
      <w:bookmarkEnd w:id="1907"/>
      <w:bookmarkEnd w:id="1908"/>
      <w:bookmarkEnd w:id="1909"/>
      <w:bookmarkEnd w:id="1910"/>
      <w:bookmarkEnd w:id="1911"/>
      <w:bookmarkEnd w:id="1912"/>
      <w:bookmarkEnd w:id="1913"/>
    </w:p>
    <w:p>
      <w:pPr>
        <w:keepNext/>
        <w:keepLines/>
        <w:spacing w:line="400" w:lineRule="exact"/>
        <w:outlineLvl w:val="3"/>
        <w:rPr>
          <w:rFonts w:hint="eastAsia" w:eastAsia="黑体"/>
          <w:color w:val="auto"/>
          <w:sz w:val="24"/>
          <w:szCs w:val="20"/>
        </w:rPr>
      </w:pPr>
      <w:bookmarkStart w:id="1914" w:name="_Toc517172575"/>
      <w:bookmarkStart w:id="1915" w:name="_Toc11848"/>
      <w:bookmarkStart w:id="1916" w:name="_Toc221951179"/>
      <w:r>
        <w:rPr>
          <w:rFonts w:hint="eastAsia" w:eastAsia="黑体"/>
          <w:color w:val="auto"/>
          <w:sz w:val="24"/>
          <w:szCs w:val="20"/>
        </w:rPr>
        <w:t>7.</w:t>
      </w:r>
      <w:r>
        <w:rPr>
          <w:rFonts w:eastAsia="黑体"/>
          <w:color w:val="auto"/>
          <w:sz w:val="24"/>
          <w:szCs w:val="20"/>
        </w:rPr>
        <w:t>1</w:t>
      </w:r>
      <w:r>
        <w:rPr>
          <w:rFonts w:hint="eastAsia" w:eastAsia="黑体"/>
          <w:color w:val="auto"/>
          <w:sz w:val="24"/>
          <w:szCs w:val="20"/>
        </w:rPr>
        <w:t xml:space="preserve"> 道路通行权和场外设施</w:t>
      </w:r>
      <w:bookmarkEnd w:id="1914"/>
      <w:bookmarkEnd w:id="1915"/>
      <w:bookmarkEnd w:id="1916"/>
    </w:p>
    <w:p>
      <w:pPr>
        <w:spacing w:line="360" w:lineRule="auto"/>
        <w:ind w:right="248" w:firstLine="480"/>
        <w:rPr>
          <w:rFonts w:hint="eastAsia" w:ascii="宋体"/>
          <w:color w:val="auto"/>
          <w:szCs w:val="21"/>
        </w:rPr>
      </w:pPr>
      <w:r>
        <w:rPr>
          <w:rFonts w:hint="eastAsia" w:ascii="宋体"/>
          <w:color w:val="auto"/>
          <w:szCs w:val="21"/>
        </w:rPr>
        <w:t>道路通行权及场外设施的约定：</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17" w:name="_Toc491089764"/>
      <w:bookmarkStart w:id="1918" w:name="_Toc517172576"/>
      <w:bookmarkStart w:id="1919" w:name="_Toc818"/>
      <w:r>
        <w:rPr>
          <w:rFonts w:hint="eastAsia"/>
          <w:color w:val="auto"/>
        </w:rPr>
        <w:t>8. 测量放线</w:t>
      </w:r>
      <w:bookmarkEnd w:id="1917"/>
      <w:bookmarkEnd w:id="1918"/>
      <w:bookmarkEnd w:id="1919"/>
    </w:p>
    <w:p>
      <w:pPr>
        <w:keepNext/>
        <w:keepLines/>
        <w:spacing w:line="400" w:lineRule="exact"/>
        <w:outlineLvl w:val="3"/>
        <w:rPr>
          <w:rFonts w:hint="eastAsia" w:eastAsia="黑体"/>
          <w:color w:val="auto"/>
          <w:sz w:val="24"/>
          <w:szCs w:val="20"/>
        </w:rPr>
      </w:pPr>
      <w:bookmarkStart w:id="1920" w:name="_Toc517172577"/>
      <w:bookmarkStart w:id="1921" w:name="_Toc12883"/>
      <w:r>
        <w:rPr>
          <w:rFonts w:hint="eastAsia" w:eastAsia="黑体"/>
          <w:color w:val="auto"/>
          <w:sz w:val="24"/>
          <w:szCs w:val="20"/>
        </w:rPr>
        <w:t>8.1 施工控制网</w:t>
      </w:r>
      <w:bookmarkEnd w:id="1920"/>
      <w:bookmarkEnd w:id="1921"/>
    </w:p>
    <w:p>
      <w:pPr>
        <w:spacing w:line="360" w:lineRule="auto"/>
        <w:ind w:right="248" w:firstLine="480"/>
        <w:rPr>
          <w:rFonts w:hint="eastAsia" w:ascii="宋体"/>
          <w:color w:val="auto"/>
          <w:szCs w:val="21"/>
        </w:rPr>
      </w:pPr>
      <w:r>
        <w:rPr>
          <w:rFonts w:hint="eastAsia" w:ascii="宋体"/>
          <w:color w:val="auto"/>
          <w:szCs w:val="21"/>
        </w:rPr>
        <w:t>8.1.1施工控制网的约定：</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22" w:name="_Toc491089765"/>
      <w:bookmarkStart w:id="1923" w:name="_Toc517172578"/>
      <w:bookmarkStart w:id="1924" w:name="_Toc27013"/>
      <w:r>
        <w:rPr>
          <w:rFonts w:hint="eastAsia"/>
          <w:color w:val="auto"/>
        </w:rPr>
        <w:t>9. 施工安全、治安保卫和环境保护</w:t>
      </w:r>
      <w:bookmarkEnd w:id="1922"/>
      <w:bookmarkEnd w:id="1923"/>
      <w:bookmarkEnd w:id="1924"/>
    </w:p>
    <w:p>
      <w:pPr>
        <w:keepNext/>
        <w:keepLines/>
        <w:spacing w:line="400" w:lineRule="exact"/>
        <w:outlineLvl w:val="3"/>
        <w:rPr>
          <w:rFonts w:hint="eastAsia" w:eastAsia="黑体"/>
          <w:color w:val="auto"/>
          <w:sz w:val="24"/>
          <w:szCs w:val="20"/>
        </w:rPr>
      </w:pPr>
      <w:bookmarkStart w:id="1925" w:name="_Toc517172579"/>
      <w:bookmarkStart w:id="1926" w:name="_Toc19356"/>
      <w:r>
        <w:rPr>
          <w:rFonts w:hint="eastAsia" w:eastAsia="黑体"/>
          <w:color w:val="auto"/>
          <w:sz w:val="24"/>
          <w:szCs w:val="20"/>
        </w:rPr>
        <w:t>9.1 发包人的施工安全责任</w:t>
      </w:r>
      <w:bookmarkEnd w:id="1925"/>
      <w:bookmarkEnd w:id="1926"/>
    </w:p>
    <w:p>
      <w:pPr>
        <w:spacing w:line="360" w:lineRule="auto"/>
        <w:ind w:right="248" w:firstLine="480"/>
        <w:rPr>
          <w:rFonts w:hint="eastAsia" w:ascii="宋体"/>
          <w:color w:val="auto"/>
          <w:szCs w:val="21"/>
        </w:rPr>
      </w:pPr>
      <w:r>
        <w:rPr>
          <w:rFonts w:hint="eastAsia" w:ascii="宋体"/>
          <w:color w:val="auto"/>
          <w:szCs w:val="21"/>
        </w:rPr>
        <w:t>9.1.4发包人提供</w:t>
      </w:r>
      <w:r>
        <w:rPr>
          <w:rFonts w:hint="eastAsia" w:ascii="宋体"/>
          <w:color w:val="auto"/>
          <w:szCs w:val="21"/>
          <w:u w:val="single"/>
        </w:rPr>
        <w:t xml:space="preserve">             </w:t>
      </w:r>
      <w:r>
        <w:rPr>
          <w:rFonts w:hint="eastAsia" w:ascii="宋体"/>
          <w:color w:val="auto"/>
          <w:szCs w:val="21"/>
        </w:rPr>
        <w:t>资料，其余资料由承包人负责收集。</w:t>
      </w:r>
    </w:p>
    <w:p>
      <w:pPr>
        <w:keepNext/>
        <w:keepLines/>
        <w:spacing w:line="400" w:lineRule="exact"/>
        <w:outlineLvl w:val="3"/>
        <w:rPr>
          <w:rFonts w:hint="eastAsia" w:eastAsia="黑体"/>
          <w:color w:val="auto"/>
          <w:sz w:val="24"/>
          <w:szCs w:val="20"/>
        </w:rPr>
      </w:pPr>
      <w:bookmarkStart w:id="1927" w:name="_Toc517172580"/>
      <w:bookmarkStart w:id="1928" w:name="_Toc19971"/>
      <w:r>
        <w:rPr>
          <w:rFonts w:hint="eastAsia" w:eastAsia="黑体"/>
          <w:color w:val="auto"/>
          <w:sz w:val="24"/>
          <w:szCs w:val="20"/>
        </w:rPr>
        <w:t>9.2 承包人的施工安全责任</w:t>
      </w:r>
      <w:bookmarkEnd w:id="1927"/>
      <w:bookmarkEnd w:id="1928"/>
    </w:p>
    <w:p>
      <w:pPr>
        <w:spacing w:line="360" w:lineRule="auto"/>
        <w:ind w:right="248" w:firstLine="480"/>
        <w:rPr>
          <w:rFonts w:hint="eastAsia" w:ascii="宋体"/>
          <w:color w:val="auto"/>
          <w:szCs w:val="21"/>
        </w:rPr>
      </w:pPr>
      <w:r>
        <w:rPr>
          <w:rFonts w:hint="eastAsia" w:ascii="宋体"/>
          <w:color w:val="auto"/>
          <w:szCs w:val="21"/>
        </w:rPr>
        <w:t>9.2.12下列工程应编制专项施工方案：</w:t>
      </w:r>
      <w:r>
        <w:rPr>
          <w:rFonts w:hint="eastAsia" w:ascii="宋体"/>
          <w:color w:val="auto"/>
          <w:szCs w:val="21"/>
          <w:u w:val="single"/>
        </w:rPr>
        <w:t xml:space="preserve">            </w:t>
      </w:r>
      <w:r>
        <w:rPr>
          <w:rFonts w:hint="eastAsia" w:ascii="宋体"/>
          <w:color w:val="auto"/>
          <w:szCs w:val="21"/>
        </w:rPr>
        <w:t>。其中</w:t>
      </w:r>
      <w:r>
        <w:rPr>
          <w:rFonts w:hint="eastAsia" w:ascii="宋体"/>
          <w:color w:val="auto"/>
          <w:szCs w:val="21"/>
          <w:u w:val="single"/>
        </w:rPr>
        <w:t xml:space="preserve">                </w:t>
      </w:r>
      <w:r>
        <w:rPr>
          <w:rFonts w:hint="eastAsia" w:ascii="宋体"/>
          <w:color w:val="auto"/>
          <w:szCs w:val="21"/>
        </w:rPr>
        <w:t>应组织专家论证和审查。</w:t>
      </w:r>
    </w:p>
    <w:p>
      <w:pPr>
        <w:keepNext/>
        <w:keepLines/>
        <w:spacing w:line="400" w:lineRule="exact"/>
        <w:outlineLvl w:val="3"/>
        <w:rPr>
          <w:rFonts w:hint="eastAsia" w:eastAsia="黑体"/>
          <w:color w:val="auto"/>
          <w:sz w:val="24"/>
          <w:szCs w:val="20"/>
        </w:rPr>
      </w:pPr>
      <w:bookmarkStart w:id="1929" w:name="_Toc517172581"/>
      <w:bookmarkStart w:id="1930" w:name="_Toc19900"/>
      <w:r>
        <w:rPr>
          <w:rFonts w:hint="eastAsia" w:eastAsia="黑体"/>
          <w:color w:val="auto"/>
          <w:sz w:val="24"/>
          <w:szCs w:val="20"/>
        </w:rPr>
        <w:t>9.7 文明工地</w:t>
      </w:r>
      <w:bookmarkEnd w:id="1929"/>
      <w:bookmarkEnd w:id="1930"/>
    </w:p>
    <w:p>
      <w:pPr>
        <w:spacing w:line="360" w:lineRule="auto"/>
        <w:ind w:right="248" w:firstLine="480"/>
        <w:rPr>
          <w:rFonts w:hint="eastAsia" w:ascii="宋体"/>
          <w:color w:val="auto"/>
          <w:szCs w:val="21"/>
        </w:rPr>
      </w:pPr>
      <w:r>
        <w:rPr>
          <w:rFonts w:ascii="宋体"/>
          <w:color w:val="auto"/>
          <w:szCs w:val="21"/>
        </w:rPr>
        <w:t xml:space="preserve">9.7.1 </w:t>
      </w:r>
      <w:r>
        <w:rPr>
          <w:rFonts w:hint="eastAsia" w:ascii="宋体"/>
          <w:color w:val="auto"/>
          <w:szCs w:val="21"/>
        </w:rPr>
        <w:t>本合同文明工地的约定：</w:t>
      </w:r>
      <w:r>
        <w:rPr>
          <w:rFonts w:hint="eastAsia" w:ascii="宋体"/>
          <w:color w:val="auto"/>
          <w:szCs w:val="21"/>
          <w:u w:val="single"/>
        </w:rPr>
        <w:t xml:space="preserve">                                   </w:t>
      </w:r>
      <w:r>
        <w:rPr>
          <w:rFonts w:hint="eastAsia" w:ascii="宋体"/>
          <w:color w:val="auto"/>
          <w:szCs w:val="21"/>
        </w:rPr>
        <w:t xml:space="preserve">。     </w:t>
      </w:r>
    </w:p>
    <w:p>
      <w:pPr>
        <w:pStyle w:val="80"/>
        <w:spacing w:before="120" w:after="120" w:afterLines="50"/>
        <w:outlineLvl w:val="2"/>
        <w:rPr>
          <w:rFonts w:hint="eastAsia"/>
          <w:color w:val="auto"/>
        </w:rPr>
      </w:pPr>
      <w:bookmarkStart w:id="1931" w:name="_Toc229305394"/>
      <w:bookmarkStart w:id="1932" w:name="_Toc222033887"/>
      <w:bookmarkStart w:id="1933" w:name="_Toc222032705"/>
      <w:bookmarkStart w:id="1934" w:name="_Toc222031038"/>
      <w:bookmarkStart w:id="1935" w:name="_Toc222029536"/>
      <w:bookmarkStart w:id="1936" w:name="_Toc221951188"/>
      <w:bookmarkStart w:id="1937" w:name="_Toc491089766"/>
      <w:bookmarkStart w:id="1938" w:name="_Toc517172582"/>
      <w:bookmarkStart w:id="1939" w:name="_Toc30456"/>
      <w:r>
        <w:rPr>
          <w:rFonts w:hint="eastAsia"/>
          <w:color w:val="auto"/>
        </w:rPr>
        <w:t>11. 开工和竣工</w:t>
      </w:r>
      <w:bookmarkEnd w:id="1931"/>
      <w:bookmarkEnd w:id="1932"/>
      <w:bookmarkEnd w:id="1933"/>
      <w:bookmarkEnd w:id="1934"/>
      <w:bookmarkEnd w:id="1935"/>
      <w:bookmarkEnd w:id="1936"/>
      <w:r>
        <w:rPr>
          <w:rFonts w:hint="eastAsia"/>
          <w:color w:val="auto"/>
        </w:rPr>
        <w:t>（完工）</w:t>
      </w:r>
      <w:bookmarkEnd w:id="1937"/>
      <w:bookmarkEnd w:id="1938"/>
      <w:bookmarkEnd w:id="1939"/>
    </w:p>
    <w:p>
      <w:pPr>
        <w:keepNext/>
        <w:keepLines/>
        <w:spacing w:line="400" w:lineRule="exact"/>
        <w:outlineLvl w:val="3"/>
        <w:rPr>
          <w:rFonts w:hint="eastAsia" w:eastAsia="黑体"/>
          <w:color w:val="auto"/>
          <w:sz w:val="24"/>
          <w:szCs w:val="20"/>
        </w:rPr>
      </w:pPr>
      <w:bookmarkStart w:id="1940" w:name="_Toc221951189"/>
      <w:bookmarkStart w:id="1941" w:name="_Toc517172583"/>
      <w:bookmarkStart w:id="1942" w:name="_Toc2684"/>
      <w:r>
        <w:rPr>
          <w:rFonts w:hint="eastAsia" w:eastAsia="黑体"/>
          <w:color w:val="auto"/>
          <w:sz w:val="24"/>
          <w:szCs w:val="20"/>
        </w:rPr>
        <w:t>11.4 异常恶劣的气候条件</w:t>
      </w:r>
      <w:bookmarkEnd w:id="1940"/>
      <w:bookmarkEnd w:id="1941"/>
      <w:bookmarkEnd w:id="1942"/>
      <w:r>
        <w:rPr>
          <w:rFonts w:hint="eastAsia" w:eastAsia="黑体"/>
          <w:color w:val="auto"/>
          <w:sz w:val="24"/>
          <w:szCs w:val="20"/>
        </w:rPr>
        <w:t xml:space="preserve"> </w:t>
      </w:r>
    </w:p>
    <w:p>
      <w:pPr>
        <w:spacing w:line="360" w:lineRule="auto"/>
        <w:ind w:right="248" w:firstLine="480"/>
        <w:rPr>
          <w:rFonts w:hint="eastAsia" w:ascii="宋体"/>
          <w:color w:val="auto"/>
          <w:szCs w:val="21"/>
        </w:rPr>
      </w:pPr>
      <w:bookmarkStart w:id="1943" w:name="_Toc221951191"/>
      <w:r>
        <w:rPr>
          <w:rFonts w:hint="eastAsia" w:ascii="宋体"/>
          <w:color w:val="auto"/>
          <w:szCs w:val="21"/>
        </w:rPr>
        <w:t>11.4.3 本合同工程界定异常恶劣气候条件的范围为：</w:t>
      </w:r>
      <w:bookmarkEnd w:id="1943"/>
    </w:p>
    <w:p>
      <w:pPr>
        <w:spacing w:line="360" w:lineRule="auto"/>
        <w:ind w:right="248" w:firstLine="480"/>
        <w:rPr>
          <w:rFonts w:hint="eastAsia" w:ascii="宋体"/>
          <w:color w:val="auto"/>
          <w:szCs w:val="21"/>
        </w:rPr>
      </w:pPr>
      <w:bookmarkStart w:id="1944" w:name="_Toc221951192"/>
      <w:r>
        <w:rPr>
          <w:rFonts w:hint="eastAsia" w:ascii="宋体"/>
          <w:color w:val="auto"/>
          <w:szCs w:val="21"/>
        </w:rPr>
        <w:t>（1）日降雨量大于</w:t>
      </w:r>
      <w:r>
        <w:rPr>
          <w:rFonts w:hint="eastAsia" w:ascii="宋体"/>
          <w:color w:val="auto"/>
          <w:szCs w:val="21"/>
          <w:u w:val="single"/>
        </w:rPr>
        <w:t xml:space="preserve">     </w:t>
      </w:r>
      <w:r>
        <w:rPr>
          <w:rFonts w:hint="eastAsia" w:ascii="宋体"/>
          <w:color w:val="auto"/>
          <w:szCs w:val="21"/>
        </w:rPr>
        <w:t>㎜的雨日超过</w:t>
      </w:r>
      <w:r>
        <w:rPr>
          <w:rFonts w:hint="eastAsia" w:ascii="宋体"/>
          <w:color w:val="auto"/>
          <w:szCs w:val="21"/>
          <w:u w:val="single"/>
        </w:rPr>
        <w:t xml:space="preserve">     </w:t>
      </w:r>
      <w:r>
        <w:rPr>
          <w:rFonts w:hint="eastAsia" w:ascii="宋体"/>
          <w:color w:val="auto"/>
          <w:szCs w:val="21"/>
        </w:rPr>
        <w:t>天； `</w:t>
      </w:r>
      <w:bookmarkEnd w:id="1944"/>
    </w:p>
    <w:p>
      <w:pPr>
        <w:spacing w:line="360" w:lineRule="auto"/>
        <w:ind w:right="248" w:firstLine="480"/>
        <w:rPr>
          <w:rFonts w:hint="eastAsia" w:ascii="宋体"/>
          <w:color w:val="auto"/>
          <w:szCs w:val="21"/>
        </w:rPr>
      </w:pPr>
      <w:bookmarkStart w:id="1945" w:name="_Toc221951193"/>
      <w:r>
        <w:rPr>
          <w:rFonts w:hint="eastAsia" w:ascii="宋体"/>
          <w:color w:val="auto"/>
          <w:szCs w:val="21"/>
        </w:rPr>
        <w:t>（2）风速大于</w:t>
      </w:r>
      <w:r>
        <w:rPr>
          <w:rFonts w:hint="eastAsia" w:ascii="宋体"/>
          <w:color w:val="auto"/>
          <w:szCs w:val="21"/>
          <w:u w:val="single"/>
        </w:rPr>
        <w:t xml:space="preserve">     </w:t>
      </w:r>
      <w:r>
        <w:rPr>
          <w:rFonts w:hint="eastAsia" w:ascii="宋体"/>
          <w:color w:val="auto"/>
          <w:szCs w:val="21"/>
        </w:rPr>
        <w:t>m/s的</w:t>
      </w:r>
      <w:r>
        <w:rPr>
          <w:rFonts w:hint="eastAsia" w:ascii="宋体"/>
          <w:color w:val="auto"/>
          <w:szCs w:val="21"/>
          <w:u w:val="single"/>
        </w:rPr>
        <w:t xml:space="preserve">   </w:t>
      </w:r>
      <w:r>
        <w:rPr>
          <w:rFonts w:hint="eastAsia" w:ascii="宋体"/>
          <w:color w:val="auto"/>
          <w:szCs w:val="21"/>
        </w:rPr>
        <w:t>级以上台风灾害；</w:t>
      </w:r>
      <w:bookmarkEnd w:id="1945"/>
    </w:p>
    <w:p>
      <w:pPr>
        <w:spacing w:line="360" w:lineRule="auto"/>
        <w:ind w:right="248" w:firstLine="480"/>
        <w:rPr>
          <w:rFonts w:hint="eastAsia" w:ascii="宋体"/>
          <w:color w:val="auto"/>
          <w:szCs w:val="21"/>
        </w:rPr>
      </w:pPr>
      <w:bookmarkStart w:id="1946" w:name="_Toc221951194"/>
      <w:r>
        <w:rPr>
          <w:rFonts w:hint="eastAsia" w:ascii="宋体"/>
          <w:color w:val="auto"/>
          <w:szCs w:val="21"/>
        </w:rPr>
        <w:t>（3）</w:t>
      </w:r>
      <w:bookmarkEnd w:id="1946"/>
      <w:r>
        <w:rPr>
          <w:rFonts w:hint="eastAsia" w:ascii="宋体"/>
          <w:color w:val="auto"/>
          <w:szCs w:val="21"/>
        </w:rPr>
        <w:t>日气温超过</w:t>
      </w:r>
      <w:r>
        <w:rPr>
          <w:rFonts w:hint="eastAsia" w:ascii="宋体"/>
          <w:color w:val="auto"/>
          <w:szCs w:val="21"/>
          <w:u w:val="single"/>
        </w:rPr>
        <w:t xml:space="preserve">    </w:t>
      </w:r>
      <w:r>
        <w:rPr>
          <w:rFonts w:hint="eastAsia" w:ascii="宋体" w:hAnsi="宋体"/>
          <w:color w:val="auto"/>
          <w:szCs w:val="21"/>
        </w:rPr>
        <w:t>℃</w:t>
      </w:r>
      <w:r>
        <w:rPr>
          <w:rFonts w:hint="eastAsia" w:ascii="宋体"/>
          <w:color w:val="auto"/>
          <w:szCs w:val="21"/>
        </w:rPr>
        <w:t>的高温</w:t>
      </w:r>
      <w:r>
        <w:rPr>
          <w:rFonts w:hint="eastAsia" w:ascii="宋体" w:hAnsi="宋体"/>
          <w:color w:val="auto"/>
          <w:szCs w:val="21"/>
        </w:rPr>
        <w:t>大于</w:t>
      </w:r>
      <w:r>
        <w:rPr>
          <w:rFonts w:hint="eastAsia" w:ascii="宋体"/>
          <w:color w:val="auto"/>
          <w:szCs w:val="21"/>
          <w:u w:val="single"/>
        </w:rPr>
        <w:t xml:space="preserve">     </w:t>
      </w:r>
      <w:r>
        <w:rPr>
          <w:rFonts w:hint="eastAsia" w:ascii="宋体"/>
          <w:color w:val="auto"/>
          <w:szCs w:val="21"/>
        </w:rPr>
        <w:t>天；</w:t>
      </w:r>
    </w:p>
    <w:p>
      <w:pPr>
        <w:spacing w:line="360" w:lineRule="auto"/>
        <w:ind w:right="248" w:firstLine="480"/>
        <w:rPr>
          <w:rFonts w:hint="eastAsia" w:ascii="宋体"/>
          <w:color w:val="auto"/>
          <w:szCs w:val="21"/>
        </w:rPr>
      </w:pPr>
      <w:bookmarkStart w:id="1947" w:name="_Toc221951195"/>
      <w:r>
        <w:rPr>
          <w:rFonts w:hint="eastAsia" w:ascii="宋体"/>
          <w:color w:val="auto"/>
          <w:szCs w:val="21"/>
        </w:rPr>
        <w:t>（4）</w:t>
      </w:r>
      <w:bookmarkEnd w:id="1947"/>
      <w:r>
        <w:rPr>
          <w:rFonts w:hint="eastAsia" w:ascii="宋体"/>
          <w:color w:val="auto"/>
          <w:szCs w:val="21"/>
        </w:rPr>
        <w:t>日气温低于</w:t>
      </w:r>
      <w:r>
        <w:rPr>
          <w:rFonts w:hint="eastAsia" w:ascii="宋体"/>
          <w:color w:val="auto"/>
          <w:szCs w:val="21"/>
          <w:u w:val="single"/>
        </w:rPr>
        <w:t xml:space="preserve">    </w:t>
      </w:r>
      <w:r>
        <w:rPr>
          <w:rFonts w:hint="eastAsia" w:ascii="宋体" w:hAnsi="宋体"/>
          <w:color w:val="auto"/>
          <w:szCs w:val="21"/>
        </w:rPr>
        <w:t>℃的严寒大于</w:t>
      </w:r>
      <w:r>
        <w:rPr>
          <w:rFonts w:hint="eastAsia" w:ascii="宋体" w:hAnsi="宋体"/>
          <w:color w:val="auto"/>
          <w:szCs w:val="21"/>
          <w:u w:val="single"/>
        </w:rPr>
        <w:t xml:space="preserve">     </w:t>
      </w:r>
      <w:r>
        <w:rPr>
          <w:rFonts w:hint="eastAsia" w:ascii="宋体" w:hAnsi="宋体"/>
          <w:color w:val="auto"/>
          <w:szCs w:val="21"/>
        </w:rPr>
        <w:t>天。</w:t>
      </w:r>
    </w:p>
    <w:p>
      <w:pPr>
        <w:spacing w:line="360" w:lineRule="auto"/>
        <w:ind w:right="248" w:firstLine="480"/>
        <w:rPr>
          <w:rFonts w:hint="eastAsia" w:ascii="宋体"/>
          <w:color w:val="auto"/>
          <w:szCs w:val="21"/>
          <w:u w:val="single"/>
        </w:rPr>
      </w:pPr>
      <w:bookmarkStart w:id="1948" w:name="_Toc221951196"/>
      <w:r>
        <w:rPr>
          <w:rFonts w:hint="eastAsia" w:ascii="宋体"/>
          <w:color w:val="auto"/>
          <w:szCs w:val="21"/>
        </w:rPr>
        <w:t>（5）</w:t>
      </w:r>
      <w:bookmarkEnd w:id="1948"/>
      <w:r>
        <w:rPr>
          <w:rFonts w:hint="eastAsia" w:ascii="宋体"/>
          <w:color w:val="auto"/>
          <w:szCs w:val="21"/>
        </w:rPr>
        <w:t>造成工程损坏的冰雹和大雪灾害：</w:t>
      </w:r>
      <w:r>
        <w:rPr>
          <w:rFonts w:hint="eastAsia" w:ascii="宋体"/>
          <w:color w:val="auto"/>
          <w:szCs w:val="21"/>
          <w:u w:val="single"/>
        </w:rPr>
        <w:t xml:space="preserve">                。</w:t>
      </w:r>
    </w:p>
    <w:p>
      <w:pPr>
        <w:spacing w:line="360" w:lineRule="auto"/>
        <w:ind w:right="248" w:firstLine="480"/>
        <w:rPr>
          <w:rFonts w:hint="eastAsia" w:ascii="宋体"/>
          <w:color w:val="auto"/>
          <w:szCs w:val="21"/>
        </w:rPr>
      </w:pPr>
      <w:bookmarkStart w:id="1949" w:name="_Toc221951197"/>
      <w:r>
        <w:rPr>
          <w:rFonts w:hint="eastAsia" w:ascii="宋体"/>
          <w:color w:val="auto"/>
          <w:szCs w:val="21"/>
        </w:rPr>
        <w:t>（6）其他异常恶劣气候灾害。</w:t>
      </w:r>
      <w:bookmarkEnd w:id="1949"/>
    </w:p>
    <w:p>
      <w:pPr>
        <w:keepNext/>
        <w:keepLines/>
        <w:spacing w:line="400" w:lineRule="exact"/>
        <w:outlineLvl w:val="3"/>
        <w:rPr>
          <w:rFonts w:eastAsia="黑体"/>
          <w:color w:val="auto"/>
          <w:sz w:val="24"/>
          <w:szCs w:val="20"/>
        </w:rPr>
      </w:pPr>
      <w:bookmarkStart w:id="1950" w:name="_Toc221951198"/>
      <w:bookmarkStart w:id="1951" w:name="_Toc517172584"/>
      <w:bookmarkStart w:id="1952" w:name="_Toc18676"/>
      <w:r>
        <w:rPr>
          <w:rFonts w:hint="eastAsia" w:eastAsia="黑体"/>
          <w:color w:val="auto"/>
          <w:sz w:val="24"/>
          <w:szCs w:val="20"/>
        </w:rPr>
        <w:t>11.5 承包人工期延误</w:t>
      </w:r>
      <w:bookmarkEnd w:id="1950"/>
      <w:bookmarkEnd w:id="1951"/>
      <w:bookmarkEnd w:id="1952"/>
      <w:r>
        <w:rPr>
          <w:rFonts w:hint="eastAsia" w:eastAsia="黑体"/>
          <w:color w:val="auto"/>
          <w:sz w:val="24"/>
          <w:szCs w:val="20"/>
        </w:rPr>
        <w:t xml:space="preserve"> </w:t>
      </w:r>
    </w:p>
    <w:p>
      <w:pPr>
        <w:keepNext/>
        <w:keepLines/>
        <w:spacing w:line="400" w:lineRule="exact"/>
        <w:rPr>
          <w:rFonts w:hint="eastAsia" w:ascii="宋体"/>
          <w:bCs/>
          <w:color w:val="auto"/>
          <w:szCs w:val="21"/>
        </w:rPr>
      </w:pPr>
      <w:r>
        <w:rPr>
          <w:rFonts w:eastAsia="黑体"/>
          <w:color w:val="auto"/>
          <w:sz w:val="24"/>
          <w:szCs w:val="20"/>
        </w:rPr>
        <w:br w:type="page"/>
      </w:r>
      <w:r>
        <w:rPr>
          <w:rFonts w:hint="eastAsia" w:ascii="宋体"/>
          <w:bCs/>
          <w:color w:val="auto"/>
          <w:szCs w:val="21"/>
        </w:rPr>
        <w:t xml:space="preserve">   </w:t>
      </w:r>
      <w:bookmarkStart w:id="1953" w:name="_Toc221951200"/>
      <w:r>
        <w:rPr>
          <w:rFonts w:hint="eastAsia" w:ascii="宋体"/>
          <w:bCs/>
          <w:color w:val="auto"/>
          <w:szCs w:val="21"/>
        </w:rPr>
        <w:t>（1）逾期完工违约金表</w:t>
      </w:r>
      <w:r>
        <w:rPr>
          <w:rFonts w:ascii="宋体"/>
          <w:bCs/>
          <w:color w:val="auto"/>
          <w:szCs w:val="21"/>
        </w:rPr>
        <w:t>(</w:t>
      </w:r>
      <w:r>
        <w:rPr>
          <w:rFonts w:hint="eastAsia" w:ascii="楷体_GB2312" w:eastAsia="楷体_GB2312"/>
          <w:bCs/>
          <w:color w:val="auto"/>
          <w:szCs w:val="21"/>
        </w:rPr>
        <w:t>参考格式</w:t>
      </w:r>
      <w:r>
        <w:rPr>
          <w:rFonts w:ascii="宋体"/>
          <w:bCs/>
          <w:color w:val="auto"/>
          <w:szCs w:val="21"/>
        </w:rPr>
        <w:t>)</w:t>
      </w:r>
      <w:bookmarkEnd w:id="1953"/>
    </w:p>
    <w:tbl>
      <w:tblPr>
        <w:tblStyle w:val="38"/>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3990"/>
        <w:gridCol w:w="2165"/>
        <w:gridCol w:w="216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5" w:type="pct"/>
            <w:noWrap w:val="0"/>
            <w:vAlign w:val="center"/>
          </w:tcPr>
          <w:p>
            <w:pPr>
              <w:ind w:right="-3"/>
              <w:jc w:val="center"/>
              <w:rPr>
                <w:rFonts w:hint="eastAsia" w:ascii="宋体"/>
                <w:color w:val="auto"/>
                <w:szCs w:val="21"/>
              </w:rPr>
            </w:pPr>
            <w:bookmarkStart w:id="1954" w:name="_Toc221951201"/>
            <w:r>
              <w:rPr>
                <w:rFonts w:hint="eastAsia" w:ascii="宋体"/>
                <w:color w:val="auto"/>
                <w:szCs w:val="21"/>
              </w:rPr>
              <w:t>序号</w:t>
            </w:r>
            <w:bookmarkEnd w:id="1954"/>
          </w:p>
        </w:tc>
        <w:tc>
          <w:tcPr>
            <w:tcW w:w="2160" w:type="pct"/>
            <w:noWrap w:val="0"/>
            <w:vAlign w:val="center"/>
          </w:tcPr>
          <w:p>
            <w:pPr>
              <w:ind w:right="3"/>
              <w:jc w:val="center"/>
              <w:rPr>
                <w:rFonts w:hint="eastAsia" w:ascii="宋体"/>
                <w:color w:val="auto"/>
                <w:szCs w:val="21"/>
              </w:rPr>
            </w:pPr>
            <w:bookmarkStart w:id="1955" w:name="_Toc221951202"/>
            <w:r>
              <w:rPr>
                <w:rFonts w:hint="eastAsia" w:ascii="宋体"/>
                <w:color w:val="auto"/>
                <w:szCs w:val="21"/>
              </w:rPr>
              <w:t>项目及其说明</w:t>
            </w:r>
            <w:bookmarkEnd w:id="1955"/>
          </w:p>
        </w:tc>
        <w:tc>
          <w:tcPr>
            <w:tcW w:w="1172" w:type="pct"/>
            <w:noWrap w:val="0"/>
            <w:vAlign w:val="center"/>
          </w:tcPr>
          <w:p>
            <w:pPr>
              <w:ind w:right="9"/>
              <w:jc w:val="center"/>
              <w:rPr>
                <w:rFonts w:hint="eastAsia" w:ascii="宋体"/>
                <w:color w:val="auto"/>
                <w:szCs w:val="21"/>
              </w:rPr>
            </w:pPr>
            <w:bookmarkStart w:id="1956" w:name="_Toc221951203"/>
            <w:r>
              <w:rPr>
                <w:rFonts w:hint="eastAsia" w:ascii="宋体"/>
                <w:color w:val="auto"/>
                <w:szCs w:val="21"/>
              </w:rPr>
              <w:t>要求竣工日期</w:t>
            </w:r>
            <w:bookmarkEnd w:id="1956"/>
          </w:p>
        </w:tc>
        <w:tc>
          <w:tcPr>
            <w:tcW w:w="1172" w:type="pct"/>
            <w:noWrap w:val="0"/>
            <w:vAlign w:val="top"/>
          </w:tcPr>
          <w:p>
            <w:pPr>
              <w:ind w:right="9"/>
              <w:jc w:val="center"/>
              <w:rPr>
                <w:rFonts w:hint="eastAsia" w:ascii="宋体"/>
                <w:color w:val="auto"/>
                <w:szCs w:val="21"/>
              </w:rPr>
            </w:pPr>
            <w:bookmarkStart w:id="1957" w:name="_Toc221951204"/>
            <w:r>
              <w:rPr>
                <w:rFonts w:hint="eastAsia" w:ascii="宋体"/>
                <w:color w:val="auto"/>
                <w:szCs w:val="21"/>
              </w:rPr>
              <w:t>违约金(元/天)</w:t>
            </w:r>
            <w:bookmarkEnd w:id="1957"/>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5" w:type="pct"/>
            <w:noWrap w:val="0"/>
            <w:vAlign w:val="center"/>
          </w:tcPr>
          <w:p>
            <w:pPr>
              <w:ind w:right="248"/>
              <w:jc w:val="center"/>
              <w:rPr>
                <w:rFonts w:hint="eastAsia" w:ascii="宋体"/>
                <w:color w:val="auto"/>
                <w:szCs w:val="21"/>
              </w:rPr>
            </w:pPr>
          </w:p>
        </w:tc>
        <w:tc>
          <w:tcPr>
            <w:tcW w:w="2160" w:type="pct"/>
            <w:noWrap w:val="0"/>
            <w:vAlign w:val="center"/>
          </w:tcPr>
          <w:p>
            <w:pPr>
              <w:ind w:right="248"/>
              <w:jc w:val="center"/>
              <w:rPr>
                <w:rFonts w:hint="eastAsia" w:ascii="宋体"/>
                <w:color w:val="auto"/>
                <w:szCs w:val="21"/>
              </w:rPr>
            </w:pPr>
          </w:p>
        </w:tc>
        <w:tc>
          <w:tcPr>
            <w:tcW w:w="1172" w:type="pct"/>
            <w:noWrap w:val="0"/>
            <w:vAlign w:val="center"/>
          </w:tcPr>
          <w:p>
            <w:pPr>
              <w:ind w:right="248"/>
              <w:jc w:val="center"/>
              <w:rPr>
                <w:rFonts w:hint="eastAsia" w:ascii="宋体"/>
                <w:color w:val="auto"/>
                <w:szCs w:val="21"/>
              </w:rPr>
            </w:pPr>
          </w:p>
        </w:tc>
        <w:tc>
          <w:tcPr>
            <w:tcW w:w="1172" w:type="pct"/>
            <w:noWrap w:val="0"/>
            <w:vAlign w:val="top"/>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5" w:type="pct"/>
            <w:noWrap w:val="0"/>
            <w:vAlign w:val="center"/>
          </w:tcPr>
          <w:p>
            <w:pPr>
              <w:ind w:right="248"/>
              <w:jc w:val="center"/>
              <w:rPr>
                <w:rFonts w:hint="eastAsia" w:ascii="宋体"/>
                <w:color w:val="auto"/>
                <w:szCs w:val="21"/>
              </w:rPr>
            </w:pPr>
          </w:p>
        </w:tc>
        <w:tc>
          <w:tcPr>
            <w:tcW w:w="2160" w:type="pct"/>
            <w:noWrap w:val="0"/>
            <w:vAlign w:val="center"/>
          </w:tcPr>
          <w:p>
            <w:pPr>
              <w:ind w:right="248"/>
              <w:jc w:val="center"/>
              <w:rPr>
                <w:rFonts w:hint="eastAsia" w:ascii="宋体"/>
                <w:color w:val="auto"/>
                <w:szCs w:val="21"/>
              </w:rPr>
            </w:pPr>
          </w:p>
        </w:tc>
        <w:tc>
          <w:tcPr>
            <w:tcW w:w="1172" w:type="pct"/>
            <w:noWrap w:val="0"/>
            <w:vAlign w:val="center"/>
          </w:tcPr>
          <w:p>
            <w:pPr>
              <w:ind w:right="248"/>
              <w:jc w:val="center"/>
              <w:rPr>
                <w:rFonts w:hint="eastAsia" w:ascii="宋体"/>
                <w:color w:val="auto"/>
                <w:szCs w:val="21"/>
              </w:rPr>
            </w:pPr>
          </w:p>
        </w:tc>
        <w:tc>
          <w:tcPr>
            <w:tcW w:w="1172" w:type="pct"/>
            <w:noWrap w:val="0"/>
            <w:vAlign w:val="top"/>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495" w:type="pct"/>
            <w:noWrap w:val="0"/>
            <w:vAlign w:val="center"/>
          </w:tcPr>
          <w:p>
            <w:pPr>
              <w:ind w:right="248"/>
              <w:jc w:val="center"/>
              <w:rPr>
                <w:rFonts w:hint="eastAsia" w:ascii="宋体"/>
                <w:color w:val="auto"/>
                <w:szCs w:val="21"/>
              </w:rPr>
            </w:pPr>
          </w:p>
        </w:tc>
        <w:tc>
          <w:tcPr>
            <w:tcW w:w="2160" w:type="pct"/>
            <w:noWrap w:val="0"/>
            <w:vAlign w:val="center"/>
          </w:tcPr>
          <w:p>
            <w:pPr>
              <w:ind w:right="248"/>
              <w:jc w:val="center"/>
              <w:rPr>
                <w:rFonts w:hint="eastAsia" w:ascii="宋体"/>
                <w:color w:val="auto"/>
                <w:szCs w:val="21"/>
              </w:rPr>
            </w:pPr>
          </w:p>
        </w:tc>
        <w:tc>
          <w:tcPr>
            <w:tcW w:w="1172" w:type="pct"/>
            <w:noWrap w:val="0"/>
            <w:vAlign w:val="center"/>
          </w:tcPr>
          <w:p>
            <w:pPr>
              <w:ind w:right="248"/>
              <w:jc w:val="center"/>
              <w:rPr>
                <w:rFonts w:hint="eastAsia" w:ascii="宋体"/>
                <w:color w:val="auto"/>
                <w:szCs w:val="21"/>
              </w:rPr>
            </w:pPr>
          </w:p>
        </w:tc>
        <w:tc>
          <w:tcPr>
            <w:tcW w:w="1172" w:type="pct"/>
            <w:noWrap w:val="0"/>
            <w:vAlign w:val="top"/>
          </w:tcPr>
          <w:p>
            <w:pPr>
              <w:ind w:right="248"/>
              <w:jc w:val="center"/>
              <w:rPr>
                <w:rFonts w:hint="eastAsia" w:asci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95" w:type="pct"/>
            <w:noWrap w:val="0"/>
            <w:vAlign w:val="center"/>
          </w:tcPr>
          <w:p>
            <w:pPr>
              <w:ind w:right="248"/>
              <w:jc w:val="center"/>
              <w:rPr>
                <w:rFonts w:hint="eastAsia" w:ascii="宋体"/>
                <w:color w:val="auto"/>
                <w:szCs w:val="21"/>
              </w:rPr>
            </w:pPr>
          </w:p>
        </w:tc>
        <w:tc>
          <w:tcPr>
            <w:tcW w:w="2160" w:type="pct"/>
            <w:noWrap w:val="0"/>
            <w:vAlign w:val="center"/>
          </w:tcPr>
          <w:p>
            <w:pPr>
              <w:ind w:right="248"/>
              <w:jc w:val="center"/>
              <w:rPr>
                <w:rFonts w:hint="eastAsia" w:ascii="宋体"/>
                <w:color w:val="auto"/>
                <w:szCs w:val="21"/>
              </w:rPr>
            </w:pPr>
          </w:p>
        </w:tc>
        <w:tc>
          <w:tcPr>
            <w:tcW w:w="1172" w:type="pct"/>
            <w:noWrap w:val="0"/>
            <w:vAlign w:val="center"/>
          </w:tcPr>
          <w:p>
            <w:pPr>
              <w:ind w:right="248"/>
              <w:jc w:val="center"/>
              <w:rPr>
                <w:rFonts w:hint="eastAsia" w:ascii="宋体"/>
                <w:color w:val="auto"/>
                <w:szCs w:val="21"/>
              </w:rPr>
            </w:pPr>
          </w:p>
        </w:tc>
        <w:tc>
          <w:tcPr>
            <w:tcW w:w="1172" w:type="pct"/>
            <w:noWrap w:val="0"/>
            <w:vAlign w:val="top"/>
          </w:tcPr>
          <w:p>
            <w:pPr>
              <w:ind w:right="248"/>
              <w:jc w:val="center"/>
              <w:rPr>
                <w:rFonts w:hint="eastAsia" w:ascii="宋体"/>
                <w:color w:val="auto"/>
                <w:szCs w:val="21"/>
              </w:rPr>
            </w:pPr>
          </w:p>
        </w:tc>
      </w:tr>
    </w:tbl>
    <w:p>
      <w:pPr>
        <w:spacing w:before="240" w:beforeLines="100" w:line="360" w:lineRule="auto"/>
        <w:ind w:right="249" w:firstLine="420" w:firstLineChars="200"/>
        <w:rPr>
          <w:rFonts w:hint="eastAsia" w:ascii="宋体" w:hAnsi="宋体"/>
          <w:color w:val="auto"/>
          <w:szCs w:val="21"/>
        </w:rPr>
      </w:pPr>
      <w:bookmarkStart w:id="1958" w:name="_Toc221951205"/>
      <w:r>
        <w:rPr>
          <w:rFonts w:hint="eastAsia" w:ascii="宋体"/>
          <w:color w:val="auto"/>
          <w:szCs w:val="21"/>
        </w:rPr>
        <w:t>（2）全部</w:t>
      </w:r>
      <w:r>
        <w:rPr>
          <w:rFonts w:hint="eastAsia"/>
          <w:color w:val="auto"/>
          <w:szCs w:val="21"/>
        </w:rPr>
        <w:t>逾期</w:t>
      </w:r>
      <w:r>
        <w:rPr>
          <w:rFonts w:hint="eastAsia" w:ascii="宋体" w:hAnsi="宋体"/>
          <w:color w:val="auto"/>
          <w:szCs w:val="21"/>
        </w:rPr>
        <w:t>完工违约金的总限额为</w:t>
      </w:r>
      <w:r>
        <w:rPr>
          <w:rFonts w:hint="eastAsia" w:ascii="宋体" w:hAnsi="宋体"/>
          <w:color w:val="auto"/>
          <w:szCs w:val="21"/>
          <w:u w:val="single"/>
        </w:rPr>
        <w:t xml:space="preserve">  </w:t>
      </w:r>
      <w:r>
        <w:rPr>
          <w:rFonts w:hint="eastAsia" w:ascii="楷体_GB2312" w:hAnsi="宋体" w:eastAsia="楷体_GB2312"/>
          <w:color w:val="auto"/>
          <w:szCs w:val="21"/>
          <w:u w:val="single"/>
        </w:rPr>
        <w:t>（不超过合同总价的  %）</w:t>
      </w:r>
      <w:r>
        <w:rPr>
          <w:rFonts w:hint="eastAsia" w:ascii="宋体" w:hAnsi="宋体"/>
          <w:color w:val="auto"/>
          <w:szCs w:val="21"/>
          <w:u w:val="single"/>
        </w:rPr>
        <w:t xml:space="preserve"> </w:t>
      </w:r>
      <w:r>
        <w:rPr>
          <w:rFonts w:hint="eastAsia" w:ascii="宋体" w:hAnsi="宋体"/>
          <w:color w:val="auto"/>
          <w:szCs w:val="21"/>
        </w:rPr>
        <w:t>。</w:t>
      </w:r>
      <w:bookmarkEnd w:id="1958"/>
    </w:p>
    <w:p>
      <w:pPr>
        <w:keepNext/>
        <w:keepLines/>
        <w:spacing w:line="400" w:lineRule="exact"/>
        <w:outlineLvl w:val="3"/>
        <w:rPr>
          <w:rFonts w:hint="eastAsia" w:eastAsia="黑体"/>
          <w:color w:val="auto"/>
          <w:sz w:val="24"/>
          <w:szCs w:val="20"/>
        </w:rPr>
      </w:pPr>
      <w:bookmarkStart w:id="1959" w:name="_Toc517172585"/>
      <w:bookmarkStart w:id="1960" w:name="_Toc28278"/>
      <w:r>
        <w:rPr>
          <w:rFonts w:hint="eastAsia" w:eastAsia="黑体"/>
          <w:color w:val="auto"/>
          <w:sz w:val="24"/>
          <w:szCs w:val="20"/>
        </w:rPr>
        <w:t>11.6 工期提前</w:t>
      </w:r>
      <w:bookmarkEnd w:id="1959"/>
      <w:bookmarkEnd w:id="1960"/>
    </w:p>
    <w:p>
      <w:pPr>
        <w:spacing w:line="360" w:lineRule="auto"/>
        <w:ind w:right="248" w:firstLine="420" w:firstLineChars="200"/>
        <w:rPr>
          <w:rFonts w:hint="eastAsia" w:ascii="宋体"/>
          <w:color w:val="auto"/>
          <w:szCs w:val="21"/>
        </w:rPr>
      </w:pPr>
      <w:r>
        <w:rPr>
          <w:rFonts w:hint="eastAsia" w:ascii="宋体"/>
          <w:color w:val="auto"/>
          <w:szCs w:val="21"/>
        </w:rPr>
        <w:t>工期提前的资金约定：</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61" w:name="_Toc221951206"/>
      <w:bookmarkStart w:id="1962" w:name="_Toc222031039"/>
      <w:bookmarkStart w:id="1963" w:name="_Toc222032706"/>
      <w:bookmarkStart w:id="1964" w:name="_Toc222029537"/>
      <w:bookmarkStart w:id="1965" w:name="_Toc517172586"/>
      <w:bookmarkStart w:id="1966" w:name="_Toc222033888"/>
      <w:bookmarkStart w:id="1967" w:name="_Toc229305395"/>
      <w:bookmarkStart w:id="1968" w:name="_Toc14179"/>
      <w:bookmarkStart w:id="1969" w:name="_Toc491089767"/>
      <w:r>
        <w:rPr>
          <w:rFonts w:hint="eastAsia"/>
          <w:color w:val="auto"/>
        </w:rPr>
        <w:t>12. 暂停施工</w:t>
      </w:r>
      <w:bookmarkEnd w:id="1961"/>
      <w:bookmarkEnd w:id="1962"/>
      <w:bookmarkEnd w:id="1963"/>
      <w:bookmarkEnd w:id="1964"/>
      <w:bookmarkEnd w:id="1965"/>
      <w:bookmarkEnd w:id="1966"/>
      <w:bookmarkEnd w:id="1967"/>
      <w:bookmarkEnd w:id="1968"/>
      <w:bookmarkEnd w:id="1969"/>
    </w:p>
    <w:p>
      <w:pPr>
        <w:keepNext/>
        <w:keepLines/>
        <w:spacing w:line="400" w:lineRule="exact"/>
        <w:outlineLvl w:val="3"/>
        <w:rPr>
          <w:rFonts w:hint="eastAsia" w:eastAsia="黑体"/>
          <w:color w:val="auto"/>
          <w:sz w:val="24"/>
          <w:szCs w:val="20"/>
        </w:rPr>
      </w:pPr>
      <w:bookmarkStart w:id="1970" w:name="_Toc517172587"/>
      <w:bookmarkStart w:id="1971" w:name="_Toc23471"/>
      <w:bookmarkStart w:id="1972" w:name="_Toc221951207"/>
      <w:r>
        <w:rPr>
          <w:rFonts w:hint="eastAsia" w:eastAsia="黑体"/>
          <w:color w:val="auto"/>
          <w:sz w:val="24"/>
          <w:szCs w:val="20"/>
        </w:rPr>
        <w:t>12.1 承包人暂停施工的责任</w:t>
      </w:r>
      <w:bookmarkEnd w:id="1970"/>
      <w:bookmarkEnd w:id="1971"/>
      <w:bookmarkEnd w:id="1972"/>
    </w:p>
    <w:p>
      <w:pPr>
        <w:spacing w:line="360" w:lineRule="auto"/>
        <w:ind w:right="248" w:firstLine="480"/>
        <w:rPr>
          <w:rFonts w:hint="eastAsia" w:ascii="宋体"/>
          <w:color w:val="auto"/>
          <w:szCs w:val="21"/>
        </w:rPr>
      </w:pPr>
      <w:bookmarkStart w:id="1973" w:name="_Toc221951209"/>
      <w:r>
        <w:rPr>
          <w:rFonts w:hint="eastAsia" w:ascii="宋体"/>
          <w:color w:val="auto"/>
          <w:szCs w:val="21"/>
        </w:rPr>
        <w:t xml:space="preserve"> (5) 承包人承担暂停施工责任的其它情形：</w:t>
      </w:r>
      <w:r>
        <w:rPr>
          <w:rFonts w:hint="eastAsia" w:ascii="宋体"/>
          <w:color w:val="auto"/>
          <w:szCs w:val="21"/>
          <w:u w:val="single"/>
        </w:rPr>
        <w:t xml:space="preserve">                            </w:t>
      </w:r>
      <w:r>
        <w:rPr>
          <w:rFonts w:hint="eastAsia" w:ascii="宋体"/>
          <w:color w:val="auto"/>
          <w:szCs w:val="21"/>
        </w:rPr>
        <w:t xml:space="preserve"> 。</w:t>
      </w:r>
      <w:bookmarkEnd w:id="1973"/>
    </w:p>
    <w:p>
      <w:pPr>
        <w:keepNext/>
        <w:keepLines/>
        <w:spacing w:line="400" w:lineRule="exact"/>
        <w:outlineLvl w:val="3"/>
        <w:rPr>
          <w:rFonts w:hint="eastAsia" w:eastAsia="黑体"/>
          <w:color w:val="auto"/>
          <w:sz w:val="24"/>
          <w:szCs w:val="20"/>
        </w:rPr>
      </w:pPr>
      <w:bookmarkStart w:id="1974" w:name="_Toc517172588"/>
      <w:bookmarkStart w:id="1975" w:name="_Toc12098"/>
      <w:r>
        <w:rPr>
          <w:rFonts w:hint="eastAsia" w:eastAsia="黑体"/>
          <w:color w:val="auto"/>
          <w:sz w:val="24"/>
          <w:szCs w:val="20"/>
        </w:rPr>
        <w:t>12.2 发包人暂停施工的责任</w:t>
      </w:r>
      <w:bookmarkEnd w:id="1974"/>
      <w:bookmarkEnd w:id="1975"/>
    </w:p>
    <w:p>
      <w:pPr>
        <w:spacing w:line="360" w:lineRule="auto"/>
        <w:ind w:right="248" w:firstLine="480"/>
        <w:rPr>
          <w:rFonts w:hint="eastAsia" w:ascii="宋体"/>
          <w:color w:val="auto"/>
          <w:szCs w:val="21"/>
        </w:rPr>
      </w:pPr>
      <w:r>
        <w:rPr>
          <w:rFonts w:hint="eastAsia" w:ascii="宋体"/>
          <w:color w:val="auto"/>
          <w:szCs w:val="21"/>
        </w:rPr>
        <w:t xml:space="preserve"> (3) 发包人承担暂停施工责任的其它情形：</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76" w:name="_Toc491089768"/>
      <w:bookmarkStart w:id="1977" w:name="_Toc517172589"/>
      <w:bookmarkStart w:id="1978" w:name="_Toc31257"/>
      <w:r>
        <w:rPr>
          <w:rFonts w:hint="eastAsia"/>
          <w:color w:val="auto"/>
        </w:rPr>
        <w:t>13. 工程质量</w:t>
      </w:r>
      <w:bookmarkEnd w:id="1976"/>
      <w:bookmarkEnd w:id="1977"/>
      <w:bookmarkEnd w:id="1978"/>
    </w:p>
    <w:p>
      <w:pPr>
        <w:keepNext/>
        <w:keepLines/>
        <w:spacing w:line="400" w:lineRule="exact"/>
        <w:outlineLvl w:val="3"/>
        <w:rPr>
          <w:rFonts w:hint="eastAsia" w:eastAsia="黑体"/>
          <w:color w:val="auto"/>
          <w:sz w:val="24"/>
          <w:szCs w:val="20"/>
        </w:rPr>
      </w:pPr>
      <w:bookmarkStart w:id="1979" w:name="_Toc517172590"/>
      <w:bookmarkStart w:id="1980" w:name="_Toc29712"/>
      <w:r>
        <w:rPr>
          <w:rFonts w:hint="eastAsia" w:eastAsia="黑体"/>
          <w:color w:val="auto"/>
          <w:sz w:val="24"/>
          <w:szCs w:val="20"/>
        </w:rPr>
        <w:t>13.7 质量评定</w:t>
      </w:r>
      <w:bookmarkEnd w:id="1979"/>
      <w:bookmarkEnd w:id="1980"/>
    </w:p>
    <w:p>
      <w:pPr>
        <w:spacing w:line="360" w:lineRule="auto"/>
        <w:ind w:right="248" w:firstLine="480"/>
        <w:rPr>
          <w:rFonts w:hint="eastAsia" w:ascii="宋体"/>
          <w:color w:val="auto"/>
          <w:szCs w:val="21"/>
        </w:rPr>
      </w:pPr>
      <w:r>
        <w:rPr>
          <w:rFonts w:hint="eastAsia" w:ascii="宋体"/>
          <w:color w:val="auto"/>
          <w:szCs w:val="21"/>
        </w:rPr>
        <w:t>13.7.4重要隐蔽单元工程和关键部位单元工程质量评定的约定：</w:t>
      </w:r>
      <w:r>
        <w:rPr>
          <w:rFonts w:hint="eastAsia" w:ascii="宋体"/>
          <w:color w:val="auto"/>
          <w:szCs w:val="21"/>
          <w:u w:val="single"/>
        </w:rPr>
        <w:t xml:space="preserve">                </w:t>
      </w:r>
      <w:r>
        <w:rPr>
          <w:rFonts w:hint="eastAsia" w:ascii="宋体"/>
          <w:color w:val="auto"/>
          <w:szCs w:val="21"/>
        </w:rPr>
        <w:t>。</w:t>
      </w:r>
    </w:p>
    <w:p>
      <w:pPr>
        <w:spacing w:line="360" w:lineRule="auto"/>
        <w:ind w:right="248" w:firstLine="480"/>
        <w:rPr>
          <w:rFonts w:hint="eastAsia" w:ascii="宋体"/>
          <w:color w:val="auto"/>
          <w:szCs w:val="21"/>
        </w:rPr>
      </w:pPr>
      <w:r>
        <w:rPr>
          <w:rFonts w:hint="eastAsia" w:ascii="宋体"/>
          <w:color w:val="auto"/>
          <w:szCs w:val="21"/>
        </w:rPr>
        <w:t>13.7.7工程合格标准为：</w:t>
      </w:r>
      <w:r>
        <w:rPr>
          <w:rFonts w:hint="eastAsia" w:ascii="宋体"/>
          <w:color w:val="auto"/>
          <w:szCs w:val="21"/>
          <w:u w:val="single"/>
        </w:rPr>
        <w:t xml:space="preserve">             </w:t>
      </w:r>
      <w:r>
        <w:rPr>
          <w:rFonts w:hint="eastAsia" w:ascii="宋体"/>
          <w:color w:val="auto"/>
          <w:szCs w:val="21"/>
        </w:rPr>
        <w:t>；优良标准为：</w:t>
      </w:r>
      <w:r>
        <w:rPr>
          <w:rFonts w:hint="eastAsia" w:ascii="宋体"/>
          <w:color w:val="auto"/>
          <w:szCs w:val="21"/>
          <w:u w:val="single"/>
        </w:rPr>
        <w:t xml:space="preserve">              </w:t>
      </w:r>
      <w:r>
        <w:rPr>
          <w:rFonts w:hint="eastAsia" w:ascii="宋体"/>
          <w:color w:val="auto"/>
          <w:szCs w:val="21"/>
        </w:rPr>
        <w:t>。达到优良的奖金为：</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1981" w:name="_Toc13605"/>
      <w:bookmarkStart w:id="1982" w:name="_Toc517172591"/>
      <w:r>
        <w:rPr>
          <w:rFonts w:hint="eastAsia" w:eastAsia="黑体"/>
          <w:color w:val="auto"/>
          <w:sz w:val="24"/>
          <w:szCs w:val="20"/>
        </w:rPr>
        <w:t>13.8 质量事故处理</w:t>
      </w:r>
      <w:bookmarkEnd w:id="1981"/>
      <w:bookmarkEnd w:id="1982"/>
    </w:p>
    <w:p>
      <w:pPr>
        <w:spacing w:line="360" w:lineRule="auto"/>
        <w:ind w:right="248" w:firstLine="480"/>
        <w:rPr>
          <w:rFonts w:hint="eastAsia" w:ascii="宋体"/>
          <w:color w:val="auto"/>
          <w:szCs w:val="21"/>
        </w:rPr>
      </w:pPr>
      <w:r>
        <w:rPr>
          <w:rFonts w:hint="eastAsia" w:ascii="宋体"/>
          <w:color w:val="auto"/>
          <w:szCs w:val="21"/>
        </w:rPr>
        <w:t>13.8.4工程竣工验收时，</w:t>
      </w:r>
      <w:r>
        <w:rPr>
          <w:rFonts w:hint="eastAsia" w:ascii="宋体"/>
          <w:color w:val="auto"/>
          <w:szCs w:val="21"/>
          <w:u w:val="single"/>
        </w:rPr>
        <w:t xml:space="preserve">              </w:t>
      </w:r>
      <w:r>
        <w:rPr>
          <w:rFonts w:hint="eastAsia" w:ascii="宋体"/>
          <w:color w:val="auto"/>
          <w:szCs w:val="21"/>
        </w:rPr>
        <w:t>向竣工验收委员会汇报并提交历次质量缺陷处理的备案资料。</w:t>
      </w:r>
    </w:p>
    <w:p>
      <w:pPr>
        <w:pStyle w:val="80"/>
        <w:spacing w:before="120" w:after="120" w:afterLines="50"/>
        <w:outlineLvl w:val="2"/>
        <w:rPr>
          <w:color w:val="auto"/>
        </w:rPr>
      </w:pPr>
      <w:bookmarkStart w:id="1983" w:name="_Toc491089769"/>
      <w:bookmarkStart w:id="1984" w:name="_Toc517172592"/>
      <w:bookmarkStart w:id="1985" w:name="_Toc27049"/>
      <w:r>
        <w:rPr>
          <w:color w:val="auto"/>
        </w:rPr>
        <w:t xml:space="preserve">14. </w:t>
      </w:r>
      <w:r>
        <w:rPr>
          <w:rFonts w:hint="eastAsia"/>
          <w:color w:val="auto"/>
        </w:rPr>
        <w:t>试验和检验</w:t>
      </w:r>
      <w:bookmarkEnd w:id="1983"/>
      <w:bookmarkEnd w:id="1984"/>
      <w:bookmarkEnd w:id="1985"/>
    </w:p>
    <w:p>
      <w:pPr>
        <w:keepNext/>
        <w:keepLines/>
        <w:spacing w:line="400" w:lineRule="exact"/>
        <w:outlineLvl w:val="3"/>
        <w:rPr>
          <w:rFonts w:hint="eastAsia" w:eastAsia="黑体"/>
          <w:color w:val="auto"/>
          <w:sz w:val="24"/>
          <w:szCs w:val="20"/>
        </w:rPr>
      </w:pPr>
      <w:bookmarkStart w:id="1986" w:name="_Toc517172593"/>
      <w:bookmarkStart w:id="1987" w:name="_Toc5826"/>
      <w:r>
        <w:rPr>
          <w:rFonts w:hint="eastAsia" w:eastAsia="黑体"/>
          <w:color w:val="auto"/>
          <w:sz w:val="24"/>
          <w:szCs w:val="20"/>
        </w:rPr>
        <w:t>14.1 材料、工程设备和工程的试验和检验</w:t>
      </w:r>
      <w:bookmarkEnd w:id="1986"/>
      <w:bookmarkEnd w:id="1987"/>
    </w:p>
    <w:p>
      <w:pPr>
        <w:spacing w:line="360" w:lineRule="auto"/>
        <w:ind w:right="248" w:firstLine="480"/>
        <w:rPr>
          <w:rFonts w:hint="eastAsia" w:ascii="宋体"/>
          <w:color w:val="auto"/>
          <w:szCs w:val="21"/>
        </w:rPr>
      </w:pPr>
      <w:r>
        <w:rPr>
          <w:rFonts w:hint="eastAsia" w:ascii="宋体"/>
          <w:color w:val="auto"/>
          <w:szCs w:val="21"/>
        </w:rPr>
        <w:t>14.1.5 水工金属结构、启闭机及机电产品进场后的交货检查和验收中，承包人负责</w:t>
      </w:r>
      <w:r>
        <w:rPr>
          <w:rFonts w:hint="eastAsia" w:ascii="宋体"/>
          <w:color w:val="auto"/>
          <w:szCs w:val="21"/>
          <w:u w:val="single"/>
        </w:rPr>
        <w:t xml:space="preserve">                </w:t>
      </w:r>
      <w:r>
        <w:rPr>
          <w:rFonts w:hint="eastAsia" w:ascii="宋体"/>
          <w:color w:val="auto"/>
          <w:szCs w:val="21"/>
        </w:rPr>
        <w:t>。</w:t>
      </w:r>
    </w:p>
    <w:p>
      <w:pPr>
        <w:spacing w:line="360" w:lineRule="auto"/>
        <w:ind w:right="248" w:firstLine="480"/>
        <w:rPr>
          <w:rFonts w:hint="eastAsia" w:ascii="宋体"/>
          <w:color w:val="auto"/>
          <w:szCs w:val="21"/>
        </w:rPr>
      </w:pPr>
      <w:r>
        <w:rPr>
          <w:rFonts w:hint="eastAsia" w:ascii="宋体"/>
          <w:color w:val="auto"/>
          <w:szCs w:val="21"/>
        </w:rPr>
        <w:t>14.1.6 本工程实行见证取样的试块、试件及有关材料：</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1988" w:name="_Toc222029539"/>
      <w:bookmarkStart w:id="1989" w:name="_Toc222031041"/>
      <w:bookmarkStart w:id="1990" w:name="_Toc221951213"/>
      <w:bookmarkStart w:id="1991" w:name="_Toc222033890"/>
      <w:bookmarkStart w:id="1992" w:name="_Toc229305396"/>
      <w:bookmarkStart w:id="1993" w:name="_Toc222032708"/>
      <w:bookmarkStart w:id="1994" w:name="_Toc22969"/>
      <w:bookmarkStart w:id="1995" w:name="_Toc491089770"/>
      <w:bookmarkStart w:id="1996" w:name="_Toc517172594"/>
      <w:r>
        <w:rPr>
          <w:rFonts w:hint="eastAsia"/>
          <w:color w:val="auto"/>
        </w:rPr>
        <w:t>15. 变更</w:t>
      </w:r>
      <w:bookmarkEnd w:id="1988"/>
      <w:bookmarkEnd w:id="1989"/>
      <w:bookmarkEnd w:id="1990"/>
      <w:bookmarkEnd w:id="1991"/>
      <w:bookmarkEnd w:id="1992"/>
      <w:bookmarkEnd w:id="1993"/>
      <w:bookmarkEnd w:id="1994"/>
      <w:bookmarkEnd w:id="1995"/>
      <w:bookmarkEnd w:id="1996"/>
    </w:p>
    <w:p>
      <w:pPr>
        <w:keepNext/>
        <w:keepLines/>
        <w:spacing w:line="400" w:lineRule="exact"/>
        <w:outlineLvl w:val="3"/>
        <w:rPr>
          <w:rFonts w:hint="eastAsia" w:eastAsia="黑体"/>
          <w:color w:val="auto"/>
          <w:sz w:val="24"/>
          <w:szCs w:val="20"/>
        </w:rPr>
      </w:pPr>
      <w:bookmarkStart w:id="1997" w:name="_Toc221951214"/>
      <w:bookmarkStart w:id="1998" w:name="_Toc517172595"/>
      <w:bookmarkStart w:id="1999" w:name="_Toc29568"/>
      <w:r>
        <w:rPr>
          <w:rFonts w:hint="eastAsia" w:eastAsia="黑体"/>
          <w:color w:val="auto"/>
          <w:sz w:val="24"/>
          <w:szCs w:val="20"/>
        </w:rPr>
        <w:t>15.1 变更的范围和内容</w:t>
      </w:r>
      <w:bookmarkEnd w:id="1997"/>
      <w:bookmarkEnd w:id="1998"/>
      <w:bookmarkEnd w:id="1999"/>
    </w:p>
    <w:p>
      <w:pPr>
        <w:spacing w:line="360" w:lineRule="auto"/>
        <w:ind w:right="248" w:firstLine="480"/>
        <w:rPr>
          <w:rFonts w:hint="eastAsia" w:ascii="宋体"/>
          <w:color w:val="auto"/>
          <w:szCs w:val="21"/>
        </w:rPr>
      </w:pPr>
      <w:bookmarkStart w:id="2000" w:name="_Toc221951216"/>
      <w:r>
        <w:rPr>
          <w:rFonts w:hint="eastAsia" w:ascii="宋体"/>
          <w:color w:val="auto"/>
          <w:szCs w:val="21"/>
        </w:rPr>
        <w:t>（6）增加或减少合同中关键项目的工程量超过其项目工程总量的</w:t>
      </w:r>
      <w:r>
        <w:rPr>
          <w:rFonts w:hint="eastAsia" w:ascii="宋体"/>
          <w:color w:val="auto"/>
          <w:szCs w:val="21"/>
          <w:u w:val="single"/>
        </w:rPr>
        <w:t xml:space="preserve">     </w:t>
      </w:r>
      <w:r>
        <w:rPr>
          <w:rFonts w:hint="eastAsia" w:ascii="宋体" w:hAnsi="宋体"/>
          <w:color w:val="auto"/>
          <w:szCs w:val="21"/>
        </w:rPr>
        <w:t>％</w:t>
      </w:r>
      <w:bookmarkEnd w:id="2000"/>
      <w:r>
        <w:rPr>
          <w:rFonts w:hint="eastAsia" w:ascii="宋体"/>
          <w:color w:val="auto"/>
          <w:szCs w:val="21"/>
        </w:rPr>
        <w:t>，关键项目：</w:t>
      </w:r>
      <w:r>
        <w:rPr>
          <w:rFonts w:hint="eastAsia" w:ascii="宋体"/>
          <w:color w:val="auto"/>
          <w:szCs w:val="21"/>
          <w:u w:val="single"/>
        </w:rPr>
        <w:t xml:space="preserve">   </w:t>
      </w:r>
      <w:r>
        <w:rPr>
          <w:rFonts w:hint="eastAsia" w:ascii="宋体"/>
          <w:color w:val="auto"/>
          <w:szCs w:val="21"/>
        </w:rPr>
        <w:t>，单价调整方式：</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01" w:name="_Toc517172596"/>
      <w:bookmarkStart w:id="2002" w:name="_Toc31192"/>
      <w:bookmarkStart w:id="2003" w:name="_Toc221951218"/>
      <w:r>
        <w:rPr>
          <w:rFonts w:hint="eastAsia" w:eastAsia="黑体"/>
          <w:color w:val="auto"/>
          <w:sz w:val="24"/>
          <w:szCs w:val="20"/>
        </w:rPr>
        <w:t>15.5 承包人的合理化建议</w:t>
      </w:r>
      <w:bookmarkEnd w:id="2001"/>
      <w:bookmarkEnd w:id="2002"/>
    </w:p>
    <w:p>
      <w:pPr>
        <w:spacing w:line="360" w:lineRule="auto"/>
        <w:ind w:firstLine="420"/>
        <w:rPr>
          <w:rFonts w:hint="eastAsia" w:ascii="宋体" w:hAnsi="宋体"/>
          <w:color w:val="auto"/>
          <w:szCs w:val="21"/>
        </w:rPr>
      </w:pPr>
      <w:r>
        <w:rPr>
          <w:rFonts w:hint="eastAsia" w:ascii="宋体" w:hAnsi="宋体"/>
          <w:color w:val="auto"/>
          <w:szCs w:val="21"/>
        </w:rPr>
        <w:t xml:space="preserve">15.5.2 </w:t>
      </w:r>
      <w:bookmarkEnd w:id="2003"/>
      <w:bookmarkStart w:id="2004" w:name="_Toc221951219"/>
      <w:r>
        <w:rPr>
          <w:rFonts w:hint="eastAsia" w:ascii="宋体" w:hAnsi="宋体"/>
          <w:color w:val="auto"/>
          <w:szCs w:val="21"/>
        </w:rPr>
        <w:t>承包人实现合理化建议的奖励金额为：</w:t>
      </w:r>
      <w:r>
        <w:rPr>
          <w:rFonts w:hint="eastAsia" w:ascii="宋体" w:hAnsi="宋体"/>
          <w:color w:val="auto"/>
          <w:szCs w:val="21"/>
          <w:u w:val="single"/>
        </w:rPr>
        <w:t xml:space="preserve">  </w:t>
      </w:r>
      <w:bookmarkEnd w:id="2004"/>
      <w:bookmarkStart w:id="2005" w:name="_Toc221951220"/>
      <w:r>
        <w:rPr>
          <w:rFonts w:hint="eastAsia" w:ascii="宋体" w:hAnsi="宋体"/>
          <w:color w:val="auto"/>
          <w:szCs w:val="21"/>
          <w:u w:val="single"/>
        </w:rPr>
        <w:t xml:space="preserve">                    </w:t>
      </w:r>
      <w:r>
        <w:rPr>
          <w:rFonts w:hint="eastAsia" w:ascii="宋体" w:hAnsi="宋体"/>
          <w:color w:val="auto"/>
          <w:szCs w:val="21"/>
        </w:rPr>
        <w:t>。</w:t>
      </w:r>
      <w:bookmarkEnd w:id="2005"/>
    </w:p>
    <w:p>
      <w:pPr>
        <w:keepNext/>
        <w:keepLines/>
        <w:spacing w:line="400" w:lineRule="exact"/>
        <w:outlineLvl w:val="3"/>
        <w:rPr>
          <w:rFonts w:hint="eastAsia" w:eastAsia="黑体"/>
          <w:color w:val="auto"/>
          <w:sz w:val="24"/>
          <w:szCs w:val="20"/>
        </w:rPr>
      </w:pPr>
      <w:bookmarkStart w:id="2006" w:name="_Toc221951221"/>
      <w:bookmarkStart w:id="2007" w:name="_Toc517172597"/>
      <w:bookmarkStart w:id="2008" w:name="_Toc14518"/>
      <w:r>
        <w:rPr>
          <w:rFonts w:hint="eastAsia" w:eastAsia="黑体"/>
          <w:color w:val="auto"/>
          <w:sz w:val="24"/>
          <w:szCs w:val="20"/>
        </w:rPr>
        <w:t>15.8 暂估价</w:t>
      </w:r>
      <w:bookmarkEnd w:id="2006"/>
      <w:bookmarkEnd w:id="2007"/>
      <w:bookmarkEnd w:id="2008"/>
    </w:p>
    <w:p>
      <w:pPr>
        <w:spacing w:line="360" w:lineRule="auto"/>
        <w:ind w:firstLine="420"/>
        <w:rPr>
          <w:rFonts w:hint="eastAsia" w:ascii="宋体" w:hAnsi="宋体"/>
          <w:color w:val="auto"/>
          <w:szCs w:val="21"/>
        </w:rPr>
      </w:pPr>
      <w:bookmarkStart w:id="2009" w:name="_Toc221951222"/>
      <w:r>
        <w:rPr>
          <w:rFonts w:hint="eastAsia" w:ascii="宋体" w:hAnsi="宋体"/>
          <w:color w:val="auto"/>
          <w:szCs w:val="21"/>
        </w:rPr>
        <w:t>15.8.1（1）</w:t>
      </w:r>
      <w:bookmarkEnd w:id="2009"/>
      <w:r>
        <w:rPr>
          <w:rFonts w:hint="eastAsia" w:ascii="宋体" w:hAnsi="宋体"/>
          <w:color w:val="auto"/>
          <w:szCs w:val="21"/>
        </w:rPr>
        <w:t>发包人和承包人组织招标的暂估价项目：</w:t>
      </w:r>
      <w:r>
        <w:rPr>
          <w:rFonts w:hint="eastAsia" w:ascii="宋体" w:hAnsi="宋体"/>
          <w:color w:val="auto"/>
          <w:szCs w:val="21"/>
          <w:u w:val="single"/>
        </w:rPr>
        <w:t xml:space="preserve">  （签约后填入）  </w:t>
      </w:r>
      <w:r>
        <w:rPr>
          <w:rFonts w:hint="eastAsia" w:ascii="宋体" w:hAnsi="宋体"/>
          <w:color w:val="auto"/>
          <w:szCs w:val="21"/>
        </w:rPr>
        <w:t>；发包人组织招标的暂估价项目：</w:t>
      </w:r>
      <w:r>
        <w:rPr>
          <w:rFonts w:hint="eastAsia" w:ascii="宋体" w:hAnsi="宋体"/>
          <w:color w:val="auto"/>
          <w:szCs w:val="21"/>
          <w:u w:val="single"/>
        </w:rPr>
        <w:t xml:space="preserve">   （签约后填入）  </w:t>
      </w:r>
      <w:r>
        <w:rPr>
          <w:rFonts w:hint="eastAsia" w:ascii="宋体" w:hAnsi="宋体"/>
          <w:color w:val="auto"/>
          <w:szCs w:val="21"/>
        </w:rPr>
        <w:t>。</w:t>
      </w:r>
    </w:p>
    <w:p>
      <w:pPr>
        <w:spacing w:line="360" w:lineRule="auto"/>
        <w:ind w:firstLine="420"/>
        <w:rPr>
          <w:rFonts w:hint="eastAsia" w:ascii="宋体" w:hAnsi="宋体"/>
          <w:color w:val="auto"/>
          <w:szCs w:val="21"/>
          <w:u w:val="single"/>
        </w:rPr>
      </w:pPr>
      <w:r>
        <w:rPr>
          <w:rFonts w:hint="eastAsia" w:ascii="宋体" w:hAnsi="宋体"/>
          <w:color w:val="auto"/>
          <w:szCs w:val="21"/>
        </w:rPr>
        <w:t>（2）发包人和承包人以招标方式选择暂估价项目供应商或分包人时，双方的权利义务关系：</w:t>
      </w:r>
      <w:r>
        <w:rPr>
          <w:rFonts w:hint="eastAsia" w:ascii="宋体" w:hAnsi="宋体"/>
          <w:color w:val="auto"/>
          <w:szCs w:val="21"/>
          <w:u w:val="single"/>
        </w:rPr>
        <w:t xml:space="preserve">  </w:t>
      </w:r>
      <w:r>
        <w:rPr>
          <w:rFonts w:hint="eastAsia" w:ascii="宋体" w:hAnsi="宋体"/>
          <w:color w:val="auto"/>
          <w:szCs w:val="21"/>
        </w:rPr>
        <w:t xml:space="preserve">。 </w:t>
      </w:r>
      <w:r>
        <w:rPr>
          <w:rFonts w:hint="eastAsia" w:ascii="宋体" w:hAnsi="宋体"/>
          <w:color w:val="auto"/>
          <w:szCs w:val="21"/>
          <w:u w:val="single"/>
        </w:rPr>
        <w:t xml:space="preserve">      </w:t>
      </w:r>
    </w:p>
    <w:p>
      <w:pPr>
        <w:pStyle w:val="80"/>
        <w:spacing w:before="120" w:after="120" w:afterLines="50"/>
        <w:outlineLvl w:val="2"/>
        <w:rPr>
          <w:rFonts w:hint="eastAsia"/>
          <w:color w:val="auto"/>
        </w:rPr>
      </w:pPr>
      <w:bookmarkStart w:id="2010" w:name="_Toc229305397"/>
      <w:bookmarkStart w:id="2011" w:name="_Toc491089771"/>
      <w:bookmarkStart w:id="2012" w:name="_Toc517172598"/>
      <w:bookmarkStart w:id="2013" w:name="_Toc24476"/>
      <w:r>
        <w:rPr>
          <w:rFonts w:hint="eastAsia"/>
          <w:color w:val="auto"/>
        </w:rPr>
        <w:t>16. 价格调整</w:t>
      </w:r>
      <w:bookmarkEnd w:id="2010"/>
      <w:bookmarkEnd w:id="2011"/>
      <w:bookmarkEnd w:id="2012"/>
      <w:bookmarkEnd w:id="2013"/>
    </w:p>
    <w:p>
      <w:pPr>
        <w:keepNext/>
        <w:keepLines/>
        <w:spacing w:line="400" w:lineRule="exact"/>
        <w:outlineLvl w:val="3"/>
        <w:rPr>
          <w:rFonts w:hint="eastAsia" w:eastAsia="黑体"/>
          <w:color w:val="auto"/>
          <w:sz w:val="24"/>
          <w:szCs w:val="20"/>
        </w:rPr>
      </w:pPr>
      <w:bookmarkStart w:id="2014" w:name="_Toc517172599"/>
      <w:bookmarkStart w:id="2015" w:name="_Toc29908"/>
      <w:r>
        <w:rPr>
          <w:rFonts w:hint="eastAsia" w:eastAsia="黑体"/>
          <w:color w:val="auto"/>
          <w:sz w:val="24"/>
          <w:szCs w:val="20"/>
        </w:rPr>
        <w:t>16.1 物价波动引起的价格调整</w:t>
      </w:r>
      <w:bookmarkEnd w:id="2014"/>
      <w:bookmarkEnd w:id="2015"/>
    </w:p>
    <w:p>
      <w:pPr>
        <w:spacing w:line="400" w:lineRule="exact"/>
        <w:ind w:firstLine="420"/>
        <w:rPr>
          <w:rFonts w:hint="eastAsia" w:ascii="宋体" w:hAnsi="宋体"/>
          <w:color w:val="auto"/>
          <w:szCs w:val="21"/>
        </w:rPr>
      </w:pPr>
      <w:r>
        <w:rPr>
          <w:rFonts w:hint="eastAsia" w:ascii="宋体" w:hAnsi="宋体"/>
          <w:color w:val="auto"/>
          <w:szCs w:val="21"/>
        </w:rPr>
        <w:t>物价波动引起的价格调整方式：</w:t>
      </w:r>
      <w:r>
        <w:rPr>
          <w:rFonts w:hint="eastAsia" w:ascii="宋体" w:hAnsi="宋体"/>
          <w:color w:val="auto"/>
          <w:szCs w:val="21"/>
          <w:u w:val="single"/>
        </w:rPr>
        <w:t xml:space="preserve">                  </w:t>
      </w:r>
      <w:r>
        <w:rPr>
          <w:rFonts w:hint="eastAsia" w:ascii="宋体" w:hAnsi="宋体"/>
          <w:color w:val="auto"/>
          <w:szCs w:val="21"/>
        </w:rPr>
        <w:t>。</w:t>
      </w:r>
    </w:p>
    <w:p>
      <w:pPr>
        <w:spacing w:line="400" w:lineRule="exact"/>
        <w:ind w:firstLine="420"/>
        <w:rPr>
          <w:rFonts w:hint="eastAsia" w:ascii="宋体" w:hAnsi="宋体"/>
          <w:color w:val="auto"/>
          <w:szCs w:val="21"/>
        </w:rPr>
      </w:pPr>
      <w:r>
        <w:rPr>
          <w:rFonts w:hint="eastAsia" w:ascii="宋体" w:hAnsi="宋体"/>
          <w:color w:val="auto"/>
          <w:szCs w:val="21"/>
        </w:rPr>
        <w:t>16.1.2  采用造价信息调整价格差额：</w:t>
      </w:r>
    </w:p>
    <w:p>
      <w:pPr>
        <w:pStyle w:val="22"/>
        <w:spacing w:after="0" w:line="400" w:lineRule="exact"/>
        <w:ind w:right="248"/>
        <w:rPr>
          <w:rFonts w:hint="eastAsia" w:ascii="宋体" w:hAnsi="宋体"/>
          <w:color w:val="auto"/>
        </w:rPr>
      </w:pPr>
      <w:r>
        <w:rPr>
          <w:rFonts w:hint="eastAsia" w:ascii="宋体" w:hAnsi="宋体"/>
          <w:color w:val="auto"/>
        </w:rPr>
        <w:t>工程造价信息的来源：</w:t>
      </w:r>
      <w:r>
        <w:rPr>
          <w:rFonts w:hint="eastAsia" w:ascii="宋体" w:hAnsi="宋体"/>
          <w:color w:val="auto"/>
          <w:u w:val="single"/>
        </w:rPr>
        <w:t xml:space="preserve">                           </w:t>
      </w:r>
      <w:r>
        <w:rPr>
          <w:rFonts w:hint="eastAsia" w:ascii="宋体" w:hAnsi="宋体"/>
          <w:color w:val="auto"/>
        </w:rPr>
        <w:t>。</w:t>
      </w:r>
    </w:p>
    <w:p>
      <w:pPr>
        <w:pStyle w:val="22"/>
        <w:spacing w:after="0" w:line="400" w:lineRule="exact"/>
        <w:ind w:right="248"/>
        <w:rPr>
          <w:rFonts w:hint="eastAsia" w:ascii="宋体" w:hAnsi="宋体"/>
          <w:color w:val="auto"/>
        </w:rPr>
      </w:pPr>
      <w:r>
        <w:rPr>
          <w:rFonts w:hint="eastAsia"/>
          <w:color w:val="auto"/>
        </w:rPr>
        <w:t>价格调整的项目和系数：</w:t>
      </w:r>
      <w:r>
        <w:rPr>
          <w:rFonts w:hint="eastAsia"/>
          <w:color w:val="auto"/>
          <w:u w:val="single"/>
        </w:rPr>
        <w:t xml:space="preserve">                           </w:t>
      </w:r>
      <w:r>
        <w:rPr>
          <w:rFonts w:hint="eastAsia"/>
          <w:color w:val="auto"/>
        </w:rPr>
        <w:t>。</w:t>
      </w:r>
    </w:p>
    <w:p>
      <w:pPr>
        <w:pStyle w:val="80"/>
        <w:spacing w:before="120" w:after="120" w:afterLines="50"/>
        <w:outlineLvl w:val="2"/>
        <w:rPr>
          <w:rFonts w:hint="eastAsia"/>
          <w:color w:val="auto"/>
        </w:rPr>
      </w:pPr>
      <w:bookmarkStart w:id="2016" w:name="_Toc221951223"/>
      <w:bookmarkStart w:id="2017" w:name="_Toc222029540"/>
      <w:bookmarkStart w:id="2018" w:name="_Toc222031042"/>
      <w:bookmarkStart w:id="2019" w:name="_Toc222032709"/>
      <w:bookmarkStart w:id="2020" w:name="_Toc222033891"/>
      <w:bookmarkStart w:id="2021" w:name="_Toc229305398"/>
      <w:bookmarkStart w:id="2022" w:name="_Toc491089772"/>
      <w:bookmarkStart w:id="2023" w:name="_Toc517172600"/>
      <w:bookmarkStart w:id="2024" w:name="_Toc14882"/>
      <w:r>
        <w:rPr>
          <w:rFonts w:hint="eastAsia"/>
          <w:color w:val="auto"/>
        </w:rPr>
        <w:t>17. 计量与支付</w:t>
      </w:r>
      <w:bookmarkEnd w:id="2016"/>
      <w:bookmarkEnd w:id="2017"/>
      <w:bookmarkEnd w:id="2018"/>
      <w:bookmarkEnd w:id="2019"/>
      <w:bookmarkEnd w:id="2020"/>
      <w:bookmarkEnd w:id="2021"/>
      <w:bookmarkEnd w:id="2022"/>
      <w:bookmarkEnd w:id="2023"/>
      <w:bookmarkEnd w:id="2024"/>
    </w:p>
    <w:p>
      <w:pPr>
        <w:keepNext/>
        <w:keepLines/>
        <w:spacing w:line="400" w:lineRule="exact"/>
        <w:outlineLvl w:val="3"/>
        <w:rPr>
          <w:rFonts w:hint="eastAsia" w:eastAsia="黑体"/>
          <w:color w:val="auto"/>
          <w:sz w:val="24"/>
          <w:szCs w:val="20"/>
        </w:rPr>
      </w:pPr>
      <w:bookmarkStart w:id="2025" w:name="_Toc221951224"/>
      <w:bookmarkStart w:id="2026" w:name="_Toc517172601"/>
      <w:bookmarkStart w:id="2027" w:name="_Toc13129"/>
      <w:r>
        <w:rPr>
          <w:rFonts w:hint="eastAsia" w:eastAsia="黑体"/>
          <w:color w:val="auto"/>
          <w:sz w:val="24"/>
          <w:szCs w:val="20"/>
        </w:rPr>
        <w:t>17.2 预付款</w:t>
      </w:r>
      <w:bookmarkEnd w:id="2025"/>
      <w:bookmarkEnd w:id="2026"/>
      <w:bookmarkEnd w:id="2027"/>
    </w:p>
    <w:p>
      <w:pPr>
        <w:spacing w:line="360" w:lineRule="auto"/>
        <w:ind w:right="248" w:firstLine="480"/>
        <w:rPr>
          <w:rFonts w:hint="eastAsia"/>
          <w:color w:val="auto"/>
        </w:rPr>
      </w:pPr>
      <w:bookmarkStart w:id="2028" w:name="_Toc221951226"/>
      <w:r>
        <w:rPr>
          <w:rFonts w:hint="eastAsia"/>
          <w:color w:val="auto"/>
        </w:rPr>
        <w:t>17.2.1</w:t>
      </w:r>
      <w:r>
        <w:rPr>
          <w:color w:val="auto"/>
        </w:rPr>
        <w:t>预付款</w:t>
      </w:r>
      <w:bookmarkEnd w:id="2028"/>
      <w:r>
        <w:rPr>
          <w:rFonts w:hint="eastAsia"/>
          <w:color w:val="auto"/>
        </w:rPr>
        <w:t xml:space="preserve"> </w:t>
      </w:r>
    </w:p>
    <w:p>
      <w:pPr>
        <w:spacing w:line="360" w:lineRule="auto"/>
        <w:ind w:right="248" w:firstLine="480"/>
        <w:rPr>
          <w:rFonts w:hint="eastAsia" w:ascii="宋体"/>
          <w:color w:val="auto"/>
          <w:szCs w:val="21"/>
        </w:rPr>
      </w:pPr>
      <w:bookmarkStart w:id="2029" w:name="_Toc221951228"/>
      <w:r>
        <w:rPr>
          <w:rFonts w:hint="eastAsia" w:ascii="宋体"/>
          <w:color w:val="auto"/>
          <w:szCs w:val="21"/>
        </w:rPr>
        <w:t>（1）</w:t>
      </w:r>
      <w:r>
        <w:rPr>
          <w:rFonts w:ascii="宋体"/>
          <w:color w:val="auto"/>
          <w:szCs w:val="21"/>
        </w:rPr>
        <w:t>工程预付款的总金额为</w:t>
      </w:r>
      <w:r>
        <w:rPr>
          <w:rFonts w:hint="eastAsia" w:ascii="宋体"/>
          <w:color w:val="auto"/>
          <w:szCs w:val="21"/>
        </w:rPr>
        <w:t>签约</w:t>
      </w:r>
      <w:r>
        <w:rPr>
          <w:rFonts w:ascii="宋体"/>
          <w:color w:val="auto"/>
          <w:szCs w:val="21"/>
        </w:rPr>
        <w:t>合同价的</w:t>
      </w:r>
      <w:r>
        <w:rPr>
          <w:rFonts w:hint="eastAsia" w:ascii="宋体"/>
          <w:color w:val="auto"/>
          <w:szCs w:val="21"/>
          <w:u w:val="single"/>
        </w:rPr>
        <w:t xml:space="preserve">   </w:t>
      </w:r>
      <w:r>
        <w:rPr>
          <w:rFonts w:ascii="宋体"/>
          <w:color w:val="auto"/>
          <w:szCs w:val="21"/>
        </w:rPr>
        <w:t>%，分</w:t>
      </w:r>
      <w:r>
        <w:rPr>
          <w:rFonts w:hint="eastAsia" w:ascii="宋体"/>
          <w:color w:val="auto"/>
          <w:szCs w:val="21"/>
          <w:u w:val="single"/>
        </w:rPr>
        <w:t xml:space="preserve">   </w:t>
      </w:r>
      <w:r>
        <w:rPr>
          <w:rFonts w:ascii="宋体"/>
          <w:color w:val="auto"/>
          <w:szCs w:val="21"/>
        </w:rPr>
        <w:t>次支付给承包人。</w:t>
      </w:r>
      <w:bookmarkEnd w:id="2029"/>
    </w:p>
    <w:p>
      <w:pPr>
        <w:spacing w:line="360" w:lineRule="auto"/>
        <w:ind w:right="248" w:firstLine="480"/>
        <w:rPr>
          <w:rFonts w:hint="eastAsia" w:ascii="宋体"/>
          <w:color w:val="auto"/>
          <w:szCs w:val="21"/>
        </w:rPr>
      </w:pPr>
      <w:bookmarkStart w:id="2030" w:name="_Toc221951229"/>
      <w:r>
        <w:rPr>
          <w:rFonts w:hint="eastAsia" w:ascii="宋体"/>
          <w:color w:val="auto"/>
          <w:szCs w:val="21"/>
        </w:rPr>
        <w:t>各次</w:t>
      </w:r>
      <w:r>
        <w:rPr>
          <w:rFonts w:ascii="宋体"/>
          <w:color w:val="auto"/>
          <w:szCs w:val="21"/>
        </w:rPr>
        <w:t>预付款的支付</w:t>
      </w:r>
      <w:r>
        <w:rPr>
          <w:rFonts w:hint="eastAsia" w:ascii="宋体"/>
          <w:color w:val="auto"/>
          <w:szCs w:val="21"/>
        </w:rPr>
        <w:t>额度和</w:t>
      </w:r>
      <w:r>
        <w:rPr>
          <w:rFonts w:ascii="宋体"/>
          <w:color w:val="auto"/>
          <w:szCs w:val="21"/>
        </w:rPr>
        <w:t>付款</w:t>
      </w:r>
      <w:r>
        <w:rPr>
          <w:rFonts w:hint="eastAsia" w:ascii="宋体"/>
          <w:color w:val="auto"/>
          <w:szCs w:val="21"/>
        </w:rPr>
        <w:t>时间为：</w:t>
      </w:r>
      <w:bookmarkEnd w:id="2030"/>
    </w:p>
    <w:p>
      <w:pPr>
        <w:spacing w:line="360" w:lineRule="auto"/>
        <w:ind w:right="248" w:firstLine="480"/>
        <w:rPr>
          <w:rFonts w:hint="eastAsia" w:ascii="宋体"/>
          <w:color w:val="auto"/>
          <w:szCs w:val="21"/>
        </w:rPr>
      </w:pPr>
      <w:bookmarkStart w:id="2031" w:name="_Toc221951230"/>
      <w:r>
        <w:rPr>
          <w:rFonts w:hint="eastAsia" w:ascii="宋体"/>
          <w:color w:val="auto"/>
          <w:szCs w:val="21"/>
        </w:rPr>
        <w:t>1）第一次</w:t>
      </w:r>
      <w:r>
        <w:rPr>
          <w:rFonts w:ascii="宋体"/>
          <w:color w:val="auto"/>
          <w:szCs w:val="21"/>
        </w:rPr>
        <w:t>预付款金额为工程预付款总金额的</w:t>
      </w:r>
      <w:r>
        <w:rPr>
          <w:rFonts w:hint="eastAsia" w:ascii="宋体"/>
          <w:color w:val="auto"/>
          <w:szCs w:val="21"/>
          <w:u w:val="single"/>
        </w:rPr>
        <w:t xml:space="preserve">   </w:t>
      </w:r>
      <w:r>
        <w:rPr>
          <w:rFonts w:ascii="宋体"/>
          <w:color w:val="auto"/>
          <w:szCs w:val="21"/>
        </w:rPr>
        <w:t>%，付款</w:t>
      </w:r>
      <w:r>
        <w:rPr>
          <w:rFonts w:hint="eastAsia" w:ascii="宋体"/>
          <w:color w:val="auto"/>
          <w:szCs w:val="21"/>
        </w:rPr>
        <w:t>时间</w:t>
      </w:r>
      <w:r>
        <w:rPr>
          <w:rFonts w:ascii="宋体"/>
          <w:color w:val="auto"/>
          <w:szCs w:val="21"/>
        </w:rPr>
        <w:t>应在</w:t>
      </w:r>
      <w:r>
        <w:rPr>
          <w:rFonts w:hint="eastAsia" w:ascii="宋体"/>
          <w:color w:val="auto"/>
          <w:szCs w:val="21"/>
        </w:rPr>
        <w:t>合同</w:t>
      </w:r>
      <w:r>
        <w:rPr>
          <w:rFonts w:ascii="宋体"/>
          <w:color w:val="auto"/>
          <w:szCs w:val="21"/>
        </w:rPr>
        <w:t>协议书签订后，由承包人向发包人提交了</w:t>
      </w:r>
      <w:r>
        <w:rPr>
          <w:rFonts w:hint="eastAsia" w:ascii="宋体"/>
          <w:color w:val="auto"/>
          <w:szCs w:val="21"/>
        </w:rPr>
        <w:t>发包人认可的</w:t>
      </w:r>
      <w:r>
        <w:rPr>
          <w:rFonts w:ascii="宋体"/>
          <w:color w:val="auto"/>
          <w:szCs w:val="21"/>
        </w:rPr>
        <w:t>工程预付款</w:t>
      </w:r>
      <w:r>
        <w:rPr>
          <w:rFonts w:hint="eastAsia" w:ascii="宋体"/>
          <w:color w:val="auto"/>
          <w:szCs w:val="21"/>
        </w:rPr>
        <w:t>担保</w:t>
      </w:r>
      <w:r>
        <w:rPr>
          <w:rFonts w:ascii="宋体"/>
          <w:color w:val="auto"/>
          <w:szCs w:val="21"/>
        </w:rPr>
        <w:t>，并经监理人出具付款证书报送发包人批准后</w:t>
      </w:r>
      <w:r>
        <w:rPr>
          <w:rFonts w:hint="eastAsia" w:ascii="宋体"/>
          <w:color w:val="auto"/>
          <w:szCs w:val="21"/>
        </w:rPr>
        <w:t>14天内</w:t>
      </w:r>
      <w:r>
        <w:rPr>
          <w:rFonts w:ascii="宋体"/>
          <w:color w:val="auto"/>
          <w:szCs w:val="21"/>
        </w:rPr>
        <w:t>予以支付。</w:t>
      </w:r>
      <w:bookmarkEnd w:id="2031"/>
    </w:p>
    <w:p>
      <w:pPr>
        <w:spacing w:line="360" w:lineRule="auto"/>
        <w:ind w:right="248" w:firstLine="480"/>
        <w:rPr>
          <w:rFonts w:hint="eastAsia" w:ascii="宋体"/>
          <w:color w:val="auto"/>
          <w:szCs w:val="21"/>
        </w:rPr>
      </w:pPr>
      <w:bookmarkStart w:id="2032" w:name="_Toc221951231"/>
      <w:r>
        <w:rPr>
          <w:rFonts w:hint="eastAsia" w:ascii="宋体"/>
          <w:color w:val="auto"/>
          <w:szCs w:val="21"/>
        </w:rPr>
        <w:t>2）</w:t>
      </w:r>
      <w:r>
        <w:rPr>
          <w:rFonts w:ascii="宋体"/>
          <w:color w:val="auto"/>
          <w:szCs w:val="21"/>
        </w:rPr>
        <w:t>第二次预付款金额为工程预付款总金额的</w:t>
      </w:r>
      <w:r>
        <w:rPr>
          <w:rFonts w:hint="eastAsia" w:ascii="宋体"/>
          <w:color w:val="auto"/>
          <w:szCs w:val="21"/>
          <w:u w:val="single"/>
        </w:rPr>
        <w:t xml:space="preserve">   </w:t>
      </w:r>
      <w:r>
        <w:rPr>
          <w:rFonts w:ascii="宋体"/>
          <w:color w:val="auto"/>
          <w:szCs w:val="21"/>
        </w:rPr>
        <w:t>%</w:t>
      </w:r>
      <w:r>
        <w:rPr>
          <w:rFonts w:hint="eastAsia" w:ascii="宋体"/>
          <w:color w:val="auto"/>
          <w:szCs w:val="21"/>
        </w:rPr>
        <w:t>。</w:t>
      </w:r>
      <w:r>
        <w:rPr>
          <w:rFonts w:ascii="宋体"/>
          <w:color w:val="auto"/>
          <w:szCs w:val="21"/>
        </w:rPr>
        <w:t>付款</w:t>
      </w:r>
      <w:r>
        <w:rPr>
          <w:rFonts w:hint="eastAsia" w:ascii="宋体"/>
          <w:color w:val="auto"/>
          <w:szCs w:val="21"/>
        </w:rPr>
        <w:t>时间需待承包人主要设备进入工地后，其估算价值已达到本次预付款金额时，由承包人提出书面申请，经监理人核实后出具付款证书报送发包人</w:t>
      </w:r>
      <w:r>
        <w:rPr>
          <w:rFonts w:ascii="宋体"/>
          <w:color w:val="auto"/>
          <w:szCs w:val="21"/>
        </w:rPr>
        <w:t>批准后</w:t>
      </w:r>
      <w:r>
        <w:rPr>
          <w:rFonts w:hint="eastAsia" w:ascii="宋体"/>
          <w:color w:val="auto"/>
          <w:szCs w:val="21"/>
        </w:rPr>
        <w:t>14天内</w:t>
      </w:r>
      <w:r>
        <w:rPr>
          <w:rFonts w:ascii="宋体"/>
          <w:color w:val="auto"/>
          <w:szCs w:val="21"/>
        </w:rPr>
        <w:t>予以支付。</w:t>
      </w:r>
      <w:bookmarkEnd w:id="2032"/>
    </w:p>
    <w:p>
      <w:pPr>
        <w:spacing w:line="360" w:lineRule="auto"/>
        <w:ind w:right="248" w:firstLine="480"/>
        <w:rPr>
          <w:rFonts w:hint="eastAsia" w:ascii="宋体"/>
          <w:color w:val="auto"/>
          <w:szCs w:val="21"/>
        </w:rPr>
      </w:pPr>
      <w:bookmarkStart w:id="2033" w:name="_Toc221951232"/>
      <w:r>
        <w:rPr>
          <w:rFonts w:hint="eastAsia" w:ascii="宋体"/>
          <w:color w:val="auto"/>
          <w:szCs w:val="21"/>
        </w:rPr>
        <w:t>3）第三次</w:t>
      </w:r>
      <w:r>
        <w:rPr>
          <w:rFonts w:ascii="宋体"/>
          <w:color w:val="auto"/>
          <w:szCs w:val="21"/>
        </w:rPr>
        <w:t>预付款</w:t>
      </w:r>
      <w:r>
        <w:rPr>
          <w:rFonts w:hint="eastAsia" w:ascii="宋体"/>
          <w:color w:val="auto"/>
          <w:szCs w:val="21"/>
        </w:rPr>
        <w:t xml:space="preserve"> …………………………………。</w:t>
      </w:r>
      <w:bookmarkEnd w:id="2033"/>
    </w:p>
    <w:p>
      <w:pPr>
        <w:spacing w:line="360" w:lineRule="auto"/>
        <w:ind w:right="248" w:firstLine="420" w:firstLineChars="200"/>
        <w:rPr>
          <w:rFonts w:hint="eastAsia" w:ascii="宋体"/>
          <w:color w:val="auto"/>
          <w:szCs w:val="21"/>
        </w:rPr>
      </w:pPr>
      <w:bookmarkStart w:id="2034" w:name="_Toc221951233"/>
      <w:r>
        <w:rPr>
          <w:rFonts w:hint="eastAsia" w:ascii="宋体"/>
          <w:color w:val="auto"/>
          <w:szCs w:val="21"/>
        </w:rPr>
        <w:t>┇</w:t>
      </w:r>
      <w:bookmarkEnd w:id="2034"/>
    </w:p>
    <w:p>
      <w:pPr>
        <w:spacing w:line="360" w:lineRule="auto"/>
        <w:ind w:right="248" w:firstLine="420" w:firstLineChars="200"/>
        <w:rPr>
          <w:rFonts w:hint="eastAsia" w:ascii="宋体"/>
          <w:color w:val="auto"/>
          <w:szCs w:val="21"/>
        </w:rPr>
      </w:pPr>
      <w:bookmarkStart w:id="2035" w:name="_Toc221951234"/>
      <w:r>
        <w:rPr>
          <w:rFonts w:hint="eastAsia" w:ascii="宋体"/>
          <w:color w:val="auto"/>
          <w:szCs w:val="21"/>
        </w:rPr>
        <w:t>┇</w:t>
      </w:r>
      <w:bookmarkEnd w:id="2035"/>
    </w:p>
    <w:p>
      <w:pPr>
        <w:spacing w:line="360" w:lineRule="auto"/>
        <w:ind w:right="248" w:firstLine="420" w:firstLineChars="200"/>
        <w:rPr>
          <w:rFonts w:hint="eastAsia" w:ascii="宋体"/>
          <w:color w:val="auto"/>
          <w:szCs w:val="21"/>
        </w:rPr>
      </w:pPr>
      <w:r>
        <w:rPr>
          <w:rFonts w:hint="eastAsia" w:ascii="宋体"/>
          <w:color w:val="auto"/>
          <w:szCs w:val="21"/>
        </w:rPr>
        <w:t>（2）工程材料预付款的额度和预付办法约定为：</w:t>
      </w:r>
      <w:r>
        <w:rPr>
          <w:rFonts w:hint="eastAsia" w:ascii="宋体"/>
          <w:color w:val="auto"/>
          <w:szCs w:val="21"/>
          <w:u w:val="single"/>
        </w:rPr>
        <w:t xml:space="preserve">                 </w:t>
      </w:r>
      <w:r>
        <w:rPr>
          <w:rFonts w:hint="eastAsia" w:ascii="宋体"/>
          <w:color w:val="auto"/>
          <w:szCs w:val="21"/>
        </w:rPr>
        <w:t>。</w:t>
      </w:r>
    </w:p>
    <w:p>
      <w:pPr>
        <w:spacing w:line="360" w:lineRule="auto"/>
        <w:ind w:right="248" w:firstLine="480"/>
        <w:rPr>
          <w:rFonts w:hint="eastAsia" w:ascii="宋体"/>
          <w:color w:val="auto"/>
          <w:szCs w:val="21"/>
        </w:rPr>
      </w:pPr>
      <w:r>
        <w:rPr>
          <w:rFonts w:hint="eastAsia" w:ascii="宋体"/>
          <w:color w:val="auto"/>
          <w:szCs w:val="21"/>
        </w:rPr>
        <w:t xml:space="preserve"> </w:t>
      </w:r>
      <w:bookmarkStart w:id="2036" w:name="_Toc221951235"/>
      <w:r>
        <w:rPr>
          <w:rFonts w:hint="eastAsia"/>
          <w:color w:val="auto"/>
        </w:rPr>
        <w:t>17.2.2 预付款保函</w:t>
      </w:r>
      <w:bookmarkEnd w:id="2036"/>
      <w:r>
        <w:rPr>
          <w:rFonts w:hint="eastAsia"/>
          <w:color w:val="auto"/>
        </w:rPr>
        <w:t>（担保）</w:t>
      </w:r>
    </w:p>
    <w:p>
      <w:pPr>
        <w:spacing w:line="360" w:lineRule="auto"/>
        <w:ind w:right="248" w:firstLine="420" w:firstLineChars="200"/>
        <w:rPr>
          <w:rFonts w:hint="eastAsia" w:ascii="宋体"/>
          <w:color w:val="auto"/>
          <w:szCs w:val="21"/>
        </w:rPr>
      </w:pPr>
      <w:bookmarkStart w:id="2037" w:name="_Toc221951236"/>
      <w:r>
        <w:rPr>
          <w:rFonts w:hint="eastAsia" w:ascii="宋体" w:hAnsi="宋体"/>
          <w:color w:val="auto"/>
          <w:szCs w:val="21"/>
        </w:rPr>
        <w:t>（2）工程材料预付款的担保约定为：</w:t>
      </w:r>
      <w:r>
        <w:rPr>
          <w:rFonts w:hint="eastAsia" w:ascii="宋体" w:hAnsi="宋体"/>
          <w:color w:val="auto"/>
          <w:szCs w:val="21"/>
          <w:u w:val="single"/>
        </w:rPr>
        <w:t xml:space="preserve">                          </w:t>
      </w:r>
      <w:r>
        <w:rPr>
          <w:rFonts w:hint="eastAsia" w:ascii="宋体" w:hAnsi="宋体"/>
          <w:color w:val="auto"/>
          <w:szCs w:val="21"/>
        </w:rPr>
        <w:t>。</w:t>
      </w:r>
      <w:bookmarkEnd w:id="2037"/>
    </w:p>
    <w:p>
      <w:pPr>
        <w:spacing w:line="360" w:lineRule="auto"/>
        <w:ind w:right="248" w:firstLine="480"/>
        <w:rPr>
          <w:rFonts w:hint="eastAsia"/>
          <w:color w:val="auto"/>
        </w:rPr>
      </w:pPr>
      <w:bookmarkStart w:id="2038" w:name="_Toc221951237"/>
      <w:r>
        <w:rPr>
          <w:rFonts w:hint="eastAsia"/>
          <w:color w:val="auto"/>
        </w:rPr>
        <w:t>17.2.3 预付款的扣回与还清</w:t>
      </w:r>
      <w:bookmarkEnd w:id="2038"/>
    </w:p>
    <w:p>
      <w:pPr>
        <w:spacing w:line="360" w:lineRule="auto"/>
        <w:ind w:left="120" w:leftChars="57" w:right="248" w:firstLine="420" w:firstLineChars="200"/>
        <w:rPr>
          <w:rFonts w:hint="eastAsia" w:ascii="宋体"/>
          <w:color w:val="auto"/>
          <w:szCs w:val="21"/>
        </w:rPr>
      </w:pPr>
      <w:bookmarkStart w:id="2039" w:name="_Toc221951238"/>
      <w:r>
        <w:rPr>
          <w:rFonts w:hint="eastAsia" w:ascii="宋体"/>
          <w:color w:val="auto"/>
          <w:szCs w:val="21"/>
        </w:rPr>
        <w:t>工程预付款在合同累计完成金额达到签约合同价格的</w:t>
      </w:r>
      <w:r>
        <w:rPr>
          <w:rFonts w:hint="eastAsia" w:ascii="宋体"/>
          <w:color w:val="auto"/>
          <w:szCs w:val="21"/>
          <w:u w:val="single"/>
        </w:rPr>
        <w:t xml:space="preserve">    </w:t>
      </w:r>
      <w:r>
        <w:rPr>
          <w:rFonts w:ascii="宋体"/>
          <w:color w:val="auto"/>
          <w:szCs w:val="21"/>
        </w:rPr>
        <w:t>%</w:t>
      </w:r>
      <w:r>
        <w:rPr>
          <w:rFonts w:hint="eastAsia" w:ascii="宋体"/>
          <w:color w:val="auto"/>
          <w:szCs w:val="21"/>
        </w:rPr>
        <w:t>时开始扣款，直至合同累计完成金额达到签约合同价的</w:t>
      </w:r>
      <w:r>
        <w:rPr>
          <w:rFonts w:hint="eastAsia" w:ascii="宋体"/>
          <w:color w:val="auto"/>
          <w:szCs w:val="21"/>
          <w:u w:val="single"/>
        </w:rPr>
        <w:t xml:space="preserve">                </w:t>
      </w:r>
      <w:r>
        <w:rPr>
          <w:rFonts w:ascii="宋体"/>
          <w:color w:val="auto"/>
          <w:szCs w:val="21"/>
        </w:rPr>
        <w:t>%</w:t>
      </w:r>
      <w:r>
        <w:rPr>
          <w:rFonts w:hint="eastAsia" w:ascii="宋体"/>
          <w:color w:val="auto"/>
          <w:szCs w:val="21"/>
        </w:rPr>
        <w:t>时全部扣清。</w:t>
      </w:r>
      <w:bookmarkEnd w:id="2039"/>
    </w:p>
    <w:p>
      <w:pPr>
        <w:spacing w:line="360" w:lineRule="auto"/>
        <w:ind w:right="248" w:firstLine="945" w:firstLineChars="450"/>
        <w:rPr>
          <w:rFonts w:hint="eastAsia" w:ascii="宋体"/>
          <w:color w:val="auto"/>
          <w:szCs w:val="21"/>
        </w:rPr>
      </w:pPr>
      <w:bookmarkStart w:id="2040" w:name="_Toc221951239"/>
      <w:r>
        <w:rPr>
          <w:rFonts w:ascii="宋体"/>
          <w:color w:val="auto"/>
          <w:position w:val="-30"/>
          <w:szCs w:val="21"/>
        </w:rPr>
        <w:object>
          <v:shape id="_x0000_i1029" o:spt="75" type="#_x0000_t75" style="height:34pt;width:124pt;" o:ole="t" fillcolor="#6D6D6D" filled="f" stroked="f" coordsize="21600,21600">
            <v:path/>
            <v:fill on="f" focussize="0,0"/>
            <v:stroke on="f"/>
            <v:imagedata r:id="rId31" o:title=""/>
            <o:lock v:ext="edit" grouping="f" rotation="f" text="f" aspectratio="t"/>
            <w10:wrap type="none"/>
            <w10:anchorlock/>
          </v:shape>
          <o:OLEObject Type="Embed" ProgID="Equation.3" ShapeID="_x0000_i1029" DrawAspect="Content" ObjectID="_1468075729" r:id="rId30">
            <o:LockedField>false</o:LockedField>
          </o:OLEObject>
        </w:object>
      </w:r>
      <w:bookmarkEnd w:id="2040"/>
    </w:p>
    <w:p>
      <w:pPr>
        <w:spacing w:line="360" w:lineRule="auto"/>
        <w:ind w:right="248" w:firstLine="480"/>
        <w:rPr>
          <w:rFonts w:hint="eastAsia" w:ascii="宋体"/>
          <w:color w:val="auto"/>
          <w:szCs w:val="21"/>
        </w:rPr>
      </w:pPr>
      <w:bookmarkStart w:id="2041" w:name="_Toc221951240"/>
      <w:r>
        <w:rPr>
          <w:rFonts w:hint="eastAsia" w:ascii="宋体"/>
          <w:color w:val="auto"/>
          <w:szCs w:val="21"/>
        </w:rPr>
        <w:t>式中：R——每次进度付款中累计扣回的金额；</w:t>
      </w:r>
      <w:bookmarkEnd w:id="2041"/>
    </w:p>
    <w:p>
      <w:pPr>
        <w:spacing w:line="360" w:lineRule="auto"/>
        <w:ind w:right="248" w:firstLine="480"/>
        <w:rPr>
          <w:rFonts w:hint="eastAsia" w:ascii="宋体"/>
          <w:color w:val="auto"/>
          <w:szCs w:val="21"/>
        </w:rPr>
      </w:pPr>
      <w:r>
        <w:rPr>
          <w:rFonts w:hint="eastAsia" w:ascii="宋体"/>
          <w:color w:val="auto"/>
          <w:szCs w:val="21"/>
        </w:rPr>
        <w:t xml:space="preserve">      </w:t>
      </w:r>
      <w:bookmarkStart w:id="2042" w:name="_Toc221951241"/>
      <w:r>
        <w:rPr>
          <w:rFonts w:hint="eastAsia" w:ascii="宋体"/>
          <w:color w:val="auto"/>
          <w:szCs w:val="21"/>
        </w:rPr>
        <w:t>A——工程预付款总金额；</w:t>
      </w:r>
      <w:bookmarkEnd w:id="2042"/>
    </w:p>
    <w:p>
      <w:pPr>
        <w:spacing w:line="360" w:lineRule="auto"/>
        <w:ind w:right="248" w:firstLine="480"/>
        <w:rPr>
          <w:rFonts w:hint="eastAsia" w:ascii="宋体"/>
          <w:color w:val="auto"/>
          <w:szCs w:val="21"/>
        </w:rPr>
      </w:pPr>
      <w:r>
        <w:rPr>
          <w:rFonts w:hint="eastAsia" w:ascii="宋体"/>
          <w:color w:val="auto"/>
          <w:szCs w:val="21"/>
        </w:rPr>
        <w:t xml:space="preserve">      </w:t>
      </w:r>
      <w:bookmarkStart w:id="2043" w:name="_Toc221951242"/>
      <w:r>
        <w:rPr>
          <w:rFonts w:hint="eastAsia" w:ascii="宋体"/>
          <w:color w:val="auto"/>
          <w:szCs w:val="21"/>
        </w:rPr>
        <w:t>S——签约合同价格；</w:t>
      </w:r>
      <w:bookmarkEnd w:id="2043"/>
    </w:p>
    <w:p>
      <w:pPr>
        <w:spacing w:line="360" w:lineRule="auto"/>
        <w:ind w:right="248" w:firstLine="480"/>
        <w:rPr>
          <w:rFonts w:hint="eastAsia" w:ascii="宋体"/>
          <w:color w:val="auto"/>
          <w:szCs w:val="21"/>
        </w:rPr>
      </w:pPr>
      <w:r>
        <w:rPr>
          <w:rFonts w:hint="eastAsia" w:ascii="宋体"/>
          <w:color w:val="auto"/>
          <w:szCs w:val="21"/>
        </w:rPr>
        <w:t xml:space="preserve">      </w:t>
      </w:r>
      <w:bookmarkStart w:id="2044" w:name="_Toc221951243"/>
      <w:r>
        <w:rPr>
          <w:rFonts w:hint="eastAsia" w:ascii="宋体"/>
          <w:color w:val="auto"/>
          <w:szCs w:val="21"/>
        </w:rPr>
        <w:t>C——合同累计完成金额；</w:t>
      </w:r>
      <w:bookmarkEnd w:id="2044"/>
    </w:p>
    <w:p>
      <w:pPr>
        <w:spacing w:line="360" w:lineRule="auto"/>
        <w:ind w:right="248" w:firstLine="480"/>
        <w:rPr>
          <w:rFonts w:hint="eastAsia" w:ascii="宋体"/>
          <w:color w:val="auto"/>
          <w:szCs w:val="21"/>
        </w:rPr>
      </w:pPr>
      <w:r>
        <w:rPr>
          <w:rFonts w:hint="eastAsia" w:ascii="宋体"/>
          <w:color w:val="auto"/>
          <w:szCs w:val="21"/>
        </w:rPr>
        <w:t xml:space="preserve">      </w:t>
      </w:r>
      <w:bookmarkStart w:id="2045" w:name="_Toc221951244"/>
      <w:r>
        <w:rPr>
          <w:rFonts w:hint="eastAsia" w:ascii="宋体"/>
          <w:color w:val="auto"/>
          <w:szCs w:val="21"/>
        </w:rPr>
        <w:t>F1——开始扣款时合同累计完成金额达到签约合同价格的比例；</w:t>
      </w:r>
      <w:bookmarkEnd w:id="2045"/>
    </w:p>
    <w:p>
      <w:pPr>
        <w:spacing w:line="360" w:lineRule="auto"/>
        <w:ind w:right="248" w:firstLine="480"/>
        <w:rPr>
          <w:rFonts w:hint="eastAsia" w:ascii="宋体"/>
          <w:color w:val="auto"/>
          <w:szCs w:val="21"/>
        </w:rPr>
      </w:pPr>
      <w:r>
        <w:rPr>
          <w:rFonts w:hint="eastAsia" w:ascii="宋体"/>
          <w:color w:val="auto"/>
          <w:szCs w:val="21"/>
        </w:rPr>
        <w:t xml:space="preserve">      </w:t>
      </w:r>
      <w:bookmarkStart w:id="2046" w:name="_Toc221951245"/>
      <w:r>
        <w:rPr>
          <w:rFonts w:hint="eastAsia" w:ascii="宋体"/>
          <w:color w:val="auto"/>
          <w:szCs w:val="21"/>
        </w:rPr>
        <w:t>F2——全部扣清时合同累计完成金额达到签约合同价格的比例。</w:t>
      </w:r>
      <w:bookmarkEnd w:id="2046"/>
    </w:p>
    <w:p>
      <w:pPr>
        <w:spacing w:line="360" w:lineRule="auto"/>
        <w:ind w:right="248" w:firstLine="480"/>
        <w:rPr>
          <w:rFonts w:hint="eastAsia" w:ascii="宋体"/>
          <w:color w:val="auto"/>
          <w:szCs w:val="21"/>
        </w:rPr>
      </w:pPr>
      <w:bookmarkStart w:id="2047" w:name="_Toc221951246"/>
      <w:r>
        <w:rPr>
          <w:rFonts w:hint="eastAsia" w:ascii="宋体"/>
          <w:color w:val="auto"/>
          <w:szCs w:val="21"/>
        </w:rPr>
        <w:t>上述合同累计完成金额均指价格调整前未扣质量保证金的金额。</w:t>
      </w:r>
      <w:bookmarkEnd w:id="2047"/>
    </w:p>
    <w:p>
      <w:pPr>
        <w:spacing w:line="360" w:lineRule="auto"/>
        <w:ind w:right="248" w:firstLine="480"/>
        <w:rPr>
          <w:rFonts w:hint="eastAsia" w:ascii="宋体"/>
          <w:color w:val="auto"/>
          <w:szCs w:val="21"/>
        </w:rPr>
      </w:pPr>
      <w:r>
        <w:rPr>
          <w:rFonts w:hint="eastAsia" w:ascii="宋体"/>
          <w:color w:val="auto"/>
          <w:szCs w:val="21"/>
        </w:rPr>
        <w:t>（2）工程材料预付款的扣回与还清约定为：</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48" w:name="_Toc517172602"/>
      <w:bookmarkStart w:id="2049" w:name="_Toc9425"/>
      <w:bookmarkStart w:id="2050" w:name="_Toc221951260"/>
      <w:r>
        <w:rPr>
          <w:rFonts w:eastAsia="黑体"/>
          <w:color w:val="auto"/>
          <w:sz w:val="24"/>
          <w:szCs w:val="20"/>
        </w:rPr>
        <w:t>17</w:t>
      </w:r>
      <w:r>
        <w:rPr>
          <w:rFonts w:hint="eastAsia" w:eastAsia="黑体"/>
          <w:color w:val="auto"/>
          <w:sz w:val="24"/>
          <w:szCs w:val="20"/>
        </w:rPr>
        <w:t>.</w:t>
      </w:r>
      <w:r>
        <w:rPr>
          <w:rFonts w:eastAsia="黑体"/>
          <w:color w:val="auto"/>
          <w:sz w:val="24"/>
          <w:szCs w:val="20"/>
        </w:rPr>
        <w:t>4</w:t>
      </w:r>
      <w:r>
        <w:rPr>
          <w:rFonts w:hint="eastAsia" w:eastAsia="黑体"/>
          <w:color w:val="auto"/>
          <w:sz w:val="24"/>
          <w:szCs w:val="20"/>
        </w:rPr>
        <w:t xml:space="preserve"> 质量保证金</w:t>
      </w:r>
      <w:bookmarkEnd w:id="2048"/>
      <w:bookmarkEnd w:id="2049"/>
      <w:bookmarkEnd w:id="2050"/>
    </w:p>
    <w:p>
      <w:pPr>
        <w:spacing w:line="360" w:lineRule="auto"/>
        <w:ind w:right="248" w:firstLine="420" w:firstLineChars="200"/>
        <w:rPr>
          <w:rFonts w:hint="eastAsia" w:ascii="宋体"/>
          <w:color w:val="auto"/>
          <w:szCs w:val="21"/>
        </w:rPr>
      </w:pPr>
      <w:bookmarkStart w:id="2051" w:name="_Toc221951262"/>
      <w:r>
        <w:rPr>
          <w:rFonts w:hint="eastAsia" w:ascii="宋体"/>
          <w:color w:val="auto"/>
          <w:szCs w:val="21"/>
        </w:rPr>
        <w:t>17.4.1</w:t>
      </w:r>
      <w:bookmarkEnd w:id="2051"/>
      <w:r>
        <w:rPr>
          <w:rFonts w:hint="eastAsia" w:ascii="宋体"/>
          <w:color w:val="auto"/>
          <w:szCs w:val="21"/>
        </w:rPr>
        <w:t xml:space="preserve"> 每个付款周期扣留的质量保证金为工程进度付款的</w:t>
      </w:r>
      <w:r>
        <w:rPr>
          <w:rFonts w:hint="eastAsia" w:ascii="宋体"/>
          <w:color w:val="auto"/>
          <w:szCs w:val="21"/>
          <w:u w:val="single"/>
        </w:rPr>
        <w:t xml:space="preserve">             </w:t>
      </w:r>
      <w:r>
        <w:rPr>
          <w:rFonts w:hint="eastAsia" w:ascii="宋体"/>
          <w:color w:val="auto"/>
          <w:szCs w:val="21"/>
        </w:rPr>
        <w:t>%，扣留的质量保证金总额为签约合同价的</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52" w:name="_Toc221951265"/>
      <w:bookmarkStart w:id="2053" w:name="_Toc517172603"/>
      <w:bookmarkStart w:id="2054" w:name="_Toc20651"/>
      <w:r>
        <w:rPr>
          <w:rFonts w:hint="eastAsia" w:eastAsia="黑体"/>
          <w:color w:val="auto"/>
          <w:sz w:val="24"/>
          <w:szCs w:val="20"/>
        </w:rPr>
        <w:t>17.5 竣工（完工）结算</w:t>
      </w:r>
      <w:bookmarkEnd w:id="2052"/>
      <w:bookmarkEnd w:id="2053"/>
      <w:bookmarkEnd w:id="2054"/>
    </w:p>
    <w:p>
      <w:pPr>
        <w:spacing w:line="360" w:lineRule="auto"/>
        <w:ind w:right="248" w:firstLine="480"/>
        <w:rPr>
          <w:rFonts w:hint="eastAsia" w:ascii="宋体"/>
          <w:color w:val="auto"/>
          <w:szCs w:val="21"/>
        </w:rPr>
      </w:pPr>
      <w:bookmarkStart w:id="2055" w:name="_Toc221951266"/>
      <w:r>
        <w:rPr>
          <w:rFonts w:ascii="宋体"/>
          <w:color w:val="auto"/>
          <w:szCs w:val="21"/>
        </w:rPr>
        <w:t>17</w:t>
      </w:r>
      <w:r>
        <w:rPr>
          <w:rFonts w:hint="eastAsia" w:ascii="宋体"/>
          <w:color w:val="auto"/>
          <w:szCs w:val="21"/>
        </w:rPr>
        <w:t>.</w:t>
      </w:r>
      <w:r>
        <w:rPr>
          <w:rFonts w:ascii="宋体"/>
          <w:color w:val="auto"/>
          <w:szCs w:val="21"/>
        </w:rPr>
        <w:t>5</w:t>
      </w:r>
      <w:r>
        <w:rPr>
          <w:rFonts w:hint="eastAsia" w:ascii="宋体"/>
          <w:color w:val="auto"/>
          <w:szCs w:val="21"/>
        </w:rPr>
        <w:t>.</w:t>
      </w:r>
      <w:r>
        <w:rPr>
          <w:rFonts w:ascii="宋体"/>
          <w:color w:val="auto"/>
          <w:szCs w:val="21"/>
        </w:rPr>
        <w:t>1</w:t>
      </w:r>
      <w:r>
        <w:rPr>
          <w:rFonts w:hint="eastAsia" w:ascii="宋体"/>
          <w:color w:val="auto"/>
          <w:szCs w:val="21"/>
        </w:rPr>
        <w:t xml:space="preserve">  竣工（完工）付款申请单</w:t>
      </w:r>
      <w:bookmarkEnd w:id="2055"/>
      <w:r>
        <w:rPr>
          <w:rFonts w:hint="eastAsia" w:ascii="楷体_GB2312" w:eastAsia="楷体_GB2312"/>
          <w:color w:val="auto"/>
          <w:szCs w:val="21"/>
        </w:rPr>
        <w:t xml:space="preserve"> </w:t>
      </w:r>
    </w:p>
    <w:p>
      <w:pPr>
        <w:spacing w:line="360" w:lineRule="auto"/>
        <w:ind w:right="248" w:firstLine="480"/>
        <w:rPr>
          <w:rFonts w:hint="eastAsia" w:ascii="宋体"/>
          <w:color w:val="auto"/>
          <w:szCs w:val="21"/>
        </w:rPr>
      </w:pPr>
      <w:bookmarkStart w:id="2056" w:name="_Toc221951267"/>
      <w:r>
        <w:rPr>
          <w:rFonts w:hint="eastAsia" w:ascii="宋体"/>
          <w:color w:val="auto"/>
          <w:szCs w:val="21"/>
        </w:rPr>
        <w:t>（1）承包人应提交竣工付款申请单一式</w:t>
      </w:r>
      <w:r>
        <w:rPr>
          <w:rFonts w:hint="eastAsia" w:ascii="宋体"/>
          <w:color w:val="auto"/>
          <w:szCs w:val="21"/>
          <w:u w:val="single"/>
        </w:rPr>
        <w:t xml:space="preserve">           </w:t>
      </w:r>
      <w:r>
        <w:rPr>
          <w:rFonts w:hint="eastAsia" w:ascii="宋体"/>
          <w:color w:val="auto"/>
          <w:szCs w:val="21"/>
        </w:rPr>
        <w:t>份。</w:t>
      </w:r>
      <w:bookmarkEnd w:id="2056"/>
    </w:p>
    <w:p>
      <w:pPr>
        <w:keepNext/>
        <w:keepLines/>
        <w:spacing w:line="400" w:lineRule="exact"/>
        <w:outlineLvl w:val="3"/>
        <w:rPr>
          <w:rFonts w:hint="eastAsia" w:eastAsia="黑体"/>
          <w:color w:val="auto"/>
          <w:sz w:val="24"/>
          <w:szCs w:val="20"/>
        </w:rPr>
      </w:pPr>
      <w:bookmarkStart w:id="2057" w:name="_Toc221951268"/>
      <w:bookmarkStart w:id="2058" w:name="_Toc17782"/>
      <w:bookmarkStart w:id="2059" w:name="_Toc517172604"/>
      <w:r>
        <w:rPr>
          <w:rFonts w:hint="eastAsia" w:eastAsia="黑体"/>
          <w:color w:val="auto"/>
          <w:sz w:val="24"/>
          <w:szCs w:val="20"/>
        </w:rPr>
        <w:t>17.6 最终结清</w:t>
      </w:r>
      <w:bookmarkEnd w:id="2057"/>
      <w:bookmarkEnd w:id="2058"/>
      <w:bookmarkEnd w:id="2059"/>
    </w:p>
    <w:p>
      <w:pPr>
        <w:spacing w:line="360" w:lineRule="auto"/>
        <w:ind w:right="248" w:firstLine="480"/>
        <w:rPr>
          <w:rFonts w:hint="eastAsia"/>
          <w:color w:val="auto"/>
        </w:rPr>
      </w:pPr>
      <w:bookmarkStart w:id="2060" w:name="_Toc221951269"/>
      <w:r>
        <w:rPr>
          <w:color w:val="auto"/>
        </w:rPr>
        <w:t>17</w:t>
      </w:r>
      <w:r>
        <w:rPr>
          <w:rFonts w:hint="eastAsia"/>
          <w:color w:val="auto"/>
        </w:rPr>
        <w:t>.</w:t>
      </w:r>
      <w:r>
        <w:rPr>
          <w:color w:val="auto"/>
        </w:rPr>
        <w:t>6</w:t>
      </w:r>
      <w:r>
        <w:rPr>
          <w:rFonts w:hint="eastAsia"/>
          <w:color w:val="auto"/>
        </w:rPr>
        <w:t xml:space="preserve"> </w:t>
      </w:r>
      <w:r>
        <w:rPr>
          <w:color w:val="auto"/>
        </w:rPr>
        <w:t>1</w:t>
      </w:r>
      <w:r>
        <w:rPr>
          <w:rFonts w:hint="eastAsia"/>
          <w:color w:val="auto"/>
        </w:rPr>
        <w:t xml:space="preserve">  最终结清申请单</w:t>
      </w:r>
      <w:bookmarkEnd w:id="2060"/>
    </w:p>
    <w:p>
      <w:pPr>
        <w:spacing w:line="360" w:lineRule="auto"/>
        <w:ind w:right="248" w:firstLine="480"/>
        <w:rPr>
          <w:rFonts w:hint="eastAsia" w:ascii="宋体"/>
          <w:color w:val="auto"/>
          <w:szCs w:val="21"/>
        </w:rPr>
      </w:pPr>
      <w:bookmarkStart w:id="2061" w:name="_Toc221951270"/>
      <w:r>
        <w:rPr>
          <w:rFonts w:hint="eastAsia" w:ascii="宋体"/>
          <w:color w:val="auto"/>
          <w:szCs w:val="21"/>
        </w:rPr>
        <w:t>（1）承包人应提交最终结清申请单一式</w:t>
      </w:r>
      <w:r>
        <w:rPr>
          <w:rFonts w:hint="eastAsia" w:ascii="宋体"/>
          <w:color w:val="auto"/>
          <w:szCs w:val="21"/>
          <w:u w:val="single"/>
        </w:rPr>
        <w:t xml:space="preserve">                 </w:t>
      </w:r>
      <w:r>
        <w:rPr>
          <w:rFonts w:hint="eastAsia" w:ascii="宋体"/>
          <w:color w:val="auto"/>
          <w:szCs w:val="21"/>
        </w:rPr>
        <w:t>份。</w:t>
      </w:r>
      <w:bookmarkEnd w:id="2061"/>
    </w:p>
    <w:p>
      <w:pPr>
        <w:keepNext/>
        <w:keepLines/>
        <w:spacing w:line="400" w:lineRule="exact"/>
        <w:outlineLvl w:val="3"/>
        <w:rPr>
          <w:rFonts w:hint="eastAsia" w:eastAsia="黑体"/>
          <w:color w:val="auto"/>
          <w:sz w:val="24"/>
          <w:szCs w:val="20"/>
        </w:rPr>
      </w:pPr>
      <w:bookmarkStart w:id="2062" w:name="_Toc517172605"/>
      <w:bookmarkStart w:id="2063" w:name="_Toc20735"/>
      <w:r>
        <w:rPr>
          <w:rFonts w:hint="eastAsia" w:eastAsia="黑体"/>
          <w:color w:val="auto"/>
          <w:sz w:val="24"/>
          <w:szCs w:val="20"/>
        </w:rPr>
        <w:t>17.7 竣工财务决算</w:t>
      </w:r>
      <w:bookmarkEnd w:id="2062"/>
      <w:bookmarkEnd w:id="2063"/>
    </w:p>
    <w:p>
      <w:pPr>
        <w:spacing w:line="360" w:lineRule="auto"/>
        <w:ind w:right="248" w:firstLine="480"/>
        <w:rPr>
          <w:rFonts w:hint="eastAsia" w:ascii="宋体"/>
          <w:color w:val="auto"/>
          <w:szCs w:val="21"/>
        </w:rPr>
      </w:pPr>
      <w:r>
        <w:rPr>
          <w:rFonts w:hint="eastAsia" w:ascii="宋体"/>
          <w:color w:val="auto"/>
          <w:szCs w:val="21"/>
        </w:rPr>
        <w:t>承包人应为竣工财务决算编制提供的资料：</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2064" w:name="_Toc221951271"/>
      <w:bookmarkStart w:id="2065" w:name="_Toc222029541"/>
      <w:bookmarkStart w:id="2066" w:name="_Toc222031043"/>
      <w:bookmarkStart w:id="2067" w:name="_Toc222032710"/>
      <w:bookmarkStart w:id="2068" w:name="_Toc222033892"/>
      <w:bookmarkStart w:id="2069" w:name="_Toc229305399"/>
      <w:bookmarkStart w:id="2070" w:name="_Toc14300"/>
      <w:bookmarkStart w:id="2071" w:name="_Toc517172606"/>
      <w:bookmarkStart w:id="2072" w:name="_Toc491089773"/>
      <w:r>
        <w:rPr>
          <w:rFonts w:hint="eastAsia"/>
          <w:color w:val="auto"/>
        </w:rPr>
        <w:t>18. 竣工验收</w:t>
      </w:r>
      <w:bookmarkEnd w:id="2064"/>
      <w:bookmarkEnd w:id="2065"/>
      <w:bookmarkEnd w:id="2066"/>
      <w:bookmarkEnd w:id="2067"/>
      <w:bookmarkEnd w:id="2068"/>
      <w:bookmarkEnd w:id="2069"/>
      <w:r>
        <w:rPr>
          <w:rFonts w:hint="eastAsia"/>
          <w:color w:val="auto"/>
        </w:rPr>
        <w:t>（验收）</w:t>
      </w:r>
      <w:bookmarkEnd w:id="2070"/>
      <w:bookmarkEnd w:id="2071"/>
      <w:bookmarkEnd w:id="2072"/>
    </w:p>
    <w:p>
      <w:pPr>
        <w:keepNext/>
        <w:keepLines/>
        <w:spacing w:line="400" w:lineRule="exact"/>
        <w:outlineLvl w:val="3"/>
        <w:rPr>
          <w:rFonts w:hint="eastAsia" w:eastAsia="黑体"/>
          <w:color w:val="auto"/>
          <w:sz w:val="24"/>
          <w:szCs w:val="20"/>
        </w:rPr>
      </w:pPr>
      <w:bookmarkStart w:id="2073" w:name="_Toc221951272"/>
      <w:bookmarkStart w:id="2074" w:name="_Toc517172607"/>
      <w:bookmarkStart w:id="2075" w:name="_Toc20813"/>
      <w:r>
        <w:rPr>
          <w:rFonts w:hint="eastAsia" w:eastAsia="黑体"/>
          <w:color w:val="auto"/>
          <w:sz w:val="24"/>
          <w:szCs w:val="20"/>
        </w:rPr>
        <w:t>18.1</w:t>
      </w:r>
      <w:bookmarkEnd w:id="2073"/>
      <w:r>
        <w:rPr>
          <w:rFonts w:hint="eastAsia" w:eastAsia="黑体"/>
          <w:color w:val="auto"/>
          <w:sz w:val="24"/>
          <w:szCs w:val="20"/>
        </w:rPr>
        <w:t xml:space="preserve"> 验收工作分类</w:t>
      </w:r>
      <w:bookmarkEnd w:id="2074"/>
      <w:bookmarkEnd w:id="2075"/>
    </w:p>
    <w:p>
      <w:pPr>
        <w:spacing w:line="360" w:lineRule="auto"/>
        <w:ind w:right="248" w:firstLine="480"/>
        <w:rPr>
          <w:rFonts w:hint="eastAsia" w:ascii="宋体"/>
          <w:color w:val="auto"/>
          <w:szCs w:val="21"/>
        </w:rPr>
      </w:pPr>
      <w:bookmarkStart w:id="2076" w:name="_Toc221951274"/>
      <w:r>
        <w:rPr>
          <w:rFonts w:hint="eastAsia" w:ascii="宋体"/>
          <w:color w:val="auto"/>
          <w:szCs w:val="21"/>
        </w:rPr>
        <w:t>本合同法人验收包括：</w:t>
      </w:r>
      <w:r>
        <w:rPr>
          <w:rFonts w:hint="eastAsia" w:ascii="宋体"/>
          <w:color w:val="auto"/>
          <w:szCs w:val="21"/>
          <w:u w:val="single"/>
        </w:rPr>
        <w:t xml:space="preserve">               </w:t>
      </w:r>
      <w:r>
        <w:rPr>
          <w:rFonts w:hint="eastAsia" w:ascii="宋体"/>
          <w:color w:val="auto"/>
          <w:szCs w:val="21"/>
        </w:rPr>
        <w:t>；政府验收包括：</w:t>
      </w:r>
      <w:r>
        <w:rPr>
          <w:rFonts w:hint="eastAsia" w:ascii="宋体"/>
          <w:color w:val="auto"/>
          <w:szCs w:val="21"/>
          <w:u w:val="single"/>
        </w:rPr>
        <w:t xml:space="preserve">           </w:t>
      </w:r>
      <w:r>
        <w:rPr>
          <w:rFonts w:hint="eastAsia" w:ascii="宋体"/>
          <w:color w:val="auto"/>
          <w:szCs w:val="21"/>
        </w:rPr>
        <w:t>。验收条件为：</w:t>
      </w:r>
      <w:r>
        <w:rPr>
          <w:rFonts w:hint="eastAsia" w:ascii="宋体"/>
          <w:color w:val="auto"/>
          <w:szCs w:val="21"/>
          <w:u w:val="single"/>
        </w:rPr>
        <w:t xml:space="preserve">                </w:t>
      </w:r>
      <w:r>
        <w:rPr>
          <w:rFonts w:hint="eastAsia" w:ascii="宋体"/>
          <w:color w:val="auto"/>
          <w:szCs w:val="21"/>
        </w:rPr>
        <w:t>，验收程序为：</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77" w:name="_Toc517172608"/>
      <w:bookmarkStart w:id="2078" w:name="_Toc7057"/>
      <w:r>
        <w:rPr>
          <w:rFonts w:hint="eastAsia" w:eastAsia="黑体"/>
          <w:color w:val="auto"/>
          <w:sz w:val="24"/>
          <w:szCs w:val="20"/>
        </w:rPr>
        <w:t>18.2 分部工程验收</w:t>
      </w:r>
      <w:bookmarkEnd w:id="2077"/>
      <w:bookmarkEnd w:id="2078"/>
    </w:p>
    <w:p>
      <w:pPr>
        <w:spacing w:line="360" w:lineRule="auto"/>
        <w:ind w:right="248" w:firstLine="480"/>
        <w:rPr>
          <w:rFonts w:hint="eastAsia" w:ascii="宋体"/>
          <w:color w:val="auto"/>
          <w:szCs w:val="21"/>
        </w:rPr>
      </w:pPr>
      <w:r>
        <w:rPr>
          <w:rFonts w:hint="eastAsia" w:ascii="宋体"/>
          <w:color w:val="auto"/>
          <w:szCs w:val="21"/>
        </w:rPr>
        <w:t>18.2.2本工程由发包人主持的分部工程验收为</w:t>
      </w:r>
      <w:r>
        <w:rPr>
          <w:rFonts w:hint="eastAsia" w:ascii="宋体"/>
          <w:color w:val="auto"/>
          <w:szCs w:val="21"/>
          <w:u w:val="single"/>
        </w:rPr>
        <w:t xml:space="preserve">             </w:t>
      </w:r>
      <w:r>
        <w:rPr>
          <w:rFonts w:hint="eastAsia" w:ascii="宋体"/>
          <w:color w:val="auto"/>
          <w:szCs w:val="21"/>
        </w:rPr>
        <w:t>，其余由监理主持</w:t>
      </w:r>
      <w:r>
        <w:rPr>
          <w:rFonts w:ascii="宋体"/>
          <w:color w:val="auto"/>
          <w:szCs w:val="21"/>
        </w:rPr>
        <w:t>。</w:t>
      </w:r>
    </w:p>
    <w:p>
      <w:pPr>
        <w:keepNext/>
        <w:keepLines/>
        <w:spacing w:line="400" w:lineRule="exact"/>
        <w:outlineLvl w:val="3"/>
        <w:rPr>
          <w:rFonts w:eastAsia="黑体"/>
          <w:color w:val="auto"/>
          <w:sz w:val="24"/>
          <w:szCs w:val="20"/>
        </w:rPr>
      </w:pPr>
      <w:bookmarkStart w:id="2079" w:name="_Toc517172609"/>
      <w:bookmarkStart w:id="2080" w:name="_Toc14064"/>
      <w:r>
        <w:rPr>
          <w:rFonts w:hint="eastAsia" w:eastAsia="黑体"/>
          <w:color w:val="auto"/>
          <w:sz w:val="24"/>
          <w:szCs w:val="20"/>
        </w:rPr>
        <w:t>18.3 单位工程验收</w:t>
      </w:r>
      <w:bookmarkEnd w:id="2079"/>
      <w:bookmarkEnd w:id="2080"/>
    </w:p>
    <w:p>
      <w:pPr>
        <w:spacing w:line="360" w:lineRule="auto"/>
        <w:ind w:right="248" w:firstLine="480"/>
        <w:rPr>
          <w:rFonts w:hint="eastAsia" w:ascii="宋体"/>
          <w:color w:val="auto"/>
          <w:szCs w:val="21"/>
        </w:rPr>
      </w:pPr>
      <w:r>
        <w:rPr>
          <w:rFonts w:hint="eastAsia" w:ascii="宋体"/>
          <w:color w:val="auto"/>
          <w:szCs w:val="21"/>
        </w:rPr>
        <w:t>18.3.4  提前投入使用的单位工程包括：</w:t>
      </w:r>
      <w:r>
        <w:rPr>
          <w:rFonts w:hint="eastAsia" w:ascii="宋体"/>
          <w:color w:val="auto"/>
          <w:szCs w:val="21"/>
          <w:u w:val="single"/>
        </w:rPr>
        <w:t xml:space="preserve">         </w:t>
      </w:r>
      <w:r>
        <w:rPr>
          <w:rFonts w:hint="eastAsia" w:ascii="宋体"/>
          <w:color w:val="auto"/>
          <w:szCs w:val="21"/>
        </w:rPr>
        <w:t>、</w:t>
      </w:r>
      <w:r>
        <w:rPr>
          <w:rFonts w:hint="eastAsia" w:ascii="宋体"/>
          <w:color w:val="auto"/>
          <w:szCs w:val="21"/>
          <w:u w:val="single"/>
        </w:rPr>
        <w:t xml:space="preserve">            </w:t>
      </w:r>
      <w:r>
        <w:rPr>
          <w:rFonts w:hint="eastAsia" w:ascii="宋体"/>
          <w:color w:val="auto"/>
          <w:szCs w:val="21"/>
        </w:rPr>
        <w:t xml:space="preserve"> 、</w:t>
      </w:r>
      <w:r>
        <w:rPr>
          <w:rFonts w:hint="eastAsia" w:ascii="宋体"/>
          <w:color w:val="auto"/>
          <w:szCs w:val="21"/>
          <w:u w:val="single"/>
        </w:rPr>
        <w:t xml:space="preserve">           </w:t>
      </w:r>
      <w:r>
        <w:rPr>
          <w:rFonts w:hint="eastAsia" w:ascii="宋体"/>
          <w:color w:val="auto"/>
          <w:szCs w:val="21"/>
        </w:rPr>
        <w:t>。</w:t>
      </w:r>
    </w:p>
    <w:bookmarkEnd w:id="2076"/>
    <w:p>
      <w:pPr>
        <w:keepNext/>
        <w:keepLines/>
        <w:spacing w:line="400" w:lineRule="exact"/>
        <w:outlineLvl w:val="3"/>
        <w:rPr>
          <w:rFonts w:hint="eastAsia" w:eastAsia="黑体"/>
          <w:color w:val="auto"/>
          <w:sz w:val="24"/>
          <w:szCs w:val="20"/>
        </w:rPr>
      </w:pPr>
      <w:bookmarkStart w:id="2081" w:name="_Toc221951282"/>
      <w:bookmarkStart w:id="2082" w:name="_Toc31871"/>
      <w:bookmarkStart w:id="2083" w:name="_Toc517172610"/>
      <w:r>
        <w:rPr>
          <w:rFonts w:hint="eastAsia" w:eastAsia="黑体"/>
          <w:color w:val="auto"/>
          <w:sz w:val="24"/>
          <w:szCs w:val="20"/>
        </w:rPr>
        <w:t>18.5</w:t>
      </w:r>
      <w:bookmarkEnd w:id="2081"/>
      <w:r>
        <w:rPr>
          <w:rFonts w:hint="eastAsia" w:eastAsia="黑体"/>
          <w:color w:val="auto"/>
          <w:sz w:val="24"/>
          <w:szCs w:val="20"/>
        </w:rPr>
        <w:t xml:space="preserve"> 阶段验收</w:t>
      </w:r>
      <w:bookmarkEnd w:id="2082"/>
      <w:bookmarkEnd w:id="2083"/>
    </w:p>
    <w:p>
      <w:pPr>
        <w:spacing w:line="360" w:lineRule="auto"/>
        <w:ind w:firstLine="315" w:firstLineChars="150"/>
        <w:rPr>
          <w:rFonts w:hint="eastAsia"/>
          <w:color w:val="auto"/>
        </w:rPr>
      </w:pPr>
      <w:bookmarkStart w:id="2084" w:name="_Toc221951283"/>
      <w:r>
        <w:rPr>
          <w:rFonts w:hint="eastAsia" w:ascii="宋体" w:hAnsi="宋体"/>
          <w:color w:val="auto"/>
        </w:rPr>
        <w:t>1</w:t>
      </w:r>
      <w:r>
        <w:rPr>
          <w:rFonts w:hint="eastAsia" w:ascii="宋体" w:hAnsi="宋体"/>
          <w:color w:val="auto"/>
          <w:szCs w:val="21"/>
        </w:rPr>
        <w:t>8.5.1 本合同工程阶段验收类别包括：</w:t>
      </w:r>
      <w:r>
        <w:rPr>
          <w:rFonts w:hint="eastAsia" w:ascii="宋体" w:hAnsi="宋体"/>
          <w:color w:val="auto"/>
          <w:szCs w:val="21"/>
          <w:u w:val="single"/>
        </w:rPr>
        <w:t xml:space="preserve">               </w:t>
      </w:r>
      <w:bookmarkEnd w:id="2084"/>
      <w:r>
        <w:rPr>
          <w:rFonts w:hint="eastAsia" w:ascii="宋体" w:hAnsi="宋体"/>
          <w:color w:val="auto"/>
          <w:szCs w:val="21"/>
        </w:rPr>
        <w:t xml:space="preserve">、 </w:t>
      </w:r>
      <w:bookmarkStart w:id="2085" w:name="_Toc221951284"/>
      <w:r>
        <w:rPr>
          <w:rFonts w:hint="eastAsia" w:ascii="Arial" w:hAnsi="Arial" w:eastAsia="黑体"/>
          <w:color w:val="auto"/>
          <w:szCs w:val="21"/>
          <w:u w:val="single"/>
        </w:rPr>
        <w:t xml:space="preserve">           </w:t>
      </w:r>
      <w:r>
        <w:rPr>
          <w:rFonts w:hint="eastAsia"/>
          <w:color w:val="auto"/>
        </w:rPr>
        <w:t>。</w:t>
      </w:r>
      <w:bookmarkEnd w:id="2085"/>
    </w:p>
    <w:p>
      <w:pPr>
        <w:keepNext/>
        <w:keepLines/>
        <w:spacing w:line="400" w:lineRule="exact"/>
        <w:outlineLvl w:val="3"/>
        <w:rPr>
          <w:rFonts w:hint="eastAsia"/>
          <w:color w:val="auto"/>
        </w:rPr>
      </w:pPr>
      <w:bookmarkStart w:id="2086" w:name="_Toc221951285"/>
      <w:bookmarkStart w:id="2087" w:name="_Toc517172611"/>
      <w:bookmarkStart w:id="2088" w:name="_Toc4670"/>
      <w:r>
        <w:rPr>
          <w:rFonts w:hint="eastAsia" w:eastAsia="黑体"/>
          <w:color w:val="auto"/>
          <w:sz w:val="24"/>
          <w:szCs w:val="20"/>
        </w:rPr>
        <w:t>18.6</w:t>
      </w:r>
      <w:bookmarkEnd w:id="2086"/>
      <w:r>
        <w:rPr>
          <w:rFonts w:hint="eastAsia" w:eastAsia="黑体"/>
          <w:color w:val="auto"/>
          <w:sz w:val="24"/>
          <w:szCs w:val="20"/>
        </w:rPr>
        <w:t xml:space="preserve"> 专项验收</w:t>
      </w:r>
      <w:bookmarkEnd w:id="2087"/>
      <w:bookmarkEnd w:id="2088"/>
      <w:r>
        <w:rPr>
          <w:rFonts w:hint="eastAsia" w:eastAsia="黑体"/>
          <w:color w:val="auto"/>
          <w:sz w:val="24"/>
          <w:szCs w:val="20"/>
        </w:rPr>
        <w:t xml:space="preserve"> </w:t>
      </w:r>
      <w:r>
        <w:rPr>
          <w:rFonts w:hint="eastAsia"/>
          <w:color w:val="auto"/>
        </w:rPr>
        <w:t xml:space="preserve">  </w:t>
      </w:r>
    </w:p>
    <w:p>
      <w:pPr>
        <w:spacing w:line="360" w:lineRule="auto"/>
        <w:ind w:right="248" w:firstLine="480"/>
        <w:rPr>
          <w:rFonts w:hint="eastAsia" w:ascii="宋体"/>
          <w:color w:val="auto"/>
          <w:szCs w:val="21"/>
        </w:rPr>
      </w:pPr>
      <w:bookmarkStart w:id="2089" w:name="_Toc221951286"/>
      <w:r>
        <w:rPr>
          <w:rFonts w:hint="eastAsia" w:ascii="宋体"/>
          <w:color w:val="auto"/>
          <w:szCs w:val="21"/>
        </w:rPr>
        <w:t xml:space="preserve">18.6.2 </w:t>
      </w:r>
      <w:bookmarkEnd w:id="2089"/>
      <w:r>
        <w:rPr>
          <w:rFonts w:hint="eastAsia" w:ascii="宋体"/>
          <w:color w:val="auto"/>
          <w:szCs w:val="21"/>
        </w:rPr>
        <w:t>本合同工程专项验收类别包括：</w:t>
      </w:r>
      <w:r>
        <w:rPr>
          <w:rFonts w:hint="eastAsia" w:ascii="宋体"/>
          <w:color w:val="auto"/>
          <w:szCs w:val="21"/>
          <w:u w:val="single"/>
        </w:rPr>
        <w:t xml:space="preserve">         </w:t>
      </w:r>
      <w:r>
        <w:rPr>
          <w:rFonts w:hint="eastAsia" w:ascii="宋体"/>
          <w:color w:val="auto"/>
          <w:szCs w:val="21"/>
        </w:rPr>
        <w:t>、</w:t>
      </w:r>
      <w:r>
        <w:rPr>
          <w:rFonts w:hint="eastAsia" w:ascii="宋体"/>
          <w:color w:val="auto"/>
          <w:szCs w:val="21"/>
          <w:u w:val="single"/>
        </w:rPr>
        <w:t xml:space="preserve">            </w:t>
      </w:r>
      <w:r>
        <w:rPr>
          <w:rFonts w:hint="eastAsia" w:ascii="宋体"/>
          <w:color w:val="auto"/>
          <w:szCs w:val="21"/>
        </w:rPr>
        <w:t xml:space="preserve"> 、</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90" w:name="_Toc221951289"/>
      <w:bookmarkStart w:id="2091" w:name="_Toc21874"/>
      <w:bookmarkStart w:id="2092" w:name="_Toc517172612"/>
      <w:r>
        <w:rPr>
          <w:rFonts w:hint="eastAsia" w:eastAsia="黑体"/>
          <w:color w:val="auto"/>
          <w:sz w:val="24"/>
          <w:szCs w:val="20"/>
        </w:rPr>
        <w:t>18.7 竣工</w:t>
      </w:r>
      <w:bookmarkEnd w:id="2090"/>
      <w:r>
        <w:rPr>
          <w:rFonts w:hint="eastAsia" w:eastAsia="黑体"/>
          <w:color w:val="auto"/>
          <w:sz w:val="24"/>
          <w:szCs w:val="20"/>
        </w:rPr>
        <w:t>验收</w:t>
      </w:r>
      <w:bookmarkEnd w:id="2091"/>
      <w:bookmarkEnd w:id="2092"/>
    </w:p>
    <w:p>
      <w:pPr>
        <w:spacing w:line="360" w:lineRule="auto"/>
        <w:ind w:right="248" w:firstLine="420" w:firstLineChars="200"/>
        <w:rPr>
          <w:rFonts w:hint="eastAsia" w:ascii="宋体"/>
          <w:color w:val="auto"/>
          <w:szCs w:val="21"/>
        </w:rPr>
      </w:pPr>
      <w:bookmarkStart w:id="2093" w:name="_Toc221951290"/>
      <w:r>
        <w:rPr>
          <w:rFonts w:hint="eastAsia" w:ascii="宋体"/>
          <w:color w:val="auto"/>
          <w:szCs w:val="21"/>
        </w:rPr>
        <w:t>18.7.3本工程</w:t>
      </w:r>
      <w:r>
        <w:rPr>
          <w:rFonts w:hint="eastAsia" w:ascii="宋体"/>
          <w:color w:val="auto"/>
          <w:szCs w:val="21"/>
          <w:u w:val="single"/>
        </w:rPr>
        <w:t xml:space="preserve">           </w:t>
      </w:r>
      <w:r>
        <w:rPr>
          <w:rFonts w:hint="eastAsia" w:ascii="宋体"/>
          <w:color w:val="auto"/>
          <w:szCs w:val="21"/>
        </w:rPr>
        <w:t>（需要/不需要）竣工验收技术鉴定（蓄水安全鉴定）。</w:t>
      </w:r>
      <w:bookmarkEnd w:id="2093"/>
    </w:p>
    <w:p>
      <w:pPr>
        <w:keepNext/>
        <w:keepLines/>
        <w:spacing w:line="400" w:lineRule="exact"/>
        <w:outlineLvl w:val="3"/>
        <w:rPr>
          <w:rFonts w:hint="eastAsia" w:eastAsia="黑体"/>
          <w:color w:val="auto"/>
          <w:sz w:val="24"/>
          <w:szCs w:val="20"/>
        </w:rPr>
      </w:pPr>
      <w:bookmarkStart w:id="2094" w:name="_Toc517172613"/>
      <w:bookmarkStart w:id="2095" w:name="_Toc6001"/>
      <w:r>
        <w:rPr>
          <w:rFonts w:hint="eastAsia" w:eastAsia="黑体"/>
          <w:color w:val="auto"/>
          <w:sz w:val="24"/>
          <w:szCs w:val="20"/>
        </w:rPr>
        <w:t>18.8 施工期运行</w:t>
      </w:r>
      <w:bookmarkEnd w:id="2094"/>
      <w:bookmarkEnd w:id="2095"/>
    </w:p>
    <w:p>
      <w:pPr>
        <w:spacing w:line="360" w:lineRule="auto"/>
        <w:ind w:right="248" w:firstLine="420" w:firstLineChars="200"/>
        <w:rPr>
          <w:rFonts w:hint="eastAsia" w:ascii="宋体"/>
          <w:color w:val="auto"/>
          <w:szCs w:val="21"/>
        </w:rPr>
      </w:pPr>
      <w:r>
        <w:rPr>
          <w:rFonts w:hint="eastAsia" w:ascii="宋体"/>
          <w:color w:val="auto"/>
          <w:szCs w:val="21"/>
        </w:rPr>
        <w:t>18.8.1需要在施工期运行的单位工程或工程设备为：</w:t>
      </w:r>
      <w:r>
        <w:rPr>
          <w:rFonts w:hint="eastAsia" w:ascii="宋体"/>
          <w:color w:val="auto"/>
          <w:szCs w:val="21"/>
          <w:u w:val="single"/>
        </w:rPr>
        <w:t xml:space="preserve">                      </w:t>
      </w:r>
      <w:r>
        <w:rPr>
          <w:rFonts w:hint="eastAsia" w:ascii="宋体"/>
          <w:color w:val="auto"/>
          <w:szCs w:val="21"/>
        </w:rPr>
        <w:t>、</w:t>
      </w:r>
      <w:r>
        <w:rPr>
          <w:rFonts w:hint="eastAsia" w:ascii="宋体"/>
          <w:color w:val="auto"/>
          <w:szCs w:val="21"/>
          <w:u w:val="single"/>
        </w:rPr>
        <w:t xml:space="preserve">         </w:t>
      </w:r>
      <w:r>
        <w:rPr>
          <w:rFonts w:hint="eastAsia" w:ascii="宋体"/>
          <w:color w:val="auto"/>
          <w:szCs w:val="21"/>
        </w:rPr>
        <w:t>。</w:t>
      </w:r>
    </w:p>
    <w:p>
      <w:pPr>
        <w:keepNext/>
        <w:keepLines/>
        <w:spacing w:line="400" w:lineRule="exact"/>
        <w:outlineLvl w:val="3"/>
        <w:rPr>
          <w:rFonts w:hint="eastAsia" w:eastAsia="黑体"/>
          <w:color w:val="auto"/>
          <w:sz w:val="24"/>
          <w:szCs w:val="20"/>
        </w:rPr>
      </w:pPr>
      <w:bookmarkStart w:id="2096" w:name="_Toc517172614"/>
      <w:bookmarkStart w:id="2097" w:name="_Toc9170"/>
      <w:r>
        <w:rPr>
          <w:rFonts w:hint="eastAsia" w:eastAsia="黑体"/>
          <w:color w:val="auto"/>
          <w:sz w:val="24"/>
          <w:szCs w:val="20"/>
        </w:rPr>
        <w:t>18.9 试运行</w:t>
      </w:r>
      <w:bookmarkEnd w:id="2096"/>
      <w:bookmarkEnd w:id="2097"/>
    </w:p>
    <w:p>
      <w:pPr>
        <w:spacing w:line="360" w:lineRule="auto"/>
        <w:ind w:right="248" w:firstLine="420" w:firstLineChars="200"/>
        <w:rPr>
          <w:rFonts w:hint="eastAsia" w:ascii="宋体"/>
          <w:color w:val="auto"/>
          <w:szCs w:val="21"/>
        </w:rPr>
      </w:pPr>
      <w:r>
        <w:rPr>
          <w:rFonts w:hint="eastAsia" w:ascii="宋体"/>
          <w:color w:val="auto"/>
          <w:szCs w:val="21"/>
        </w:rPr>
        <w:t>18.9.1试运行的组织：</w:t>
      </w:r>
      <w:r>
        <w:rPr>
          <w:rFonts w:hint="eastAsia" w:ascii="宋体"/>
          <w:color w:val="auto"/>
          <w:szCs w:val="21"/>
          <w:u w:val="single"/>
        </w:rPr>
        <w:t xml:space="preserve">                      </w:t>
      </w:r>
      <w:r>
        <w:rPr>
          <w:rFonts w:hint="eastAsia" w:ascii="宋体"/>
          <w:color w:val="auto"/>
          <w:szCs w:val="21"/>
        </w:rPr>
        <w:t>；费用承担：</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2098" w:name="_Toc491089774"/>
      <w:bookmarkStart w:id="2099" w:name="_Toc517172615"/>
      <w:bookmarkStart w:id="2100" w:name="_Toc26631"/>
      <w:r>
        <w:rPr>
          <w:rFonts w:hint="eastAsia"/>
          <w:color w:val="auto"/>
        </w:rPr>
        <w:t>19. 缺陷责任与保修责任</w:t>
      </w:r>
      <w:bookmarkEnd w:id="2098"/>
      <w:bookmarkEnd w:id="2099"/>
      <w:bookmarkEnd w:id="2100"/>
    </w:p>
    <w:p>
      <w:pPr>
        <w:keepNext/>
        <w:keepLines/>
        <w:spacing w:line="400" w:lineRule="exact"/>
        <w:outlineLvl w:val="3"/>
        <w:rPr>
          <w:rFonts w:hint="eastAsia" w:eastAsia="黑体"/>
          <w:color w:val="auto"/>
          <w:sz w:val="24"/>
          <w:szCs w:val="20"/>
        </w:rPr>
      </w:pPr>
      <w:bookmarkStart w:id="2101" w:name="_Toc517172616"/>
      <w:bookmarkStart w:id="2102" w:name="_Toc32270"/>
      <w:r>
        <w:rPr>
          <w:rFonts w:hint="eastAsia" w:eastAsia="黑体"/>
          <w:color w:val="auto"/>
          <w:sz w:val="24"/>
          <w:szCs w:val="20"/>
        </w:rPr>
        <w:t>19.1 缺陷责任期（工程质量保修期）的起算时间</w:t>
      </w:r>
      <w:bookmarkEnd w:id="2101"/>
      <w:bookmarkEnd w:id="2102"/>
    </w:p>
    <w:p>
      <w:pPr>
        <w:spacing w:line="360" w:lineRule="auto"/>
        <w:ind w:right="248" w:firstLine="420" w:firstLineChars="200"/>
        <w:rPr>
          <w:rFonts w:hint="eastAsia" w:ascii="宋体"/>
          <w:color w:val="auto"/>
          <w:szCs w:val="21"/>
        </w:rPr>
      </w:pPr>
      <w:r>
        <w:rPr>
          <w:rFonts w:hint="eastAsia" w:ascii="宋体"/>
          <w:color w:val="auto"/>
          <w:szCs w:val="21"/>
        </w:rPr>
        <w:t>本工程缺陷责任期（工程质量保修）计算如下：</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2103" w:name="_Toc221951299"/>
      <w:bookmarkStart w:id="2104" w:name="_Toc222029542"/>
      <w:bookmarkStart w:id="2105" w:name="_Toc222031044"/>
      <w:bookmarkStart w:id="2106" w:name="_Toc222032711"/>
      <w:bookmarkStart w:id="2107" w:name="_Toc222033893"/>
      <w:bookmarkStart w:id="2108" w:name="_Toc229305400"/>
      <w:bookmarkStart w:id="2109" w:name="_Toc491089775"/>
      <w:bookmarkStart w:id="2110" w:name="_Toc517172617"/>
      <w:bookmarkStart w:id="2111" w:name="_Toc30704"/>
      <w:r>
        <w:rPr>
          <w:rFonts w:hint="eastAsia"/>
          <w:color w:val="auto"/>
        </w:rPr>
        <w:t>20. 保险</w:t>
      </w:r>
      <w:bookmarkEnd w:id="2103"/>
      <w:bookmarkEnd w:id="2104"/>
      <w:bookmarkEnd w:id="2105"/>
      <w:bookmarkEnd w:id="2106"/>
      <w:bookmarkEnd w:id="2107"/>
      <w:bookmarkEnd w:id="2108"/>
      <w:bookmarkEnd w:id="2109"/>
      <w:bookmarkEnd w:id="2110"/>
      <w:bookmarkEnd w:id="2111"/>
    </w:p>
    <w:p>
      <w:pPr>
        <w:keepNext/>
        <w:keepLines/>
        <w:spacing w:line="400" w:lineRule="exact"/>
        <w:outlineLvl w:val="3"/>
        <w:rPr>
          <w:rFonts w:hint="eastAsia" w:eastAsia="黑体"/>
          <w:color w:val="auto"/>
          <w:sz w:val="24"/>
          <w:szCs w:val="20"/>
        </w:rPr>
      </w:pPr>
      <w:bookmarkStart w:id="2112" w:name="_Toc221951321"/>
      <w:bookmarkStart w:id="2113" w:name="_Toc517172618"/>
      <w:bookmarkStart w:id="2114" w:name="_Toc27285"/>
      <w:r>
        <w:rPr>
          <w:rFonts w:hint="eastAsia" w:eastAsia="黑体"/>
          <w:color w:val="auto"/>
          <w:sz w:val="24"/>
          <w:szCs w:val="20"/>
        </w:rPr>
        <w:t>20.1 工程保险</w:t>
      </w:r>
      <w:bookmarkEnd w:id="2112"/>
      <w:bookmarkEnd w:id="2113"/>
      <w:bookmarkEnd w:id="2114"/>
    </w:p>
    <w:p>
      <w:pPr>
        <w:spacing w:line="360" w:lineRule="auto"/>
        <w:ind w:right="248" w:firstLine="480"/>
        <w:rPr>
          <w:rFonts w:hint="eastAsia" w:ascii="宋体"/>
          <w:color w:val="auto"/>
          <w:szCs w:val="21"/>
        </w:rPr>
      </w:pPr>
      <w:bookmarkStart w:id="2115" w:name="_Toc221951323"/>
      <w:r>
        <w:rPr>
          <w:rFonts w:hint="eastAsia" w:ascii="宋体"/>
          <w:color w:val="auto"/>
          <w:szCs w:val="21"/>
        </w:rPr>
        <w:t>建筑工程一切险和（或）安装工程一切险投保人：</w:t>
      </w:r>
      <w:r>
        <w:rPr>
          <w:rFonts w:hint="eastAsia" w:ascii="宋体"/>
          <w:color w:val="auto"/>
          <w:szCs w:val="21"/>
          <w:u w:val="single"/>
        </w:rPr>
        <w:t xml:space="preserve">                </w:t>
      </w:r>
      <w:r>
        <w:rPr>
          <w:rFonts w:hint="eastAsia" w:ascii="宋体"/>
          <w:color w:val="auto"/>
          <w:szCs w:val="21"/>
        </w:rPr>
        <w:t xml:space="preserve">；                        </w:t>
      </w:r>
    </w:p>
    <w:p>
      <w:pPr>
        <w:spacing w:line="360" w:lineRule="auto"/>
        <w:ind w:right="248" w:firstLine="480"/>
        <w:rPr>
          <w:rFonts w:hint="eastAsia" w:ascii="宋体"/>
          <w:color w:val="auto"/>
          <w:szCs w:val="21"/>
        </w:rPr>
      </w:pPr>
      <w:r>
        <w:rPr>
          <w:rFonts w:hint="eastAsia" w:ascii="宋体"/>
          <w:color w:val="auto"/>
          <w:szCs w:val="21"/>
        </w:rPr>
        <w:t>投保内容：</w:t>
      </w:r>
      <w:r>
        <w:rPr>
          <w:rFonts w:hint="eastAsia" w:ascii="宋体"/>
          <w:color w:val="auto"/>
          <w:szCs w:val="21"/>
          <w:u w:val="single"/>
        </w:rPr>
        <w:t xml:space="preserve">                                                  </w:t>
      </w:r>
      <w:r>
        <w:rPr>
          <w:rFonts w:hint="eastAsia" w:ascii="宋体"/>
          <w:color w:val="auto"/>
          <w:szCs w:val="21"/>
        </w:rPr>
        <w:t xml:space="preserve">；                                                      </w:t>
      </w:r>
    </w:p>
    <w:p>
      <w:pPr>
        <w:spacing w:line="360" w:lineRule="auto"/>
        <w:ind w:right="248" w:firstLine="480"/>
        <w:rPr>
          <w:rFonts w:hint="eastAsia" w:ascii="宋体"/>
          <w:color w:val="auto"/>
          <w:szCs w:val="21"/>
        </w:rPr>
      </w:pPr>
      <w:r>
        <w:rPr>
          <w:rFonts w:hint="eastAsia" w:ascii="宋体"/>
          <w:color w:val="auto"/>
          <w:szCs w:val="21"/>
        </w:rPr>
        <w:t>保险金额、保险费率和保险期限：</w:t>
      </w:r>
      <w:r>
        <w:rPr>
          <w:rFonts w:hint="eastAsia" w:ascii="宋体"/>
          <w:color w:val="auto"/>
          <w:szCs w:val="21"/>
          <w:u w:val="single"/>
        </w:rPr>
        <w:t xml:space="preserve">                              </w:t>
      </w:r>
      <w:r>
        <w:rPr>
          <w:rFonts w:hint="eastAsia" w:ascii="宋体"/>
          <w:color w:val="auto"/>
          <w:szCs w:val="21"/>
        </w:rPr>
        <w:t>。</w:t>
      </w:r>
    </w:p>
    <w:bookmarkEnd w:id="2115"/>
    <w:p>
      <w:pPr>
        <w:keepNext/>
        <w:keepLines/>
        <w:spacing w:line="400" w:lineRule="exact"/>
        <w:outlineLvl w:val="3"/>
        <w:rPr>
          <w:rFonts w:hint="eastAsia" w:eastAsia="黑体"/>
          <w:color w:val="auto"/>
          <w:sz w:val="24"/>
          <w:szCs w:val="20"/>
        </w:rPr>
      </w:pPr>
      <w:bookmarkStart w:id="2116" w:name="_Toc221951327"/>
      <w:bookmarkStart w:id="2117" w:name="_Toc517172619"/>
      <w:bookmarkStart w:id="2118" w:name="_Toc30009"/>
      <w:r>
        <w:rPr>
          <w:rFonts w:hint="eastAsia" w:eastAsia="黑体"/>
          <w:color w:val="auto"/>
          <w:sz w:val="24"/>
          <w:szCs w:val="20"/>
        </w:rPr>
        <w:t>20.6 对各项保险的一般要求</w:t>
      </w:r>
      <w:bookmarkEnd w:id="2116"/>
      <w:bookmarkEnd w:id="2117"/>
      <w:bookmarkEnd w:id="2118"/>
    </w:p>
    <w:p>
      <w:pPr>
        <w:ind w:firstLine="525" w:firstLineChars="250"/>
        <w:rPr>
          <w:rFonts w:ascii="宋体" w:hAnsi="宋体"/>
          <w:color w:val="auto"/>
          <w:szCs w:val="21"/>
        </w:rPr>
      </w:pPr>
      <w:bookmarkStart w:id="2119" w:name="_Toc221951328"/>
      <w:r>
        <w:rPr>
          <w:rFonts w:ascii="宋体" w:hAnsi="宋体"/>
          <w:color w:val="auto"/>
          <w:szCs w:val="21"/>
        </w:rPr>
        <w:t>20</w:t>
      </w:r>
      <w:r>
        <w:rPr>
          <w:rFonts w:hint="eastAsia" w:ascii="宋体" w:hAnsi="宋体"/>
          <w:color w:val="auto"/>
          <w:szCs w:val="21"/>
        </w:rPr>
        <w:t>.</w:t>
      </w:r>
      <w:r>
        <w:rPr>
          <w:rFonts w:ascii="宋体" w:hAnsi="宋体"/>
          <w:color w:val="auto"/>
          <w:szCs w:val="21"/>
        </w:rPr>
        <w:t>6</w:t>
      </w:r>
      <w:r>
        <w:rPr>
          <w:rFonts w:hint="eastAsia" w:ascii="宋体" w:hAnsi="宋体"/>
          <w:color w:val="auto"/>
          <w:szCs w:val="21"/>
        </w:rPr>
        <w:t>.</w:t>
      </w:r>
      <w:r>
        <w:rPr>
          <w:rFonts w:ascii="宋体" w:hAnsi="宋体"/>
          <w:color w:val="auto"/>
          <w:szCs w:val="21"/>
        </w:rPr>
        <w:t>1</w:t>
      </w:r>
      <w:r>
        <w:rPr>
          <w:rFonts w:hint="eastAsia" w:ascii="宋体" w:hAnsi="宋体"/>
          <w:color w:val="auto"/>
          <w:szCs w:val="21"/>
        </w:rPr>
        <w:t xml:space="preserve">  保险凭证</w:t>
      </w:r>
      <w:bookmarkEnd w:id="2119"/>
    </w:p>
    <w:p>
      <w:pPr>
        <w:spacing w:line="360" w:lineRule="auto"/>
        <w:ind w:right="248" w:firstLine="480"/>
        <w:rPr>
          <w:rFonts w:hint="eastAsia" w:ascii="宋体"/>
          <w:color w:val="auto"/>
          <w:szCs w:val="21"/>
        </w:rPr>
      </w:pPr>
      <w:bookmarkStart w:id="2120" w:name="_Toc221951329"/>
      <w:r>
        <w:rPr>
          <w:rFonts w:hint="eastAsia" w:ascii="宋体"/>
          <w:color w:val="auto"/>
          <w:szCs w:val="21"/>
        </w:rPr>
        <w:t>承包人提交保险凭证的期限：</w:t>
      </w:r>
      <w:r>
        <w:rPr>
          <w:rFonts w:hint="eastAsia" w:ascii="宋体"/>
          <w:color w:val="auto"/>
          <w:szCs w:val="21"/>
          <w:u w:val="single"/>
        </w:rPr>
        <w:t xml:space="preserve">                                       </w:t>
      </w:r>
      <w:bookmarkEnd w:id="2120"/>
      <w:r>
        <w:rPr>
          <w:rFonts w:hint="eastAsia" w:ascii="宋体"/>
          <w:color w:val="auto"/>
          <w:szCs w:val="21"/>
        </w:rPr>
        <w:t>；</w:t>
      </w:r>
    </w:p>
    <w:p>
      <w:pPr>
        <w:spacing w:line="360" w:lineRule="auto"/>
        <w:ind w:right="248" w:firstLine="480"/>
        <w:rPr>
          <w:rFonts w:hint="eastAsia" w:ascii="宋体"/>
          <w:color w:val="auto"/>
          <w:szCs w:val="21"/>
        </w:rPr>
      </w:pPr>
      <w:bookmarkStart w:id="2121" w:name="_Toc221951330"/>
      <w:r>
        <w:rPr>
          <w:rFonts w:hint="eastAsia" w:ascii="宋体"/>
          <w:color w:val="auto"/>
          <w:szCs w:val="21"/>
        </w:rPr>
        <w:t>保险条件：</w:t>
      </w:r>
      <w:r>
        <w:rPr>
          <w:rFonts w:hint="eastAsia" w:ascii="宋体"/>
          <w:color w:val="auto"/>
          <w:szCs w:val="21"/>
          <w:u w:val="single"/>
        </w:rPr>
        <w:t xml:space="preserve">                                                        </w:t>
      </w:r>
      <w:r>
        <w:rPr>
          <w:rFonts w:hint="eastAsia" w:ascii="宋体"/>
          <w:color w:val="auto"/>
          <w:szCs w:val="21"/>
        </w:rPr>
        <w:t>。</w:t>
      </w:r>
      <w:bookmarkEnd w:id="2121"/>
    </w:p>
    <w:p>
      <w:pPr>
        <w:spacing w:line="360" w:lineRule="auto"/>
        <w:ind w:right="248" w:firstLine="480"/>
        <w:rPr>
          <w:rFonts w:hint="eastAsia" w:ascii="宋体"/>
          <w:color w:val="auto"/>
          <w:szCs w:val="21"/>
        </w:rPr>
      </w:pPr>
      <w:bookmarkStart w:id="2122" w:name="_Toc221951331"/>
      <w:r>
        <w:rPr>
          <w:rFonts w:ascii="宋体"/>
          <w:color w:val="auto"/>
          <w:szCs w:val="21"/>
        </w:rPr>
        <w:t>20</w:t>
      </w:r>
      <w:r>
        <w:rPr>
          <w:rFonts w:hint="eastAsia" w:ascii="宋体"/>
          <w:color w:val="auto"/>
          <w:szCs w:val="21"/>
        </w:rPr>
        <w:t>.</w:t>
      </w:r>
      <w:r>
        <w:rPr>
          <w:rFonts w:ascii="宋体"/>
          <w:color w:val="auto"/>
          <w:szCs w:val="21"/>
        </w:rPr>
        <w:t>6</w:t>
      </w:r>
      <w:r>
        <w:rPr>
          <w:rFonts w:hint="eastAsia" w:ascii="宋体"/>
          <w:color w:val="auto"/>
          <w:szCs w:val="21"/>
        </w:rPr>
        <w:t>.</w:t>
      </w:r>
      <w:r>
        <w:rPr>
          <w:rFonts w:ascii="宋体"/>
          <w:color w:val="auto"/>
          <w:szCs w:val="21"/>
        </w:rPr>
        <w:t>4</w:t>
      </w:r>
      <w:r>
        <w:rPr>
          <w:rFonts w:hint="eastAsia" w:ascii="宋体"/>
          <w:color w:val="auto"/>
          <w:szCs w:val="21"/>
        </w:rPr>
        <w:t xml:space="preserve">  保险金不足的补偿</w:t>
      </w:r>
      <w:bookmarkEnd w:id="2122"/>
    </w:p>
    <w:p>
      <w:pPr>
        <w:spacing w:line="360" w:lineRule="auto"/>
        <w:ind w:left="899" w:leftChars="228" w:right="248" w:hanging="420" w:hangingChars="200"/>
        <w:rPr>
          <w:rFonts w:hint="eastAsia" w:ascii="宋体"/>
          <w:color w:val="auto"/>
          <w:szCs w:val="21"/>
        </w:rPr>
      </w:pPr>
      <w:bookmarkStart w:id="2123" w:name="_Toc221951332"/>
      <w:r>
        <w:rPr>
          <w:rFonts w:hint="eastAsia" w:ascii="宋体"/>
          <w:color w:val="auto"/>
          <w:szCs w:val="21"/>
        </w:rPr>
        <w:t>承包人负责补偿的范围与金额：</w:t>
      </w:r>
      <w:bookmarkEnd w:id="2123"/>
      <w:r>
        <w:rPr>
          <w:rFonts w:hint="eastAsia" w:ascii="宋体"/>
          <w:color w:val="auto"/>
          <w:szCs w:val="21"/>
          <w:u w:val="single"/>
        </w:rPr>
        <w:t xml:space="preserve">                                </w:t>
      </w:r>
      <w:r>
        <w:rPr>
          <w:rFonts w:hint="eastAsia" w:ascii="宋体"/>
          <w:color w:val="auto"/>
          <w:szCs w:val="21"/>
        </w:rPr>
        <w:t>；</w:t>
      </w:r>
    </w:p>
    <w:p>
      <w:pPr>
        <w:spacing w:line="360" w:lineRule="auto"/>
        <w:ind w:left="899" w:leftChars="228" w:right="248" w:hanging="420" w:hangingChars="200"/>
        <w:rPr>
          <w:rFonts w:hint="eastAsia" w:ascii="宋体"/>
          <w:color w:val="auto"/>
          <w:szCs w:val="21"/>
          <w:u w:val="single"/>
        </w:rPr>
      </w:pPr>
      <w:r>
        <w:rPr>
          <w:rFonts w:hint="eastAsia" w:ascii="宋体"/>
          <w:color w:val="auto"/>
          <w:szCs w:val="21"/>
        </w:rPr>
        <w:t>发包人负责补偿的范围与金额：</w:t>
      </w:r>
      <w:r>
        <w:rPr>
          <w:rFonts w:hint="eastAsia" w:ascii="宋体"/>
          <w:color w:val="auto"/>
          <w:szCs w:val="21"/>
          <w:u w:val="single"/>
        </w:rPr>
        <w:t xml:space="preserve">                                </w:t>
      </w:r>
      <w:r>
        <w:rPr>
          <w:rFonts w:hint="eastAsia" w:ascii="宋体"/>
          <w:color w:val="auto"/>
          <w:szCs w:val="21"/>
        </w:rPr>
        <w:t>。</w:t>
      </w:r>
      <w:r>
        <w:rPr>
          <w:rFonts w:hint="eastAsia" w:ascii="宋体"/>
          <w:color w:val="auto"/>
          <w:sz w:val="24"/>
        </w:rPr>
        <w:t xml:space="preserve">                                                                                                                                                                                                                                                                                                                                                                                                                                                                                                                                                                                                                                                                                                                                                                                                                                                                                                                                                                                                                                                                                                                                                                                                                                                                                                                                                                                                                                                                                                                                                                                                                                                                                                                                                                                                                                                                                                                                                                                                                                          </w:t>
      </w:r>
      <w:r>
        <w:rPr>
          <w:rFonts w:hint="eastAsia" w:ascii="宋体"/>
          <w:color w:val="auto"/>
          <w:sz w:val="28"/>
          <w:szCs w:val="28"/>
        </w:rPr>
        <w:t xml:space="preserve"> </w:t>
      </w:r>
    </w:p>
    <w:p>
      <w:pPr>
        <w:keepNext/>
        <w:keepLines/>
        <w:spacing w:line="400" w:lineRule="exact"/>
        <w:outlineLvl w:val="3"/>
        <w:rPr>
          <w:rFonts w:hint="eastAsia" w:eastAsia="黑体"/>
          <w:color w:val="auto"/>
          <w:sz w:val="24"/>
          <w:szCs w:val="20"/>
        </w:rPr>
      </w:pPr>
      <w:bookmarkStart w:id="2124" w:name="_Toc517172620"/>
      <w:bookmarkStart w:id="2125" w:name="_Toc25414"/>
      <w:bookmarkStart w:id="2126" w:name="_Toc222031045"/>
      <w:bookmarkStart w:id="2127" w:name="_Toc229305401"/>
      <w:bookmarkStart w:id="2128" w:name="_Toc221951334"/>
      <w:bookmarkStart w:id="2129" w:name="_Toc222029543"/>
      <w:bookmarkStart w:id="2130" w:name="_Toc222032712"/>
      <w:bookmarkStart w:id="2131" w:name="_Toc222033894"/>
      <w:r>
        <w:rPr>
          <w:rFonts w:hint="eastAsia" w:eastAsia="黑体"/>
          <w:color w:val="auto"/>
          <w:sz w:val="24"/>
          <w:szCs w:val="20"/>
        </w:rPr>
        <w:t>20.4 第三者责任险</w:t>
      </w:r>
      <w:bookmarkEnd w:id="2124"/>
      <w:bookmarkEnd w:id="2125"/>
    </w:p>
    <w:p>
      <w:pPr>
        <w:spacing w:line="360" w:lineRule="auto"/>
        <w:ind w:right="248" w:firstLine="480"/>
        <w:rPr>
          <w:rFonts w:hint="eastAsia" w:ascii="宋体"/>
          <w:color w:val="auto"/>
          <w:szCs w:val="21"/>
        </w:rPr>
      </w:pPr>
      <w:bookmarkStart w:id="2132" w:name="_Toc221951325"/>
      <w:r>
        <w:rPr>
          <w:rFonts w:hint="eastAsia" w:ascii="宋体"/>
          <w:color w:val="auto"/>
          <w:szCs w:val="21"/>
        </w:rPr>
        <w:t>20.4.2  第三者责任险保险费率：</w:t>
      </w:r>
      <w:r>
        <w:rPr>
          <w:rFonts w:hint="eastAsia" w:ascii="宋体"/>
          <w:color w:val="auto"/>
          <w:szCs w:val="21"/>
          <w:u w:val="single"/>
        </w:rPr>
        <w:t xml:space="preserve">                      </w:t>
      </w:r>
      <w:r>
        <w:rPr>
          <w:rFonts w:hint="eastAsia" w:ascii="宋体"/>
          <w:color w:val="auto"/>
          <w:szCs w:val="21"/>
        </w:rPr>
        <w:t xml:space="preserve">；                                       </w:t>
      </w:r>
    </w:p>
    <w:p>
      <w:pPr>
        <w:spacing w:line="360" w:lineRule="auto"/>
        <w:ind w:right="248" w:firstLine="480"/>
        <w:rPr>
          <w:rFonts w:hint="eastAsia" w:ascii="宋体"/>
          <w:color w:val="auto"/>
        </w:rPr>
      </w:pPr>
      <w:r>
        <w:rPr>
          <w:rFonts w:hint="eastAsia" w:ascii="宋体"/>
          <w:color w:val="auto"/>
          <w:szCs w:val="21"/>
        </w:rPr>
        <w:t>第三者责任险保险金额：</w:t>
      </w:r>
      <w:r>
        <w:rPr>
          <w:rFonts w:hint="eastAsia" w:ascii="宋体"/>
          <w:color w:val="auto"/>
          <w:szCs w:val="21"/>
          <w:u w:val="single"/>
        </w:rPr>
        <w:t xml:space="preserve">                      </w:t>
      </w:r>
      <w:r>
        <w:rPr>
          <w:rFonts w:hint="eastAsia" w:ascii="宋体"/>
          <w:color w:val="auto"/>
          <w:szCs w:val="21"/>
        </w:rPr>
        <w:t>。</w:t>
      </w:r>
      <w:r>
        <w:rPr>
          <w:rFonts w:hint="eastAsia" w:ascii="宋体"/>
          <w:color w:val="auto"/>
          <w:sz w:val="24"/>
        </w:rPr>
        <w:t xml:space="preserve"> </w:t>
      </w:r>
    </w:p>
    <w:bookmarkEnd w:id="2132"/>
    <w:p>
      <w:pPr>
        <w:keepNext/>
        <w:keepLines/>
        <w:spacing w:line="400" w:lineRule="exact"/>
        <w:outlineLvl w:val="3"/>
        <w:rPr>
          <w:rFonts w:hint="eastAsia" w:eastAsia="黑体"/>
          <w:color w:val="auto"/>
          <w:sz w:val="24"/>
          <w:szCs w:val="20"/>
        </w:rPr>
      </w:pPr>
      <w:bookmarkStart w:id="2133" w:name="_Toc517172621"/>
      <w:bookmarkStart w:id="2134" w:name="_Toc3616"/>
      <w:r>
        <w:rPr>
          <w:rFonts w:hint="eastAsia" w:eastAsia="黑体"/>
          <w:color w:val="auto"/>
          <w:sz w:val="24"/>
          <w:szCs w:val="20"/>
        </w:rPr>
        <w:t>20.5 其他保险</w:t>
      </w:r>
      <w:bookmarkEnd w:id="2133"/>
      <w:bookmarkEnd w:id="2134"/>
    </w:p>
    <w:p>
      <w:pPr>
        <w:spacing w:line="360" w:lineRule="auto"/>
        <w:ind w:right="248" w:firstLine="480"/>
        <w:rPr>
          <w:rFonts w:hint="eastAsia" w:ascii="宋体"/>
          <w:color w:val="auto"/>
          <w:szCs w:val="21"/>
        </w:rPr>
      </w:pPr>
      <w:r>
        <w:rPr>
          <w:rFonts w:hint="eastAsia" w:ascii="宋体"/>
          <w:color w:val="auto"/>
          <w:szCs w:val="21"/>
        </w:rPr>
        <w:t>需要投保的其他内容：</w:t>
      </w:r>
      <w:r>
        <w:rPr>
          <w:rFonts w:hint="eastAsia" w:ascii="宋体"/>
          <w:color w:val="auto"/>
          <w:szCs w:val="21"/>
          <w:u w:val="single"/>
        </w:rPr>
        <w:t xml:space="preserve">                                     </w:t>
      </w:r>
      <w:r>
        <w:rPr>
          <w:rFonts w:hint="eastAsia" w:ascii="宋体"/>
          <w:color w:val="auto"/>
          <w:szCs w:val="21"/>
        </w:rPr>
        <w:t>；</w:t>
      </w:r>
    </w:p>
    <w:p>
      <w:pPr>
        <w:spacing w:line="360" w:lineRule="auto"/>
        <w:ind w:right="248" w:firstLine="480"/>
        <w:rPr>
          <w:rFonts w:hint="eastAsia" w:ascii="宋体"/>
          <w:color w:val="auto"/>
          <w:szCs w:val="21"/>
        </w:rPr>
      </w:pPr>
      <w:r>
        <w:rPr>
          <w:rFonts w:hint="eastAsia" w:ascii="宋体"/>
          <w:color w:val="auto"/>
          <w:szCs w:val="21"/>
        </w:rPr>
        <w:t>保险金额、保险费率和保险期限：</w:t>
      </w:r>
      <w:r>
        <w:rPr>
          <w:rFonts w:hint="eastAsia" w:ascii="宋体"/>
          <w:color w:val="auto"/>
          <w:szCs w:val="21"/>
          <w:u w:val="single"/>
        </w:rPr>
        <w:t xml:space="preserve">                                     </w:t>
      </w:r>
      <w:r>
        <w:rPr>
          <w:rFonts w:hint="eastAsia" w:ascii="宋体"/>
          <w:color w:val="auto"/>
          <w:szCs w:val="21"/>
        </w:rPr>
        <w:t>；</w:t>
      </w:r>
    </w:p>
    <w:p>
      <w:pPr>
        <w:pStyle w:val="80"/>
        <w:spacing w:before="120" w:after="120" w:afterLines="50"/>
        <w:outlineLvl w:val="2"/>
        <w:rPr>
          <w:rFonts w:hint="eastAsia"/>
          <w:color w:val="auto"/>
        </w:rPr>
      </w:pPr>
      <w:bookmarkStart w:id="2135" w:name="_Toc4548"/>
      <w:bookmarkStart w:id="2136" w:name="_Toc517172622"/>
      <w:bookmarkStart w:id="2137" w:name="_Toc491089776"/>
      <w:r>
        <w:rPr>
          <w:color w:val="auto"/>
        </w:rPr>
        <w:t>2</w:t>
      </w:r>
      <w:r>
        <w:rPr>
          <w:rFonts w:hint="eastAsia"/>
          <w:color w:val="auto"/>
        </w:rPr>
        <w:t>4. 争议的解决</w:t>
      </w:r>
      <w:bookmarkEnd w:id="2126"/>
      <w:bookmarkEnd w:id="2127"/>
      <w:bookmarkEnd w:id="2128"/>
      <w:bookmarkEnd w:id="2129"/>
      <w:bookmarkEnd w:id="2130"/>
      <w:bookmarkEnd w:id="2131"/>
      <w:bookmarkEnd w:id="2135"/>
      <w:bookmarkEnd w:id="2136"/>
      <w:bookmarkEnd w:id="2137"/>
    </w:p>
    <w:p>
      <w:pPr>
        <w:keepNext/>
        <w:keepLines/>
        <w:spacing w:line="400" w:lineRule="exact"/>
        <w:outlineLvl w:val="3"/>
        <w:rPr>
          <w:rFonts w:hint="eastAsia" w:eastAsia="黑体"/>
          <w:color w:val="auto"/>
          <w:sz w:val="24"/>
          <w:szCs w:val="20"/>
        </w:rPr>
      </w:pPr>
      <w:bookmarkStart w:id="2138" w:name="_Toc517172623"/>
      <w:bookmarkStart w:id="2139" w:name="_Toc4272"/>
      <w:bookmarkStart w:id="2140" w:name="_Toc221951335"/>
      <w:r>
        <w:rPr>
          <w:rFonts w:hint="eastAsia" w:eastAsia="黑体"/>
          <w:color w:val="auto"/>
          <w:sz w:val="24"/>
          <w:szCs w:val="20"/>
        </w:rPr>
        <w:t>24.1 争议的解决方式</w:t>
      </w:r>
      <w:bookmarkEnd w:id="2138"/>
      <w:bookmarkEnd w:id="2139"/>
    </w:p>
    <w:p>
      <w:pPr>
        <w:spacing w:line="360" w:lineRule="auto"/>
        <w:ind w:left="120" w:leftChars="57" w:right="248" w:firstLine="420" w:firstLineChars="200"/>
        <w:rPr>
          <w:rFonts w:hint="eastAsia" w:ascii="宋体"/>
          <w:color w:val="auto"/>
          <w:szCs w:val="21"/>
        </w:rPr>
      </w:pPr>
      <w:r>
        <w:rPr>
          <w:rFonts w:hint="eastAsia" w:ascii="宋体"/>
          <w:color w:val="auto"/>
          <w:szCs w:val="21"/>
        </w:rPr>
        <w:t>合同当事人友好协商解决不成、不愿提请争议评审或不接受争议评审组意见的，约定的合同争议解决方式 ：</w:t>
      </w:r>
      <w:r>
        <w:rPr>
          <w:rFonts w:hint="eastAsia"/>
          <w:color w:val="auto"/>
          <w:u w:val="single"/>
        </w:rPr>
        <w:t xml:space="preserve">                                       </w:t>
      </w:r>
      <w:r>
        <w:rPr>
          <w:rFonts w:hint="eastAsia"/>
          <w:color w:val="auto"/>
        </w:rPr>
        <w:t xml:space="preserve"> 。</w:t>
      </w:r>
      <w:bookmarkEnd w:id="2140"/>
      <w:r>
        <w:rPr>
          <w:rFonts w:hint="eastAsia"/>
          <w:color w:val="auto"/>
        </w:rPr>
        <w:t>　　　　　　　　　　　　　　　　　　　</w:t>
      </w:r>
      <w:bookmarkStart w:id="2141" w:name="_Toc168476293"/>
      <w:bookmarkStart w:id="2142" w:name="_Toc144974834"/>
      <w:bookmarkStart w:id="2143" w:name="_Toc168475890"/>
    </w:p>
    <w:p>
      <w:pPr>
        <w:rPr>
          <w:rFonts w:hint="eastAsia"/>
          <w:color w:val="auto"/>
        </w:rPr>
      </w:pPr>
    </w:p>
    <w:p>
      <w:pPr>
        <w:rPr>
          <w:rFonts w:hint="eastAsia"/>
          <w:color w:val="auto"/>
        </w:rPr>
      </w:pPr>
      <w:bookmarkStart w:id="2144" w:name="_Toc168476286"/>
      <w:bookmarkStart w:id="2145" w:name="_Toc168475883"/>
      <w:bookmarkStart w:id="2146" w:name="_Toc144974826"/>
    </w:p>
    <w:p>
      <w:pPr>
        <w:pStyle w:val="80"/>
        <w:spacing w:before="120" w:after="120" w:afterLines="50"/>
        <w:jc w:val="center"/>
        <w:rPr>
          <w:rFonts w:hint="eastAsia"/>
          <w:color w:val="auto"/>
        </w:rPr>
      </w:pPr>
      <w:bookmarkStart w:id="2147" w:name="_Toc229305402"/>
      <w:bookmarkStart w:id="2148" w:name="_Toc387753611"/>
      <w:r>
        <w:rPr>
          <w:color w:val="auto"/>
        </w:rPr>
        <w:br w:type="page"/>
      </w:r>
      <w:bookmarkStart w:id="2149" w:name="_Toc491089777"/>
      <w:bookmarkStart w:id="2150" w:name="_Toc29462"/>
      <w:r>
        <w:rPr>
          <w:rFonts w:hint="eastAsia"/>
          <w:color w:val="auto"/>
        </w:rPr>
        <w:t>第3节 合同附件格式</w:t>
      </w:r>
      <w:bookmarkEnd w:id="2144"/>
      <w:bookmarkEnd w:id="2145"/>
      <w:bookmarkEnd w:id="2146"/>
      <w:bookmarkEnd w:id="2147"/>
      <w:bookmarkEnd w:id="2148"/>
      <w:bookmarkEnd w:id="2149"/>
      <w:bookmarkEnd w:id="2150"/>
    </w:p>
    <w:p>
      <w:pPr>
        <w:spacing w:line="440" w:lineRule="exact"/>
        <w:jc w:val="center"/>
        <w:rPr>
          <w:rFonts w:hint="eastAsia"/>
          <w:color w:val="auto"/>
        </w:rPr>
      </w:pPr>
      <w:bookmarkStart w:id="2151" w:name="_Toc168475884"/>
      <w:bookmarkStart w:id="2152" w:name="_Toc168476287"/>
      <w:bookmarkStart w:id="2153" w:name="_Toc144974827"/>
    </w:p>
    <w:p>
      <w:pPr>
        <w:pStyle w:val="4"/>
        <w:rPr>
          <w:rFonts w:hint="eastAsia"/>
          <w:b w:val="0"/>
          <w:color w:val="auto"/>
        </w:rPr>
      </w:pPr>
      <w:bookmarkStart w:id="2154" w:name="_Toc491089778"/>
      <w:bookmarkStart w:id="2155" w:name="_Toc30807"/>
      <w:r>
        <w:rPr>
          <w:rFonts w:hint="eastAsia"/>
          <w:b w:val="0"/>
          <w:color w:val="auto"/>
        </w:rPr>
        <w:t>附件一：</w:t>
      </w:r>
      <w:bookmarkEnd w:id="2151"/>
      <w:bookmarkEnd w:id="2152"/>
      <w:bookmarkEnd w:id="2153"/>
      <w:r>
        <w:rPr>
          <w:rFonts w:hint="eastAsia"/>
          <w:b w:val="0"/>
          <w:color w:val="auto"/>
        </w:rPr>
        <w:t>合同协议书</w:t>
      </w:r>
      <w:bookmarkEnd w:id="2154"/>
      <w:bookmarkEnd w:id="2155"/>
    </w:p>
    <w:p>
      <w:pPr>
        <w:spacing w:line="400" w:lineRule="exact"/>
        <w:rPr>
          <w:color w:val="auto"/>
        </w:rPr>
      </w:pPr>
    </w:p>
    <w:p>
      <w:pPr>
        <w:spacing w:line="440" w:lineRule="exact"/>
        <w:jc w:val="center"/>
        <w:rPr>
          <w:rFonts w:hint="eastAsia" w:ascii="黑体" w:eastAsia="黑体"/>
          <w:color w:val="auto"/>
          <w:sz w:val="28"/>
          <w:szCs w:val="28"/>
        </w:rPr>
      </w:pPr>
      <w:r>
        <w:rPr>
          <w:rFonts w:hint="eastAsia" w:ascii="黑体" w:eastAsia="黑体"/>
          <w:color w:val="auto"/>
          <w:sz w:val="28"/>
          <w:szCs w:val="28"/>
        </w:rPr>
        <w:t xml:space="preserve">合 同 协 议 书 </w:t>
      </w:r>
    </w:p>
    <w:p>
      <w:pPr>
        <w:spacing w:line="440" w:lineRule="exact"/>
        <w:rPr>
          <w:color w:val="auto"/>
          <w:szCs w:val="21"/>
        </w:rPr>
      </w:pPr>
    </w:p>
    <w:p>
      <w:pPr>
        <w:spacing w:line="440" w:lineRule="exact"/>
        <w:ind w:firstLine="462" w:firstLineChars="220"/>
        <w:rPr>
          <w:color w:val="auto"/>
          <w:szCs w:val="21"/>
        </w:rPr>
      </w:pPr>
      <w:r>
        <w:rPr>
          <w:color w:val="auto"/>
          <w:szCs w:val="21"/>
          <w:u w:val="single"/>
        </w:rPr>
        <w:t xml:space="preserve">       </w:t>
      </w:r>
      <w:r>
        <w:rPr>
          <w:color w:val="auto"/>
          <w:szCs w:val="21"/>
        </w:rPr>
        <w:t>（发包人名称，以下简称“发包人”）为实施</w:t>
      </w:r>
      <w:r>
        <w:rPr>
          <w:color w:val="auto"/>
          <w:szCs w:val="21"/>
          <w:u w:val="single"/>
        </w:rPr>
        <w:t xml:space="preserve">                        </w:t>
      </w:r>
      <w:r>
        <w:rPr>
          <w:color w:val="auto"/>
          <w:szCs w:val="21"/>
        </w:rPr>
        <w:t>（项目名称），已接受</w:t>
      </w:r>
      <w:r>
        <w:rPr>
          <w:color w:val="auto"/>
          <w:szCs w:val="21"/>
          <w:u w:val="single"/>
        </w:rPr>
        <w:t xml:space="preserve">        </w:t>
      </w:r>
      <w:r>
        <w:rPr>
          <w:color w:val="auto"/>
          <w:szCs w:val="21"/>
        </w:rPr>
        <w:t>（承包人名称，以下简称“承包人”）对该项目</w:t>
      </w:r>
      <w:r>
        <w:rPr>
          <w:rFonts w:hint="eastAsia"/>
          <w:color w:val="auto"/>
          <w:szCs w:val="21"/>
          <w:u w:val="single"/>
        </w:rPr>
        <w:t xml:space="preserve">  （标段名称） </w:t>
      </w:r>
      <w:r>
        <w:rPr>
          <w:color w:val="auto"/>
          <w:szCs w:val="21"/>
        </w:rPr>
        <w:t>的</w:t>
      </w:r>
      <w:r>
        <w:rPr>
          <w:rFonts w:hint="eastAsia"/>
          <w:color w:val="auto"/>
          <w:szCs w:val="21"/>
        </w:rPr>
        <w:t>投</w:t>
      </w:r>
      <w:r>
        <w:rPr>
          <w:color w:val="auto"/>
          <w:szCs w:val="21"/>
        </w:rPr>
        <w:t>标。发包人和承包人共同达成如下协议。</w:t>
      </w:r>
    </w:p>
    <w:p>
      <w:pPr>
        <w:spacing w:line="300" w:lineRule="auto"/>
        <w:ind w:firstLine="420" w:firstLineChars="200"/>
        <w:rPr>
          <w:color w:val="auto"/>
        </w:rPr>
      </w:pPr>
      <w:bookmarkStart w:id="2156" w:name="_Toc144974828"/>
      <w:bookmarkStart w:id="2157" w:name="_Toc168476288"/>
      <w:bookmarkStart w:id="2158" w:name="_Toc168475885"/>
      <w:r>
        <w:rPr>
          <w:color w:val="auto"/>
        </w:rPr>
        <w:t>1. 本协议书与下列文件一起构成合同文件：</w:t>
      </w:r>
      <w:bookmarkEnd w:id="2156"/>
      <w:bookmarkEnd w:id="2157"/>
      <w:bookmarkEnd w:id="2158"/>
    </w:p>
    <w:p>
      <w:pPr>
        <w:spacing w:line="300" w:lineRule="auto"/>
        <w:ind w:firstLine="315" w:firstLineChars="150"/>
        <w:rPr>
          <w:color w:val="auto"/>
        </w:rPr>
      </w:pPr>
      <w:r>
        <w:rPr>
          <w:color w:val="auto"/>
        </w:rPr>
        <w:t>（1）中标通知书；</w:t>
      </w:r>
    </w:p>
    <w:p>
      <w:pPr>
        <w:spacing w:line="300" w:lineRule="auto"/>
        <w:ind w:firstLine="315" w:firstLineChars="150"/>
        <w:rPr>
          <w:color w:val="auto"/>
        </w:rPr>
      </w:pPr>
      <w:r>
        <w:rPr>
          <w:color w:val="auto"/>
        </w:rPr>
        <w:t>（2）投标函及投标函附录；</w:t>
      </w:r>
    </w:p>
    <w:p>
      <w:pPr>
        <w:spacing w:line="300" w:lineRule="auto"/>
        <w:ind w:firstLine="315" w:firstLineChars="150"/>
        <w:rPr>
          <w:color w:val="auto"/>
        </w:rPr>
      </w:pPr>
      <w:r>
        <w:rPr>
          <w:color w:val="auto"/>
        </w:rPr>
        <w:t>（3）专用合同条款；</w:t>
      </w:r>
    </w:p>
    <w:p>
      <w:pPr>
        <w:spacing w:line="300" w:lineRule="auto"/>
        <w:ind w:firstLine="315" w:firstLineChars="150"/>
        <w:rPr>
          <w:color w:val="auto"/>
        </w:rPr>
      </w:pPr>
      <w:r>
        <w:rPr>
          <w:color w:val="auto"/>
        </w:rPr>
        <w:t>（4）通用合同条款；</w:t>
      </w:r>
    </w:p>
    <w:p>
      <w:pPr>
        <w:spacing w:line="300" w:lineRule="auto"/>
        <w:ind w:firstLine="315" w:firstLineChars="150"/>
        <w:rPr>
          <w:color w:val="auto"/>
        </w:rPr>
      </w:pPr>
      <w:r>
        <w:rPr>
          <w:color w:val="auto"/>
        </w:rPr>
        <w:t>（5）技术标准和要求</w:t>
      </w:r>
      <w:r>
        <w:rPr>
          <w:rFonts w:hint="eastAsia"/>
          <w:color w:val="auto"/>
        </w:rPr>
        <w:t>（合同技术条款）</w:t>
      </w:r>
      <w:r>
        <w:rPr>
          <w:color w:val="auto"/>
        </w:rPr>
        <w:t>；</w:t>
      </w:r>
    </w:p>
    <w:p>
      <w:pPr>
        <w:spacing w:line="300" w:lineRule="auto"/>
        <w:ind w:firstLine="315" w:firstLineChars="150"/>
        <w:rPr>
          <w:color w:val="auto"/>
        </w:rPr>
      </w:pPr>
      <w:r>
        <w:rPr>
          <w:color w:val="auto"/>
        </w:rPr>
        <w:t>（6）图纸；</w:t>
      </w:r>
    </w:p>
    <w:p>
      <w:pPr>
        <w:spacing w:line="300" w:lineRule="auto"/>
        <w:ind w:firstLine="315" w:firstLineChars="150"/>
        <w:rPr>
          <w:color w:val="auto"/>
        </w:rPr>
      </w:pPr>
      <w:r>
        <w:rPr>
          <w:color w:val="auto"/>
        </w:rPr>
        <w:t>（7）已标价工程量清单；</w:t>
      </w:r>
    </w:p>
    <w:p>
      <w:pPr>
        <w:spacing w:line="300" w:lineRule="auto"/>
        <w:ind w:firstLine="315" w:firstLineChars="150"/>
        <w:rPr>
          <w:color w:val="auto"/>
        </w:rPr>
      </w:pPr>
      <w:r>
        <w:rPr>
          <w:color w:val="auto"/>
        </w:rPr>
        <w:t>（8）其他合同文件。</w:t>
      </w:r>
    </w:p>
    <w:p>
      <w:pPr>
        <w:spacing w:line="300" w:lineRule="auto"/>
        <w:ind w:firstLine="420" w:firstLineChars="200"/>
        <w:rPr>
          <w:rFonts w:hint="eastAsia"/>
          <w:color w:val="auto"/>
        </w:rPr>
      </w:pPr>
      <w:bookmarkStart w:id="2159" w:name="_Toc168475886"/>
      <w:bookmarkStart w:id="2160" w:name="_Toc144974829"/>
      <w:bookmarkStart w:id="2161" w:name="_Toc168476289"/>
      <w:r>
        <w:rPr>
          <w:color w:val="auto"/>
        </w:rPr>
        <w:t>2. 上述文件互相补充和解释，如有不明确或不一致之处，以合同约定次序在先者为准。</w:t>
      </w:r>
      <w:bookmarkEnd w:id="2159"/>
      <w:bookmarkEnd w:id="2160"/>
      <w:bookmarkEnd w:id="2161"/>
    </w:p>
    <w:p>
      <w:pPr>
        <w:spacing w:line="300" w:lineRule="auto"/>
        <w:ind w:firstLine="420" w:firstLineChars="200"/>
        <w:rPr>
          <w:rFonts w:hint="eastAsia"/>
          <w:color w:val="auto"/>
        </w:rPr>
      </w:pPr>
      <w:r>
        <w:rPr>
          <w:rFonts w:hint="eastAsia"/>
          <w:color w:val="auto"/>
        </w:rPr>
        <w:t>3.工程概况：</w:t>
      </w:r>
      <w:r>
        <w:rPr>
          <w:rFonts w:hint="eastAsia"/>
          <w:color w:val="auto"/>
          <w:u w:val="single"/>
        </w:rPr>
        <w:t xml:space="preserve">                                   </w:t>
      </w:r>
      <w:r>
        <w:rPr>
          <w:rFonts w:hint="eastAsia"/>
          <w:color w:val="auto"/>
        </w:rPr>
        <w:t>。</w:t>
      </w:r>
    </w:p>
    <w:p>
      <w:pPr>
        <w:spacing w:line="300" w:lineRule="auto"/>
        <w:ind w:firstLine="420" w:firstLineChars="200"/>
        <w:rPr>
          <w:rFonts w:hint="eastAsia"/>
          <w:color w:val="auto"/>
          <w:u w:val="single"/>
        </w:rPr>
      </w:pPr>
      <w:r>
        <w:rPr>
          <w:rFonts w:hint="eastAsia"/>
          <w:color w:val="auto"/>
        </w:rPr>
        <w:t xml:space="preserve">  承包范围：</w:t>
      </w:r>
      <w:r>
        <w:rPr>
          <w:rFonts w:hint="eastAsia"/>
          <w:color w:val="auto"/>
          <w:u w:val="single"/>
        </w:rPr>
        <w:t xml:space="preserve">                                   </w:t>
      </w:r>
      <w:r>
        <w:rPr>
          <w:rFonts w:hint="eastAsia"/>
          <w:color w:val="auto"/>
        </w:rPr>
        <w:t>。</w:t>
      </w:r>
    </w:p>
    <w:p>
      <w:pPr>
        <w:spacing w:line="300" w:lineRule="auto"/>
        <w:ind w:firstLine="420" w:firstLineChars="200"/>
        <w:rPr>
          <w:color w:val="auto"/>
        </w:rPr>
      </w:pPr>
      <w:r>
        <w:rPr>
          <w:rFonts w:hint="eastAsia"/>
          <w:color w:val="auto"/>
        </w:rPr>
        <w:t>4</w:t>
      </w:r>
      <w:r>
        <w:rPr>
          <w:color w:val="auto"/>
        </w:rPr>
        <w:t>. 签约合同价：人民币（大写）</w:t>
      </w:r>
      <w:r>
        <w:rPr>
          <w:color w:val="auto"/>
          <w:u w:val="single"/>
        </w:rPr>
        <w:t xml:space="preserve">          </w:t>
      </w:r>
      <w:r>
        <w:rPr>
          <w:color w:val="auto"/>
        </w:rPr>
        <w:t>元（¥</w:t>
      </w:r>
      <w:r>
        <w:rPr>
          <w:color w:val="auto"/>
          <w:u w:val="single"/>
        </w:rPr>
        <w:t xml:space="preserve">    </w:t>
      </w:r>
      <w:r>
        <w:rPr>
          <w:rFonts w:hint="eastAsia"/>
          <w:color w:val="auto"/>
          <w:u w:val="single"/>
        </w:rPr>
        <w:t xml:space="preserve"> </w:t>
      </w:r>
      <w:r>
        <w:rPr>
          <w:color w:val="auto"/>
          <w:u w:val="single"/>
        </w:rPr>
        <w:t xml:space="preserve">    </w:t>
      </w:r>
      <w:r>
        <w:rPr>
          <w:color w:val="auto"/>
        </w:rPr>
        <w:t>）。</w:t>
      </w:r>
    </w:p>
    <w:p>
      <w:pPr>
        <w:spacing w:line="300" w:lineRule="auto"/>
        <w:ind w:firstLine="420" w:firstLineChars="200"/>
        <w:rPr>
          <w:color w:val="auto"/>
          <w:u w:val="single"/>
        </w:rPr>
      </w:pPr>
      <w:r>
        <w:rPr>
          <w:rFonts w:hint="eastAsia"/>
          <w:color w:val="auto"/>
        </w:rPr>
        <w:t>5</w:t>
      </w:r>
      <w:r>
        <w:rPr>
          <w:color w:val="auto"/>
        </w:rPr>
        <w:t xml:space="preserve">. </w:t>
      </w:r>
      <w:r>
        <w:rPr>
          <w:rFonts w:hint="eastAsia"/>
          <w:color w:val="auto"/>
        </w:rPr>
        <w:t>承包人</w:t>
      </w:r>
      <w:r>
        <w:rPr>
          <w:color w:val="auto"/>
        </w:rPr>
        <w:t>项目经理：</w:t>
      </w:r>
      <w:r>
        <w:rPr>
          <w:color w:val="auto"/>
          <w:u w:val="single"/>
        </w:rPr>
        <w:t xml:space="preserve">     </w:t>
      </w:r>
      <w:r>
        <w:rPr>
          <w:rFonts w:hint="eastAsia"/>
          <w:color w:val="auto"/>
          <w:u w:val="single"/>
        </w:rPr>
        <w:t>（姓名、证书编号等）</w:t>
      </w:r>
      <w:r>
        <w:rPr>
          <w:color w:val="auto"/>
          <w:u w:val="single"/>
        </w:rPr>
        <w:t xml:space="preserve">     </w:t>
      </w:r>
      <w:r>
        <w:rPr>
          <w:rFonts w:hint="eastAsia"/>
          <w:color w:val="auto"/>
        </w:rPr>
        <w:t>，技术负责人：</w:t>
      </w:r>
      <w:r>
        <w:rPr>
          <w:rFonts w:hint="eastAsia"/>
          <w:color w:val="auto"/>
          <w:u w:val="single"/>
        </w:rPr>
        <w:t xml:space="preserve">   （姓名）  </w:t>
      </w:r>
      <w:r>
        <w:rPr>
          <w:rFonts w:hint="eastAsia"/>
          <w:color w:val="auto"/>
        </w:rPr>
        <w:t>。</w:t>
      </w:r>
    </w:p>
    <w:p>
      <w:pPr>
        <w:spacing w:line="300" w:lineRule="auto"/>
        <w:ind w:firstLine="420" w:firstLineChars="200"/>
        <w:rPr>
          <w:color w:val="auto"/>
        </w:rPr>
      </w:pPr>
      <w:r>
        <w:rPr>
          <w:rFonts w:hint="eastAsia"/>
          <w:color w:val="auto"/>
        </w:rPr>
        <w:t>6</w:t>
      </w:r>
      <w:r>
        <w:rPr>
          <w:color w:val="auto"/>
        </w:rPr>
        <w:t>. 工程质量符合</w:t>
      </w:r>
      <w:r>
        <w:rPr>
          <w:color w:val="auto"/>
          <w:u w:val="single"/>
        </w:rPr>
        <w:t xml:space="preserve">    </w:t>
      </w:r>
      <w:r>
        <w:rPr>
          <w:rFonts w:hint="eastAsia"/>
          <w:color w:val="auto"/>
          <w:u w:val="single"/>
        </w:rPr>
        <w:t xml:space="preserve"> </w:t>
      </w:r>
      <w:r>
        <w:rPr>
          <w:color w:val="auto"/>
          <w:u w:val="single"/>
        </w:rPr>
        <w:t xml:space="preserve">        </w:t>
      </w:r>
      <w:r>
        <w:rPr>
          <w:color w:val="auto"/>
        </w:rPr>
        <w:t>标准。</w:t>
      </w:r>
    </w:p>
    <w:p>
      <w:pPr>
        <w:spacing w:line="300" w:lineRule="auto"/>
        <w:ind w:firstLine="420" w:firstLineChars="200"/>
        <w:rPr>
          <w:color w:val="auto"/>
        </w:rPr>
      </w:pPr>
      <w:r>
        <w:rPr>
          <w:rFonts w:hint="eastAsia"/>
          <w:color w:val="auto"/>
        </w:rPr>
        <w:t>7</w:t>
      </w:r>
      <w:r>
        <w:rPr>
          <w:color w:val="auto"/>
        </w:rPr>
        <w:t>. 承包人承诺按合同约定承担工程的实施、完成及缺陷修复。</w:t>
      </w:r>
    </w:p>
    <w:p>
      <w:pPr>
        <w:spacing w:line="300" w:lineRule="auto"/>
        <w:ind w:firstLine="420" w:firstLineChars="200"/>
        <w:rPr>
          <w:color w:val="auto"/>
        </w:rPr>
      </w:pPr>
      <w:r>
        <w:rPr>
          <w:rFonts w:hint="eastAsia"/>
          <w:color w:val="auto"/>
        </w:rPr>
        <w:t>8</w:t>
      </w:r>
      <w:r>
        <w:rPr>
          <w:color w:val="auto"/>
        </w:rPr>
        <w:t>. 发包人承诺按合同约定的条件、时间和方式向承包人支付合同价款。</w:t>
      </w:r>
    </w:p>
    <w:p>
      <w:pPr>
        <w:spacing w:line="300" w:lineRule="auto"/>
        <w:ind w:firstLine="420" w:firstLineChars="200"/>
        <w:rPr>
          <w:color w:val="auto"/>
        </w:rPr>
      </w:pPr>
      <w:r>
        <w:rPr>
          <w:rFonts w:hint="eastAsia"/>
          <w:color w:val="auto"/>
        </w:rPr>
        <w:t>9</w:t>
      </w:r>
      <w:r>
        <w:rPr>
          <w:color w:val="auto"/>
        </w:rPr>
        <w:t>. 承包人</w:t>
      </w:r>
      <w:r>
        <w:rPr>
          <w:rFonts w:hint="eastAsia"/>
          <w:color w:val="auto"/>
        </w:rPr>
        <w:t>承诺执行</w:t>
      </w:r>
      <w:r>
        <w:rPr>
          <w:color w:val="auto"/>
        </w:rPr>
        <w:t>监理人开工</w:t>
      </w:r>
      <w:r>
        <w:rPr>
          <w:rFonts w:hint="eastAsia"/>
          <w:color w:val="auto"/>
        </w:rPr>
        <w:t>通知</w:t>
      </w:r>
      <w:r>
        <w:rPr>
          <w:color w:val="auto"/>
        </w:rPr>
        <w:t>，</w:t>
      </w:r>
      <w:r>
        <w:rPr>
          <w:rFonts w:hint="eastAsia"/>
          <w:color w:val="auto"/>
        </w:rPr>
        <w:t>计划</w:t>
      </w:r>
      <w:r>
        <w:rPr>
          <w:color w:val="auto"/>
        </w:rPr>
        <w:t>工期为</w:t>
      </w:r>
      <w:r>
        <w:rPr>
          <w:color w:val="auto"/>
          <w:u w:val="single"/>
        </w:rPr>
        <w:t xml:space="preserve">    </w:t>
      </w:r>
      <w:r>
        <w:rPr>
          <w:rFonts w:hint="eastAsia"/>
          <w:color w:val="auto"/>
        </w:rPr>
        <w:t>日历</w:t>
      </w:r>
      <w:r>
        <w:rPr>
          <w:color w:val="auto"/>
        </w:rPr>
        <w:t>天。</w:t>
      </w:r>
    </w:p>
    <w:p>
      <w:pPr>
        <w:spacing w:line="300" w:lineRule="auto"/>
        <w:ind w:firstLine="420" w:firstLineChars="200"/>
        <w:rPr>
          <w:color w:val="auto"/>
        </w:rPr>
      </w:pPr>
      <w:r>
        <w:rPr>
          <w:rFonts w:hint="eastAsia"/>
          <w:color w:val="auto"/>
        </w:rPr>
        <w:t>10</w:t>
      </w:r>
      <w:r>
        <w:rPr>
          <w:color w:val="auto"/>
        </w:rPr>
        <w:t>. 本协议书一式</w:t>
      </w:r>
      <w:r>
        <w:rPr>
          <w:color w:val="auto"/>
          <w:u w:val="single"/>
        </w:rPr>
        <w:t xml:space="preserve">     </w:t>
      </w:r>
      <w:r>
        <w:rPr>
          <w:color w:val="auto"/>
        </w:rPr>
        <w:t>份，合同双方各执一份。</w:t>
      </w:r>
    </w:p>
    <w:p>
      <w:pPr>
        <w:spacing w:line="300" w:lineRule="auto"/>
        <w:ind w:firstLine="420" w:firstLineChars="200"/>
        <w:rPr>
          <w:color w:val="auto"/>
        </w:rPr>
      </w:pPr>
      <w:bookmarkStart w:id="2162" w:name="_Toc144974830"/>
      <w:bookmarkStart w:id="2163" w:name="_Toc168476290"/>
      <w:bookmarkStart w:id="2164" w:name="_Toc168475887"/>
      <w:r>
        <w:rPr>
          <w:color w:val="auto"/>
        </w:rPr>
        <w:t>1</w:t>
      </w:r>
      <w:r>
        <w:rPr>
          <w:rFonts w:hint="eastAsia"/>
          <w:color w:val="auto"/>
        </w:rPr>
        <w:t>1</w:t>
      </w:r>
      <w:r>
        <w:rPr>
          <w:color w:val="auto"/>
        </w:rPr>
        <w:t>. 合同未尽事宜，双方另行签订补充协议。补充协议是合同的组成部分。</w:t>
      </w:r>
      <w:bookmarkEnd w:id="2162"/>
      <w:bookmarkEnd w:id="2163"/>
      <w:bookmarkEnd w:id="2164"/>
    </w:p>
    <w:p>
      <w:pPr>
        <w:spacing w:line="300" w:lineRule="auto"/>
        <w:rPr>
          <w:color w:val="auto"/>
        </w:rPr>
      </w:pPr>
    </w:p>
    <w:p>
      <w:pPr>
        <w:spacing w:line="300" w:lineRule="auto"/>
        <w:rPr>
          <w:color w:val="auto"/>
        </w:rPr>
      </w:pPr>
      <w:r>
        <w:rPr>
          <w:color w:val="auto"/>
        </w:rPr>
        <w:t>发包人：</w:t>
      </w:r>
      <w:r>
        <w:rPr>
          <w:color w:val="auto"/>
          <w:u w:val="single"/>
        </w:rPr>
        <w:t xml:space="preserve">     </w:t>
      </w:r>
      <w:r>
        <w:rPr>
          <w:rFonts w:hint="eastAsia"/>
          <w:color w:val="auto"/>
          <w:u w:val="single"/>
        </w:rPr>
        <w:t xml:space="preserve">            </w:t>
      </w:r>
      <w:r>
        <w:rPr>
          <w:color w:val="auto"/>
          <w:u w:val="single"/>
        </w:rPr>
        <w:t xml:space="preserve"> </w:t>
      </w:r>
      <w:r>
        <w:rPr>
          <w:color w:val="auto"/>
        </w:rPr>
        <w:t>（盖单位章）</w:t>
      </w:r>
      <w:r>
        <w:rPr>
          <w:rFonts w:hint="eastAsia"/>
          <w:color w:val="auto"/>
        </w:rPr>
        <w:t xml:space="preserve">     </w:t>
      </w:r>
      <w:r>
        <w:rPr>
          <w:color w:val="auto"/>
        </w:rPr>
        <w:t>承包人：</w:t>
      </w:r>
      <w:r>
        <w:rPr>
          <w:color w:val="auto"/>
          <w:u w:val="single"/>
        </w:rPr>
        <w:t xml:space="preserve">  </w:t>
      </w:r>
      <w:r>
        <w:rPr>
          <w:rFonts w:hint="eastAsia"/>
          <w:color w:val="auto"/>
          <w:u w:val="single"/>
        </w:rPr>
        <w:t xml:space="preserve">                 </w:t>
      </w:r>
      <w:r>
        <w:rPr>
          <w:color w:val="auto"/>
        </w:rPr>
        <w:t>（盖单位章）</w:t>
      </w:r>
    </w:p>
    <w:p>
      <w:pPr>
        <w:spacing w:line="440" w:lineRule="exact"/>
        <w:rPr>
          <w:color w:val="auto"/>
          <w:szCs w:val="21"/>
        </w:rPr>
      </w:pPr>
      <w:r>
        <w:rPr>
          <w:color w:val="auto"/>
          <w:szCs w:val="21"/>
        </w:rPr>
        <w:t>法定代表人或其委托代理人：</w:t>
      </w:r>
      <w:r>
        <w:rPr>
          <w:color w:val="auto"/>
          <w:szCs w:val="21"/>
          <w:u w:val="single"/>
        </w:rPr>
        <w:t xml:space="preserve">    </w:t>
      </w:r>
      <w:r>
        <w:rPr>
          <w:color w:val="auto"/>
          <w:szCs w:val="21"/>
        </w:rPr>
        <w:t>（签字）</w:t>
      </w:r>
      <w:r>
        <w:rPr>
          <w:rFonts w:hint="eastAsia"/>
          <w:color w:val="auto"/>
          <w:szCs w:val="21"/>
        </w:rPr>
        <w:t xml:space="preserve">    </w:t>
      </w:r>
      <w:r>
        <w:rPr>
          <w:color w:val="auto"/>
          <w:szCs w:val="21"/>
        </w:rPr>
        <w:t>法定代表人或其委托代理人：</w:t>
      </w:r>
      <w:r>
        <w:rPr>
          <w:color w:val="auto"/>
          <w:szCs w:val="21"/>
          <w:u w:val="single"/>
        </w:rPr>
        <w:t xml:space="preserve">      </w:t>
      </w:r>
      <w:r>
        <w:rPr>
          <w:color w:val="auto"/>
          <w:szCs w:val="21"/>
        </w:rPr>
        <w:t>（签字）</w:t>
      </w:r>
    </w:p>
    <w:p>
      <w:pPr>
        <w:spacing w:line="440" w:lineRule="exact"/>
        <w:rPr>
          <w:color w:val="auto"/>
          <w:szCs w:val="21"/>
        </w:rPr>
      </w:pPr>
      <w:r>
        <w:rPr>
          <w:color w:val="auto"/>
          <w:szCs w:val="21"/>
          <w:u w:val="single"/>
        </w:rPr>
        <w:t xml:space="preserve">      </w:t>
      </w:r>
      <w:r>
        <w:rPr>
          <w:rFonts w:hint="eastAsia"/>
          <w:color w:val="auto"/>
          <w:szCs w:val="21"/>
          <w:u w:val="single"/>
        </w:rPr>
        <w:t xml:space="preserve">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年</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 日</w:t>
      </w:r>
      <w:r>
        <w:rPr>
          <w:rFonts w:hint="eastAsia"/>
          <w:color w:val="auto"/>
          <w:szCs w:val="21"/>
        </w:rPr>
        <w:t xml:space="preserve">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年</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月 </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日</w:t>
      </w:r>
    </w:p>
    <w:p>
      <w:pPr>
        <w:spacing w:line="440" w:lineRule="exact"/>
        <w:rPr>
          <w:color w:val="auto"/>
          <w:sz w:val="20"/>
          <w:szCs w:val="20"/>
        </w:rPr>
      </w:pPr>
    </w:p>
    <w:p>
      <w:pPr>
        <w:spacing w:line="400" w:lineRule="exact"/>
        <w:rPr>
          <w:rFonts w:hint="eastAsia"/>
          <w:color w:val="auto"/>
        </w:rPr>
      </w:pPr>
    </w:p>
    <w:p>
      <w:pPr>
        <w:spacing w:line="400" w:lineRule="exact"/>
        <w:rPr>
          <w:color w:val="auto"/>
        </w:rPr>
      </w:pPr>
    </w:p>
    <w:p>
      <w:pPr>
        <w:pStyle w:val="4"/>
        <w:rPr>
          <w:rFonts w:hint="eastAsia"/>
          <w:b w:val="0"/>
          <w:color w:val="auto"/>
        </w:rPr>
      </w:pPr>
      <w:bookmarkStart w:id="2165" w:name="_Toc168476291"/>
      <w:bookmarkStart w:id="2166" w:name="_Toc144974831"/>
      <w:bookmarkStart w:id="2167" w:name="_Toc168475888"/>
      <w:bookmarkStart w:id="2168" w:name="_Toc491089779"/>
      <w:bookmarkStart w:id="2169" w:name="_Toc17772"/>
      <w:r>
        <w:rPr>
          <w:rFonts w:hint="eastAsia"/>
          <w:b w:val="0"/>
          <w:color w:val="auto"/>
        </w:rPr>
        <w:t>附件二：</w:t>
      </w:r>
      <w:bookmarkEnd w:id="2165"/>
      <w:bookmarkEnd w:id="2166"/>
      <w:bookmarkEnd w:id="2167"/>
      <w:r>
        <w:rPr>
          <w:rFonts w:hint="eastAsia"/>
          <w:b w:val="0"/>
          <w:color w:val="auto"/>
        </w:rPr>
        <w:t>履约担保</w:t>
      </w:r>
      <w:bookmarkEnd w:id="2168"/>
      <w:bookmarkEnd w:id="2169"/>
      <w:r>
        <w:rPr>
          <w:rFonts w:hint="eastAsia"/>
          <w:b w:val="0"/>
          <w:color w:val="auto"/>
        </w:rPr>
        <w:t xml:space="preserve"> </w:t>
      </w:r>
    </w:p>
    <w:p>
      <w:pPr>
        <w:rPr>
          <w:rFonts w:hint="eastAsia"/>
          <w:color w:val="auto"/>
        </w:rPr>
      </w:pPr>
      <w:r>
        <w:rPr>
          <w:rFonts w:hint="eastAsia"/>
          <w:color w:val="auto"/>
        </w:rPr>
        <w:t xml:space="preserve"> </w:t>
      </w:r>
    </w:p>
    <w:p>
      <w:pPr>
        <w:spacing w:line="400" w:lineRule="exact"/>
        <w:rPr>
          <w:color w:val="auto"/>
        </w:rPr>
      </w:pPr>
    </w:p>
    <w:p>
      <w:pPr>
        <w:spacing w:line="440" w:lineRule="exact"/>
        <w:jc w:val="center"/>
        <w:rPr>
          <w:rFonts w:hint="eastAsia" w:eastAsia="黑体"/>
          <w:color w:val="auto"/>
          <w:sz w:val="28"/>
          <w:szCs w:val="28"/>
        </w:rPr>
      </w:pPr>
      <w:r>
        <w:rPr>
          <w:rFonts w:hint="eastAsia" w:eastAsia="黑体"/>
          <w:color w:val="auto"/>
          <w:sz w:val="28"/>
          <w:szCs w:val="28"/>
        </w:rPr>
        <w:t xml:space="preserve">履 约 担 保 </w:t>
      </w:r>
    </w:p>
    <w:p>
      <w:pPr>
        <w:spacing w:line="440" w:lineRule="exact"/>
        <w:rPr>
          <w:color w:val="auto"/>
          <w:sz w:val="20"/>
          <w:szCs w:val="20"/>
        </w:rPr>
      </w:pPr>
    </w:p>
    <w:p>
      <w:pPr>
        <w:spacing w:line="440" w:lineRule="exact"/>
        <w:rPr>
          <w:color w:val="auto"/>
          <w:szCs w:val="21"/>
        </w:rPr>
      </w:pPr>
      <w:r>
        <w:rPr>
          <w:color w:val="auto"/>
          <w:szCs w:val="21"/>
          <w:u w:val="single"/>
        </w:rPr>
        <w:t xml:space="preserve">            </w:t>
      </w:r>
      <w:r>
        <w:rPr>
          <w:color w:val="auto"/>
          <w:szCs w:val="21"/>
          <w:u w:val="single"/>
        </w:rPr>
        <w:tab/>
      </w:r>
      <w:r>
        <w:rPr>
          <w:color w:val="auto"/>
          <w:szCs w:val="21"/>
          <w:u w:val="single"/>
        </w:rPr>
        <w:tab/>
      </w:r>
      <w:r>
        <w:rPr>
          <w:color w:val="auto"/>
          <w:szCs w:val="21"/>
          <w:u w:val="single"/>
        </w:rPr>
        <w:t xml:space="preserve">  </w:t>
      </w:r>
      <w:r>
        <w:rPr>
          <w:color w:val="auto"/>
          <w:szCs w:val="21"/>
        </w:rPr>
        <w:t>（发包人名称）：</w:t>
      </w:r>
    </w:p>
    <w:p>
      <w:pPr>
        <w:spacing w:line="440" w:lineRule="exact"/>
        <w:rPr>
          <w:color w:val="auto"/>
          <w:szCs w:val="21"/>
        </w:rPr>
      </w:pPr>
    </w:p>
    <w:p>
      <w:pPr>
        <w:spacing w:line="440" w:lineRule="exact"/>
        <w:ind w:firstLine="525" w:firstLineChars="250"/>
        <w:rPr>
          <w:color w:val="auto"/>
          <w:szCs w:val="21"/>
        </w:rPr>
      </w:pPr>
      <w:r>
        <w:rPr>
          <w:color w:val="auto"/>
          <w:szCs w:val="21"/>
        </w:rPr>
        <w:t>鉴于</w:t>
      </w:r>
      <w:r>
        <w:rPr>
          <w:color w:val="auto"/>
          <w:szCs w:val="21"/>
          <w:u w:val="single"/>
        </w:rPr>
        <w:t xml:space="preserve">                </w:t>
      </w:r>
      <w:r>
        <w:rPr>
          <w:color w:val="auto"/>
          <w:szCs w:val="21"/>
        </w:rPr>
        <w:t>（发包人名称</w:t>
      </w:r>
      <w:r>
        <w:rPr>
          <w:rFonts w:hint="eastAsia"/>
          <w:color w:val="auto"/>
          <w:szCs w:val="21"/>
        </w:rPr>
        <w:t>，</w:t>
      </w:r>
      <w:r>
        <w:rPr>
          <w:color w:val="auto"/>
          <w:szCs w:val="21"/>
        </w:rPr>
        <w:t>以下简称“发包人”）接受</w:t>
      </w:r>
      <w:r>
        <w:rPr>
          <w:color w:val="auto"/>
          <w:szCs w:val="21"/>
          <w:u w:val="single"/>
        </w:rPr>
        <w:t xml:space="preserve">       </w:t>
      </w:r>
      <w:r>
        <w:rPr>
          <w:color w:val="auto"/>
          <w:szCs w:val="21"/>
        </w:rPr>
        <w:t>（承包人名称</w:t>
      </w:r>
      <w:r>
        <w:rPr>
          <w:rFonts w:hint="eastAsia"/>
          <w:color w:val="auto"/>
          <w:szCs w:val="21"/>
        </w:rPr>
        <w:t>，</w:t>
      </w:r>
      <w:r>
        <w:rPr>
          <w:color w:val="auto"/>
          <w:szCs w:val="21"/>
        </w:rPr>
        <w:t>以下称“承包人”）于</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r>
        <w:rPr>
          <w:rFonts w:hint="eastAsia"/>
          <w:color w:val="auto"/>
          <w:szCs w:val="21"/>
        </w:rPr>
        <w:t>递交的</w:t>
      </w:r>
      <w:r>
        <w:rPr>
          <w:color w:val="auto"/>
          <w:szCs w:val="21"/>
          <w:u w:val="single"/>
        </w:rPr>
        <w:t xml:space="preserve">         </w:t>
      </w:r>
      <w:r>
        <w:rPr>
          <w:color w:val="auto"/>
          <w:szCs w:val="21"/>
        </w:rPr>
        <w:t>（项目名称）</w:t>
      </w:r>
      <w:r>
        <w:rPr>
          <w:color w:val="auto"/>
          <w:szCs w:val="21"/>
          <w:u w:val="single"/>
        </w:rPr>
        <w:t xml:space="preserve">          </w:t>
      </w:r>
      <w:r>
        <w:rPr>
          <w:rFonts w:hint="eastAsia"/>
          <w:color w:val="auto"/>
          <w:szCs w:val="21"/>
          <w:u w:val="single"/>
        </w:rPr>
        <w:t>（</w:t>
      </w:r>
      <w:r>
        <w:rPr>
          <w:color w:val="auto"/>
          <w:szCs w:val="21"/>
        </w:rPr>
        <w:t>标段</w:t>
      </w:r>
      <w:r>
        <w:rPr>
          <w:rFonts w:hint="eastAsia"/>
          <w:color w:val="auto"/>
          <w:szCs w:val="21"/>
        </w:rPr>
        <w:t>名称）</w:t>
      </w:r>
      <w:r>
        <w:rPr>
          <w:color w:val="auto"/>
          <w:szCs w:val="21"/>
        </w:rPr>
        <w:t>的投标</w:t>
      </w:r>
      <w:r>
        <w:rPr>
          <w:rFonts w:hint="eastAsia"/>
          <w:color w:val="auto"/>
          <w:szCs w:val="21"/>
        </w:rPr>
        <w:t>文件</w:t>
      </w:r>
      <w:r>
        <w:rPr>
          <w:color w:val="auto"/>
          <w:szCs w:val="21"/>
        </w:rPr>
        <w:t>。我</w:t>
      </w:r>
      <w:r>
        <w:rPr>
          <w:rFonts w:hint="eastAsia"/>
          <w:color w:val="auto"/>
          <w:szCs w:val="21"/>
        </w:rPr>
        <w:t>方</w:t>
      </w:r>
      <w:r>
        <w:rPr>
          <w:color w:val="auto"/>
          <w:szCs w:val="21"/>
        </w:rPr>
        <w:t>愿意无条件地、不可撤销地就承包人履行与你方订立的合同，向你方提供担保。</w:t>
      </w:r>
    </w:p>
    <w:p>
      <w:pPr>
        <w:spacing w:line="440" w:lineRule="exact"/>
        <w:ind w:firstLine="420" w:firstLineChars="200"/>
        <w:rPr>
          <w:color w:val="auto"/>
          <w:szCs w:val="21"/>
        </w:rPr>
      </w:pPr>
      <w:r>
        <w:rPr>
          <w:color w:val="auto"/>
          <w:szCs w:val="21"/>
        </w:rPr>
        <w:t>1. 担保金额人民币（大写）</w:t>
      </w:r>
      <w:r>
        <w:rPr>
          <w:color w:val="auto"/>
          <w:szCs w:val="21"/>
          <w:u w:val="single"/>
        </w:rPr>
        <w:t xml:space="preserve">                </w:t>
      </w:r>
      <w:r>
        <w:rPr>
          <w:color w:val="auto"/>
          <w:szCs w:val="21"/>
        </w:rPr>
        <w:t xml:space="preserve"> 元（¥</w:t>
      </w:r>
      <w:r>
        <w:rPr>
          <w:color w:val="auto"/>
          <w:szCs w:val="21"/>
          <w:u w:val="single"/>
        </w:rPr>
        <w:t xml:space="preserve">             </w:t>
      </w:r>
      <w:r>
        <w:rPr>
          <w:color w:val="auto"/>
          <w:szCs w:val="21"/>
        </w:rPr>
        <w:t>）。</w:t>
      </w:r>
    </w:p>
    <w:p>
      <w:pPr>
        <w:spacing w:line="440" w:lineRule="exact"/>
        <w:ind w:firstLine="420" w:firstLineChars="200"/>
        <w:rPr>
          <w:color w:val="auto"/>
          <w:szCs w:val="21"/>
        </w:rPr>
      </w:pPr>
      <w:r>
        <w:rPr>
          <w:color w:val="auto"/>
          <w:szCs w:val="21"/>
        </w:rPr>
        <w:t>2. 担保有效期自发包人与承包人签订的合同生效之日起至发包人签发</w:t>
      </w:r>
      <w:r>
        <w:rPr>
          <w:rFonts w:hint="eastAsia"/>
          <w:color w:val="auto"/>
          <w:szCs w:val="21"/>
        </w:rPr>
        <w:t>工程完工证书之日</w:t>
      </w:r>
      <w:r>
        <w:rPr>
          <w:color w:val="auto"/>
          <w:szCs w:val="21"/>
        </w:rPr>
        <w:t>止。</w:t>
      </w:r>
    </w:p>
    <w:p>
      <w:pPr>
        <w:spacing w:line="440" w:lineRule="exact"/>
        <w:ind w:firstLine="420" w:firstLineChars="200"/>
        <w:rPr>
          <w:color w:val="auto"/>
          <w:szCs w:val="21"/>
        </w:rPr>
      </w:pPr>
      <w:r>
        <w:rPr>
          <w:color w:val="auto"/>
          <w:szCs w:val="21"/>
        </w:rPr>
        <w:t>3. 在本</w:t>
      </w:r>
      <w:r>
        <w:rPr>
          <w:rFonts w:hint="eastAsia"/>
          <w:color w:val="auto"/>
          <w:szCs w:val="21"/>
        </w:rPr>
        <w:t>担保</w:t>
      </w:r>
      <w:r>
        <w:rPr>
          <w:color w:val="auto"/>
          <w:szCs w:val="21"/>
        </w:rPr>
        <w:t>有效期内，因承包人违反合同约定的义务给你方造成经济损失时，我</w:t>
      </w:r>
      <w:r>
        <w:rPr>
          <w:rFonts w:hint="eastAsia"/>
          <w:color w:val="auto"/>
          <w:szCs w:val="21"/>
        </w:rPr>
        <w:t>方</w:t>
      </w:r>
      <w:r>
        <w:rPr>
          <w:color w:val="auto"/>
          <w:szCs w:val="21"/>
        </w:rPr>
        <w:t>在收到你方以书面形式提出的在担保金额内的赔偿要求后，无条件地在７天内予以支付。</w:t>
      </w:r>
    </w:p>
    <w:p>
      <w:pPr>
        <w:spacing w:line="440" w:lineRule="exact"/>
        <w:ind w:firstLine="420" w:firstLineChars="200"/>
        <w:rPr>
          <w:color w:val="auto"/>
          <w:szCs w:val="21"/>
        </w:rPr>
      </w:pPr>
      <w:r>
        <w:rPr>
          <w:color w:val="auto"/>
          <w:szCs w:val="21"/>
        </w:rPr>
        <w:t>4. 发包人和承包人按《通用合同条款》第15条变更合同时，我</w:t>
      </w:r>
      <w:r>
        <w:rPr>
          <w:rFonts w:hint="eastAsia"/>
          <w:color w:val="auto"/>
          <w:szCs w:val="21"/>
        </w:rPr>
        <w:t>方</w:t>
      </w:r>
      <w:r>
        <w:rPr>
          <w:color w:val="auto"/>
          <w:szCs w:val="21"/>
        </w:rPr>
        <w:t>承担本</w:t>
      </w:r>
      <w:r>
        <w:rPr>
          <w:rFonts w:hint="eastAsia"/>
          <w:color w:val="auto"/>
          <w:szCs w:val="21"/>
        </w:rPr>
        <w:t>担保</w:t>
      </w:r>
      <w:r>
        <w:rPr>
          <w:color w:val="auto"/>
          <w:szCs w:val="21"/>
        </w:rPr>
        <w:t>规定的义务不变。</w:t>
      </w:r>
    </w:p>
    <w:p>
      <w:pPr>
        <w:spacing w:line="440" w:lineRule="exact"/>
        <w:rPr>
          <w:rFonts w:hint="eastAsia"/>
          <w:color w:val="auto"/>
          <w:szCs w:val="21"/>
        </w:rPr>
      </w:pPr>
    </w:p>
    <w:p>
      <w:pPr>
        <w:spacing w:line="440" w:lineRule="exact"/>
        <w:rPr>
          <w:color w:val="auto"/>
          <w:szCs w:val="21"/>
        </w:rPr>
      </w:pPr>
    </w:p>
    <w:p>
      <w:pPr>
        <w:spacing w:line="440" w:lineRule="exact"/>
        <w:rPr>
          <w:color w:val="auto"/>
          <w:szCs w:val="21"/>
        </w:rPr>
      </w:pPr>
    </w:p>
    <w:p>
      <w:pPr>
        <w:spacing w:line="440" w:lineRule="exact"/>
        <w:ind w:firstLine="4819" w:firstLineChars="2295"/>
        <w:rPr>
          <w:color w:val="auto"/>
          <w:szCs w:val="21"/>
        </w:rPr>
      </w:pPr>
      <w:r>
        <w:rPr>
          <w:rFonts w:hint="eastAsia"/>
          <w:color w:val="auto"/>
          <w:szCs w:val="21"/>
        </w:rPr>
        <w:t>担 保 人</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（盖单位章）</w:t>
      </w:r>
    </w:p>
    <w:p>
      <w:pPr>
        <w:spacing w:line="440" w:lineRule="exact"/>
        <w:ind w:firstLine="4819" w:firstLineChars="2295"/>
        <w:rPr>
          <w:color w:val="auto"/>
          <w:szCs w:val="21"/>
        </w:rPr>
      </w:pPr>
      <w:r>
        <w:rPr>
          <w:color w:val="auto"/>
          <w:szCs w:val="21"/>
        </w:rPr>
        <w:t>法定代表人或其</w:t>
      </w:r>
      <w:r>
        <w:rPr>
          <w:rFonts w:hint="eastAsia"/>
          <w:color w:val="auto"/>
          <w:szCs w:val="21"/>
        </w:rPr>
        <w:t>委托代理</w:t>
      </w:r>
      <w:r>
        <w:rPr>
          <w:color w:val="auto"/>
          <w:szCs w:val="21"/>
        </w:rPr>
        <w:t>人：</w:t>
      </w:r>
      <w:r>
        <w:rPr>
          <w:color w:val="auto"/>
          <w:szCs w:val="21"/>
          <w:u w:val="single"/>
        </w:rPr>
        <w:t xml:space="preserve">       </w:t>
      </w:r>
      <w:r>
        <w:rPr>
          <w:color w:val="auto"/>
          <w:szCs w:val="21"/>
        </w:rPr>
        <w:t>（签字）</w:t>
      </w:r>
    </w:p>
    <w:p>
      <w:pPr>
        <w:spacing w:line="440" w:lineRule="exact"/>
        <w:ind w:firstLine="4819" w:firstLineChars="2295"/>
        <w:rPr>
          <w:color w:val="auto"/>
          <w:szCs w:val="21"/>
        </w:rPr>
      </w:pPr>
      <w:r>
        <w:rPr>
          <w:color w:val="auto"/>
          <w:szCs w:val="21"/>
        </w:rPr>
        <w:t>地    址：</w:t>
      </w:r>
      <w:r>
        <w:rPr>
          <w:color w:val="auto"/>
          <w:szCs w:val="21"/>
          <w:u w:val="single"/>
        </w:rPr>
        <w:tab/>
      </w:r>
      <w:r>
        <w:rPr>
          <w:color w:val="auto"/>
          <w:szCs w:val="21"/>
          <w:u w:val="single"/>
        </w:rPr>
        <w:tab/>
      </w:r>
      <w:r>
        <w:rPr>
          <w:color w:val="auto"/>
          <w:szCs w:val="21"/>
          <w:u w:val="single"/>
        </w:rPr>
        <w:tab/>
      </w:r>
      <w:r>
        <w:rPr>
          <w:color w:val="auto"/>
          <w:szCs w:val="21"/>
          <w:u w:val="single"/>
        </w:rPr>
        <w:t xml:space="preserve">    </w:t>
      </w:r>
      <w:r>
        <w:rPr>
          <w:color w:val="auto"/>
          <w:szCs w:val="21"/>
          <w:u w:val="single"/>
        </w:rPr>
        <w:tab/>
      </w:r>
      <w:r>
        <w:rPr>
          <w:color w:val="auto"/>
          <w:szCs w:val="21"/>
          <w:u w:val="single"/>
        </w:rPr>
        <w:tab/>
      </w:r>
      <w:r>
        <w:rPr>
          <w:rFonts w:hint="eastAsia"/>
          <w:color w:val="auto"/>
          <w:szCs w:val="21"/>
          <w:u w:val="single"/>
        </w:rPr>
        <w:t xml:space="preserve">    </w:t>
      </w:r>
      <w:r>
        <w:rPr>
          <w:color w:val="auto"/>
          <w:szCs w:val="21"/>
          <w:u w:val="single"/>
        </w:rPr>
        <w:tab/>
      </w:r>
    </w:p>
    <w:p>
      <w:pPr>
        <w:spacing w:line="440" w:lineRule="exact"/>
        <w:ind w:firstLine="4819" w:firstLineChars="2295"/>
        <w:rPr>
          <w:color w:val="auto"/>
          <w:szCs w:val="21"/>
        </w:rPr>
      </w:pPr>
      <w:r>
        <w:rPr>
          <w:color w:val="auto"/>
          <w:szCs w:val="21"/>
        </w:rPr>
        <w:t>邮政编码：</w:t>
      </w:r>
      <w:r>
        <w:rPr>
          <w:color w:val="auto"/>
          <w:szCs w:val="21"/>
          <w:u w:val="single"/>
        </w:rPr>
        <w:tab/>
      </w:r>
      <w:r>
        <w:rPr>
          <w:color w:val="auto"/>
          <w:szCs w:val="21"/>
          <w:u w:val="single"/>
        </w:rPr>
        <w:tab/>
      </w:r>
      <w:r>
        <w:rPr>
          <w:color w:val="auto"/>
          <w:szCs w:val="21"/>
          <w:u w:val="single"/>
        </w:rPr>
        <w:tab/>
      </w:r>
      <w:r>
        <w:rPr>
          <w:color w:val="auto"/>
          <w:szCs w:val="21"/>
          <w:u w:val="single"/>
        </w:rPr>
        <w:tab/>
      </w:r>
      <w:r>
        <w:rPr>
          <w:color w:val="auto"/>
          <w:szCs w:val="21"/>
          <w:u w:val="single"/>
        </w:rPr>
        <w:tab/>
      </w:r>
      <w:r>
        <w:rPr>
          <w:rFonts w:hint="eastAsia"/>
          <w:color w:val="auto"/>
          <w:szCs w:val="21"/>
          <w:u w:val="single"/>
        </w:rPr>
        <w:t xml:space="preserve">    </w:t>
      </w:r>
      <w:r>
        <w:rPr>
          <w:color w:val="auto"/>
          <w:szCs w:val="21"/>
          <w:u w:val="single"/>
        </w:rPr>
        <w:tab/>
      </w:r>
      <w:r>
        <w:rPr>
          <w:color w:val="auto"/>
          <w:szCs w:val="21"/>
          <w:u w:val="single"/>
        </w:rPr>
        <w:tab/>
      </w:r>
    </w:p>
    <w:p>
      <w:pPr>
        <w:spacing w:line="440" w:lineRule="exact"/>
        <w:ind w:firstLine="4819" w:firstLineChars="2295"/>
        <w:rPr>
          <w:rFonts w:hint="eastAsia"/>
          <w:color w:val="auto"/>
          <w:szCs w:val="21"/>
        </w:rPr>
      </w:pPr>
      <w:r>
        <w:rPr>
          <w:color w:val="auto"/>
          <w:szCs w:val="21"/>
        </w:rPr>
        <w:t>电    话：</w:t>
      </w:r>
      <w:r>
        <w:rPr>
          <w:color w:val="auto"/>
          <w:szCs w:val="21"/>
          <w:u w:val="single"/>
        </w:rPr>
        <w:t xml:space="preserve">                    </w:t>
      </w:r>
      <w:r>
        <w:rPr>
          <w:rFonts w:hint="eastAsia"/>
          <w:color w:val="auto"/>
          <w:szCs w:val="21"/>
          <w:u w:val="single"/>
        </w:rPr>
        <w:t xml:space="preserve">    </w:t>
      </w:r>
      <w:r>
        <w:rPr>
          <w:color w:val="auto"/>
          <w:szCs w:val="21"/>
          <w:u w:val="single"/>
        </w:rPr>
        <w:t xml:space="preserve">     </w:t>
      </w:r>
    </w:p>
    <w:p>
      <w:pPr>
        <w:spacing w:line="440" w:lineRule="exact"/>
        <w:ind w:firstLine="4819" w:firstLineChars="2295"/>
        <w:rPr>
          <w:rFonts w:hint="eastAsia"/>
          <w:color w:val="auto"/>
          <w:szCs w:val="21"/>
        </w:rPr>
      </w:pPr>
      <w:r>
        <w:rPr>
          <w:rFonts w:hint="eastAsia"/>
          <w:color w:val="auto"/>
          <w:szCs w:val="21"/>
        </w:rPr>
        <w:t>传</w:t>
      </w:r>
      <w:r>
        <w:rPr>
          <w:color w:val="auto"/>
          <w:szCs w:val="21"/>
        </w:rPr>
        <w:t xml:space="preserve">    </w:t>
      </w:r>
      <w:r>
        <w:rPr>
          <w:rFonts w:hint="eastAsia"/>
          <w:color w:val="auto"/>
          <w:szCs w:val="21"/>
        </w:rPr>
        <w:t>真</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p>
    <w:p>
      <w:pPr>
        <w:spacing w:line="440" w:lineRule="exact"/>
        <w:ind w:firstLine="4819" w:firstLineChars="2295"/>
        <w:rPr>
          <w:color w:val="auto"/>
          <w:szCs w:val="21"/>
        </w:rPr>
      </w:pPr>
    </w:p>
    <w:p>
      <w:pPr>
        <w:spacing w:line="440" w:lineRule="exact"/>
        <w:ind w:firstLine="4819" w:firstLineChars="2295"/>
        <w:rPr>
          <w:rFonts w:hint="eastAsia"/>
          <w:color w:val="auto"/>
          <w:szCs w:val="21"/>
        </w:rPr>
      </w:pP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spacing w:line="440" w:lineRule="exact"/>
        <w:ind w:firstLine="4819" w:firstLineChars="2295"/>
        <w:rPr>
          <w:rFonts w:hint="eastAsia"/>
          <w:color w:val="auto"/>
          <w:szCs w:val="21"/>
        </w:rPr>
      </w:pPr>
    </w:p>
    <w:p>
      <w:pPr>
        <w:spacing w:line="440" w:lineRule="exact"/>
        <w:ind w:firstLine="4819" w:firstLineChars="2295"/>
        <w:rPr>
          <w:rFonts w:hint="eastAsia"/>
          <w:color w:val="auto"/>
          <w:szCs w:val="21"/>
        </w:rPr>
      </w:pPr>
    </w:p>
    <w:p>
      <w:pPr>
        <w:spacing w:line="440" w:lineRule="exact"/>
        <w:ind w:firstLine="4819" w:firstLineChars="2295"/>
        <w:rPr>
          <w:rFonts w:hint="eastAsia"/>
          <w:color w:val="auto"/>
          <w:szCs w:val="21"/>
        </w:rPr>
      </w:pPr>
    </w:p>
    <w:p>
      <w:pPr>
        <w:spacing w:line="440" w:lineRule="exact"/>
        <w:jc w:val="left"/>
        <w:rPr>
          <w:rFonts w:hint="eastAsia"/>
          <w:color w:val="auto"/>
          <w:szCs w:val="21"/>
        </w:rPr>
      </w:pPr>
      <w:r>
        <w:rPr>
          <w:rFonts w:hint="eastAsia"/>
          <w:color w:val="auto"/>
          <w:szCs w:val="21"/>
        </w:rPr>
        <w:t>注：委托代理人应附授权委托书。</w:t>
      </w:r>
    </w:p>
    <w:p>
      <w:pPr>
        <w:spacing w:line="440" w:lineRule="exact"/>
        <w:jc w:val="left"/>
        <w:rPr>
          <w:rFonts w:hint="eastAsia"/>
          <w:color w:val="auto"/>
          <w:sz w:val="15"/>
          <w:szCs w:val="15"/>
        </w:rPr>
      </w:pPr>
    </w:p>
    <w:p>
      <w:pPr>
        <w:pStyle w:val="4"/>
        <w:rPr>
          <w:rFonts w:hint="eastAsia"/>
          <w:b w:val="0"/>
          <w:color w:val="auto"/>
        </w:rPr>
      </w:pPr>
      <w:bookmarkStart w:id="2170" w:name="_Toc168476292"/>
      <w:bookmarkStart w:id="2171" w:name="_Toc168475889"/>
      <w:bookmarkStart w:id="2172" w:name="_Toc144974833"/>
      <w:bookmarkStart w:id="2173" w:name="_Toc24853"/>
      <w:bookmarkStart w:id="2174" w:name="_Toc491089780"/>
      <w:r>
        <w:rPr>
          <w:rFonts w:hint="eastAsia"/>
          <w:b w:val="0"/>
          <w:color w:val="auto"/>
        </w:rPr>
        <w:t>附件三：</w:t>
      </w:r>
      <w:bookmarkEnd w:id="2170"/>
      <w:bookmarkEnd w:id="2171"/>
      <w:bookmarkEnd w:id="2172"/>
      <w:r>
        <w:rPr>
          <w:b w:val="0"/>
          <w:color w:val="auto"/>
        </w:rPr>
        <w:t>预付款</w:t>
      </w:r>
      <w:r>
        <w:rPr>
          <w:rFonts w:hint="eastAsia"/>
          <w:b w:val="0"/>
          <w:color w:val="auto"/>
        </w:rPr>
        <w:t>担</w:t>
      </w:r>
      <w:r>
        <w:rPr>
          <w:b w:val="0"/>
          <w:color w:val="auto"/>
        </w:rPr>
        <w:t>保函</w:t>
      </w:r>
      <w:bookmarkEnd w:id="2173"/>
      <w:bookmarkEnd w:id="2174"/>
    </w:p>
    <w:p>
      <w:pPr>
        <w:rPr>
          <w:rFonts w:hint="eastAsia"/>
          <w:color w:val="auto"/>
        </w:rPr>
      </w:pPr>
      <w:r>
        <w:rPr>
          <w:rFonts w:hint="eastAsia"/>
          <w:color w:val="auto"/>
        </w:rPr>
        <w:t xml:space="preserve"> </w:t>
      </w:r>
    </w:p>
    <w:p>
      <w:pPr>
        <w:spacing w:line="440" w:lineRule="exact"/>
        <w:jc w:val="center"/>
        <w:rPr>
          <w:rFonts w:hint="eastAsia" w:eastAsia="黑体"/>
          <w:color w:val="auto"/>
          <w:sz w:val="28"/>
          <w:szCs w:val="28"/>
        </w:rPr>
      </w:pPr>
      <w:r>
        <w:rPr>
          <w:rFonts w:eastAsia="黑体"/>
          <w:color w:val="auto"/>
          <w:sz w:val="28"/>
          <w:szCs w:val="28"/>
        </w:rPr>
        <w:t>预付款</w:t>
      </w:r>
      <w:r>
        <w:rPr>
          <w:rFonts w:hint="eastAsia" w:eastAsia="黑体"/>
          <w:color w:val="auto"/>
          <w:sz w:val="28"/>
          <w:szCs w:val="28"/>
        </w:rPr>
        <w:t>担</w:t>
      </w:r>
      <w:r>
        <w:rPr>
          <w:rFonts w:eastAsia="黑体"/>
          <w:color w:val="auto"/>
          <w:sz w:val="28"/>
          <w:szCs w:val="28"/>
        </w:rPr>
        <w:t>保函</w:t>
      </w:r>
    </w:p>
    <w:p>
      <w:pPr>
        <w:spacing w:line="440" w:lineRule="exact"/>
        <w:rPr>
          <w:rFonts w:eastAsia="黑体"/>
          <w:color w:val="auto"/>
          <w:sz w:val="20"/>
          <w:szCs w:val="20"/>
        </w:rPr>
      </w:pPr>
    </w:p>
    <w:p>
      <w:pPr>
        <w:spacing w:line="440" w:lineRule="exact"/>
        <w:rPr>
          <w:color w:val="auto"/>
          <w:szCs w:val="21"/>
        </w:rPr>
      </w:pPr>
      <w:r>
        <w:rPr>
          <w:color w:val="auto"/>
          <w:szCs w:val="21"/>
          <w:u w:val="single"/>
        </w:rPr>
        <w:t xml:space="preserve">            </w:t>
      </w:r>
      <w:r>
        <w:rPr>
          <w:color w:val="auto"/>
          <w:szCs w:val="21"/>
          <w:u w:val="single"/>
        </w:rPr>
        <w:tab/>
      </w:r>
      <w:r>
        <w:rPr>
          <w:color w:val="auto"/>
          <w:szCs w:val="21"/>
          <w:u w:val="single"/>
        </w:rPr>
        <w:tab/>
      </w:r>
      <w:r>
        <w:rPr>
          <w:color w:val="auto"/>
          <w:szCs w:val="21"/>
          <w:u w:val="single"/>
        </w:rPr>
        <w:t xml:space="preserve"> </w:t>
      </w:r>
      <w:r>
        <w:rPr>
          <w:color w:val="auto"/>
          <w:szCs w:val="21"/>
        </w:rPr>
        <w:t xml:space="preserve"> （发包人名称）：</w:t>
      </w:r>
    </w:p>
    <w:p>
      <w:pPr>
        <w:spacing w:line="440" w:lineRule="exact"/>
        <w:rPr>
          <w:color w:val="auto"/>
          <w:szCs w:val="21"/>
        </w:rPr>
      </w:pPr>
    </w:p>
    <w:p>
      <w:pPr>
        <w:spacing w:line="440" w:lineRule="exact"/>
        <w:ind w:firstLine="420" w:firstLineChars="200"/>
        <w:rPr>
          <w:rFonts w:hint="eastAsia"/>
          <w:color w:val="auto"/>
          <w:szCs w:val="21"/>
        </w:rPr>
      </w:pPr>
      <w:r>
        <w:rPr>
          <w:color w:val="auto"/>
          <w:szCs w:val="21"/>
        </w:rPr>
        <w:t>根据</w:t>
      </w:r>
      <w:r>
        <w:rPr>
          <w:color w:val="auto"/>
          <w:szCs w:val="21"/>
          <w:u w:val="single"/>
        </w:rPr>
        <w:t xml:space="preserve">         </w:t>
      </w:r>
      <w:r>
        <w:rPr>
          <w:color w:val="auto"/>
          <w:szCs w:val="21"/>
        </w:rPr>
        <w:t>（承包人名称</w:t>
      </w:r>
      <w:r>
        <w:rPr>
          <w:rFonts w:hint="eastAsia"/>
          <w:color w:val="auto"/>
          <w:szCs w:val="21"/>
        </w:rPr>
        <w:t>，</w:t>
      </w:r>
      <w:r>
        <w:rPr>
          <w:color w:val="auto"/>
          <w:szCs w:val="21"/>
        </w:rPr>
        <w:t>以下称“承包人”）与</w:t>
      </w:r>
      <w:r>
        <w:rPr>
          <w:color w:val="auto"/>
          <w:szCs w:val="21"/>
          <w:u w:val="single"/>
        </w:rPr>
        <w:t xml:space="preserve">                </w:t>
      </w:r>
      <w:r>
        <w:rPr>
          <w:color w:val="auto"/>
          <w:szCs w:val="21"/>
        </w:rPr>
        <w:t>（发包人名称</w:t>
      </w:r>
      <w:r>
        <w:rPr>
          <w:rFonts w:hint="eastAsia"/>
          <w:color w:val="auto"/>
          <w:szCs w:val="21"/>
        </w:rPr>
        <w:t>，</w:t>
      </w:r>
      <w:r>
        <w:rPr>
          <w:color w:val="auto"/>
          <w:szCs w:val="21"/>
        </w:rPr>
        <w:t>以下简称“发包人”）于</w:t>
      </w: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月</w:t>
      </w:r>
      <w:r>
        <w:rPr>
          <w:color w:val="auto"/>
          <w:szCs w:val="21"/>
          <w:u w:val="single"/>
        </w:rPr>
        <w:t xml:space="preserve">    </w:t>
      </w:r>
      <w:r>
        <w:rPr>
          <w:color w:val="auto"/>
          <w:szCs w:val="21"/>
        </w:rPr>
        <w:t>日签订的</w:t>
      </w:r>
      <w:r>
        <w:rPr>
          <w:color w:val="auto"/>
          <w:szCs w:val="21"/>
          <w:u w:val="single"/>
        </w:rPr>
        <w:t xml:space="preserve">         </w:t>
      </w:r>
      <w:r>
        <w:rPr>
          <w:color w:val="auto"/>
          <w:szCs w:val="21"/>
        </w:rPr>
        <w:t>（项目名称）</w:t>
      </w:r>
      <w:r>
        <w:rPr>
          <w:color w:val="auto"/>
          <w:szCs w:val="21"/>
          <w:u w:val="single"/>
        </w:rPr>
        <w:t xml:space="preserve">         </w:t>
      </w:r>
      <w:r>
        <w:rPr>
          <w:color w:val="auto"/>
          <w:szCs w:val="21"/>
        </w:rPr>
        <w:t xml:space="preserve"> </w:t>
      </w:r>
      <w:r>
        <w:rPr>
          <w:rFonts w:hint="eastAsia"/>
          <w:color w:val="auto"/>
          <w:szCs w:val="21"/>
        </w:rPr>
        <w:t>（</w:t>
      </w:r>
      <w:r>
        <w:rPr>
          <w:color w:val="auto"/>
          <w:szCs w:val="21"/>
        </w:rPr>
        <w:t>标段</w:t>
      </w:r>
      <w:r>
        <w:rPr>
          <w:rFonts w:hint="eastAsia"/>
          <w:color w:val="auto"/>
          <w:szCs w:val="21"/>
        </w:rPr>
        <w:t>名称）</w:t>
      </w:r>
      <w:r>
        <w:rPr>
          <w:color w:val="auto"/>
          <w:szCs w:val="21"/>
        </w:rPr>
        <w:t>合同</w:t>
      </w:r>
      <w:r>
        <w:rPr>
          <w:rFonts w:hint="eastAsia"/>
          <w:color w:val="auto"/>
          <w:szCs w:val="21"/>
        </w:rPr>
        <w:t>协议书</w:t>
      </w:r>
      <w:r>
        <w:rPr>
          <w:color w:val="auto"/>
          <w:szCs w:val="21"/>
        </w:rPr>
        <w:t>，承包人按约定的金额向发包人提交一份预付款担保，即有权得到发包人支付相等金额的预付款。我</w:t>
      </w:r>
      <w:r>
        <w:rPr>
          <w:rFonts w:hint="eastAsia"/>
          <w:color w:val="auto"/>
          <w:szCs w:val="21"/>
        </w:rPr>
        <w:t>方</w:t>
      </w:r>
      <w:r>
        <w:rPr>
          <w:color w:val="auto"/>
          <w:szCs w:val="21"/>
        </w:rPr>
        <w:t>愿意就</w:t>
      </w:r>
      <w:r>
        <w:rPr>
          <w:rFonts w:hint="eastAsia"/>
          <w:color w:val="auto"/>
          <w:szCs w:val="21"/>
        </w:rPr>
        <w:t>你方提供给承包人的预付款提供担保。</w:t>
      </w:r>
    </w:p>
    <w:p>
      <w:pPr>
        <w:spacing w:line="440" w:lineRule="exact"/>
        <w:ind w:firstLine="420" w:firstLineChars="200"/>
        <w:rPr>
          <w:color w:val="auto"/>
          <w:szCs w:val="21"/>
        </w:rPr>
      </w:pPr>
      <w:r>
        <w:rPr>
          <w:color w:val="auto"/>
          <w:szCs w:val="21"/>
        </w:rPr>
        <w:t>1. 担保金额人民币（大写）</w:t>
      </w:r>
      <w:r>
        <w:rPr>
          <w:color w:val="auto"/>
          <w:szCs w:val="21"/>
          <w:u w:val="single"/>
        </w:rPr>
        <w:t xml:space="preserve">                </w:t>
      </w:r>
      <w:r>
        <w:rPr>
          <w:color w:val="auto"/>
          <w:szCs w:val="21"/>
        </w:rPr>
        <w:t xml:space="preserve"> 元（¥</w:t>
      </w:r>
      <w:r>
        <w:rPr>
          <w:color w:val="auto"/>
          <w:szCs w:val="21"/>
          <w:u w:val="single"/>
        </w:rPr>
        <w:t xml:space="preserve">             </w:t>
      </w:r>
      <w:r>
        <w:rPr>
          <w:color w:val="auto"/>
          <w:szCs w:val="21"/>
        </w:rPr>
        <w:t>）。</w:t>
      </w:r>
    </w:p>
    <w:p>
      <w:pPr>
        <w:spacing w:line="440" w:lineRule="exact"/>
        <w:ind w:firstLine="420" w:firstLineChars="200"/>
        <w:rPr>
          <w:rFonts w:hint="eastAsia"/>
          <w:color w:val="auto"/>
          <w:szCs w:val="21"/>
        </w:rPr>
      </w:pPr>
      <w:r>
        <w:rPr>
          <w:color w:val="auto"/>
          <w:szCs w:val="21"/>
        </w:rPr>
        <w:t>2. 担保有效期自预付款支付给承包人起生效，至发包人签发的</w:t>
      </w:r>
      <w:r>
        <w:rPr>
          <w:rFonts w:hint="eastAsia"/>
          <w:color w:val="auto"/>
          <w:szCs w:val="21"/>
        </w:rPr>
        <w:t>进度付款证书说明已完全扣清止。</w:t>
      </w:r>
    </w:p>
    <w:p>
      <w:pPr>
        <w:spacing w:line="440" w:lineRule="exact"/>
        <w:ind w:firstLine="420" w:firstLineChars="200"/>
        <w:rPr>
          <w:color w:val="auto"/>
          <w:szCs w:val="21"/>
        </w:rPr>
      </w:pPr>
      <w:r>
        <w:rPr>
          <w:color w:val="auto"/>
          <w:szCs w:val="21"/>
        </w:rPr>
        <w:t>3. 在本</w:t>
      </w:r>
      <w:r>
        <w:rPr>
          <w:rFonts w:hint="eastAsia"/>
          <w:color w:val="auto"/>
          <w:szCs w:val="21"/>
        </w:rPr>
        <w:t>担保</w:t>
      </w:r>
      <w:r>
        <w:rPr>
          <w:color w:val="auto"/>
          <w:szCs w:val="21"/>
        </w:rPr>
        <w:t>有效期内，因承包人违反合同约定的义务而要求收回预付款</w:t>
      </w:r>
      <w:r>
        <w:rPr>
          <w:rFonts w:hint="eastAsia"/>
          <w:color w:val="auto"/>
          <w:szCs w:val="21"/>
        </w:rPr>
        <w:t>时</w:t>
      </w:r>
      <w:r>
        <w:rPr>
          <w:color w:val="auto"/>
          <w:szCs w:val="21"/>
        </w:rPr>
        <w:t>，我</w:t>
      </w:r>
      <w:r>
        <w:rPr>
          <w:rFonts w:hint="eastAsia"/>
          <w:color w:val="auto"/>
          <w:szCs w:val="21"/>
        </w:rPr>
        <w:t>方</w:t>
      </w:r>
      <w:r>
        <w:rPr>
          <w:color w:val="auto"/>
          <w:szCs w:val="21"/>
        </w:rPr>
        <w:t>在收到你方的书面通知后，</w:t>
      </w:r>
      <w:r>
        <w:rPr>
          <w:rFonts w:hint="eastAsia"/>
          <w:color w:val="auto"/>
          <w:szCs w:val="21"/>
        </w:rPr>
        <w:t>无条件地</w:t>
      </w:r>
      <w:r>
        <w:rPr>
          <w:color w:val="auto"/>
          <w:szCs w:val="21"/>
        </w:rPr>
        <w:t>在７天内予以支付。但本</w:t>
      </w:r>
      <w:r>
        <w:rPr>
          <w:rFonts w:hint="eastAsia"/>
          <w:color w:val="auto"/>
          <w:szCs w:val="21"/>
        </w:rPr>
        <w:t>担保</w:t>
      </w:r>
      <w:r>
        <w:rPr>
          <w:color w:val="auto"/>
          <w:szCs w:val="21"/>
        </w:rPr>
        <w:t>的担保金额，在任何时候不应超过预付款金额减去发包人按合同约定在向承包人签发的进度付款证书中</w:t>
      </w:r>
      <w:r>
        <w:rPr>
          <w:rFonts w:hint="eastAsia"/>
          <w:color w:val="auto"/>
          <w:szCs w:val="21"/>
        </w:rPr>
        <w:t>已</w:t>
      </w:r>
      <w:r>
        <w:rPr>
          <w:color w:val="auto"/>
          <w:szCs w:val="21"/>
        </w:rPr>
        <w:t>扣</w:t>
      </w:r>
      <w:r>
        <w:rPr>
          <w:rFonts w:hint="eastAsia"/>
          <w:color w:val="auto"/>
          <w:szCs w:val="21"/>
        </w:rPr>
        <w:t>回</w:t>
      </w:r>
      <w:r>
        <w:rPr>
          <w:color w:val="auto"/>
          <w:szCs w:val="21"/>
        </w:rPr>
        <w:t>的金额。</w:t>
      </w:r>
    </w:p>
    <w:p>
      <w:pPr>
        <w:spacing w:line="440" w:lineRule="exact"/>
        <w:ind w:firstLine="420" w:firstLineChars="200"/>
        <w:rPr>
          <w:color w:val="auto"/>
          <w:szCs w:val="21"/>
        </w:rPr>
      </w:pPr>
      <w:r>
        <w:rPr>
          <w:color w:val="auto"/>
          <w:szCs w:val="21"/>
        </w:rPr>
        <w:t>4. 发包人和承包人按《通用合同条款》第15条变更合同时，我</w:t>
      </w:r>
      <w:r>
        <w:rPr>
          <w:rFonts w:hint="eastAsia"/>
          <w:color w:val="auto"/>
          <w:szCs w:val="21"/>
        </w:rPr>
        <w:t>方</w:t>
      </w:r>
      <w:r>
        <w:rPr>
          <w:color w:val="auto"/>
          <w:szCs w:val="21"/>
        </w:rPr>
        <w:t>承担本</w:t>
      </w:r>
      <w:r>
        <w:rPr>
          <w:rFonts w:hint="eastAsia"/>
          <w:color w:val="auto"/>
          <w:szCs w:val="21"/>
        </w:rPr>
        <w:t>担保</w:t>
      </w:r>
      <w:r>
        <w:rPr>
          <w:color w:val="auto"/>
          <w:szCs w:val="21"/>
        </w:rPr>
        <w:t>规定的义务不变。</w:t>
      </w:r>
    </w:p>
    <w:p>
      <w:pPr>
        <w:spacing w:line="440" w:lineRule="exact"/>
        <w:rPr>
          <w:color w:val="auto"/>
          <w:szCs w:val="21"/>
        </w:rPr>
      </w:pPr>
    </w:p>
    <w:p>
      <w:pPr>
        <w:rPr>
          <w:rFonts w:hint="eastAsia"/>
          <w:color w:val="auto"/>
        </w:rPr>
      </w:pPr>
    </w:p>
    <w:p>
      <w:pPr>
        <w:rPr>
          <w:rFonts w:hint="eastAsia"/>
          <w:color w:val="auto"/>
        </w:rPr>
      </w:pPr>
    </w:p>
    <w:p>
      <w:pPr>
        <w:spacing w:line="440" w:lineRule="exact"/>
        <w:ind w:firstLine="4819" w:firstLineChars="2295"/>
        <w:rPr>
          <w:color w:val="auto"/>
          <w:szCs w:val="21"/>
        </w:rPr>
      </w:pPr>
      <w:r>
        <w:rPr>
          <w:rFonts w:hint="eastAsia"/>
          <w:color w:val="auto"/>
          <w:szCs w:val="21"/>
        </w:rPr>
        <w:t>担 保 人</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（盖单位章）</w:t>
      </w:r>
    </w:p>
    <w:p>
      <w:pPr>
        <w:spacing w:line="440" w:lineRule="exact"/>
        <w:ind w:firstLine="4819" w:firstLineChars="2295"/>
        <w:rPr>
          <w:color w:val="auto"/>
          <w:szCs w:val="21"/>
        </w:rPr>
      </w:pPr>
      <w:r>
        <w:rPr>
          <w:color w:val="auto"/>
          <w:szCs w:val="21"/>
        </w:rPr>
        <w:t>法定代表人或其</w:t>
      </w:r>
      <w:r>
        <w:rPr>
          <w:rFonts w:hint="eastAsia"/>
          <w:color w:val="auto"/>
          <w:szCs w:val="21"/>
        </w:rPr>
        <w:t>委托代理</w:t>
      </w:r>
      <w:r>
        <w:rPr>
          <w:color w:val="auto"/>
          <w:szCs w:val="21"/>
        </w:rPr>
        <w:t>人：</w:t>
      </w:r>
      <w:r>
        <w:rPr>
          <w:color w:val="auto"/>
          <w:szCs w:val="21"/>
          <w:u w:val="single"/>
        </w:rPr>
        <w:t xml:space="preserve">       </w:t>
      </w:r>
      <w:r>
        <w:rPr>
          <w:color w:val="auto"/>
          <w:szCs w:val="21"/>
        </w:rPr>
        <w:t>（签字）</w:t>
      </w:r>
    </w:p>
    <w:p>
      <w:pPr>
        <w:spacing w:line="440" w:lineRule="exact"/>
        <w:ind w:firstLine="4819" w:firstLineChars="2295"/>
        <w:rPr>
          <w:color w:val="auto"/>
          <w:szCs w:val="21"/>
        </w:rPr>
      </w:pPr>
      <w:r>
        <w:rPr>
          <w:color w:val="auto"/>
          <w:szCs w:val="21"/>
        </w:rPr>
        <w:t>地    址：</w:t>
      </w:r>
      <w:r>
        <w:rPr>
          <w:color w:val="auto"/>
          <w:szCs w:val="21"/>
          <w:u w:val="single"/>
        </w:rPr>
        <w:tab/>
      </w:r>
      <w:r>
        <w:rPr>
          <w:color w:val="auto"/>
          <w:szCs w:val="21"/>
          <w:u w:val="single"/>
        </w:rPr>
        <w:tab/>
      </w:r>
      <w:r>
        <w:rPr>
          <w:color w:val="auto"/>
          <w:szCs w:val="21"/>
          <w:u w:val="single"/>
        </w:rPr>
        <w:tab/>
      </w:r>
      <w:r>
        <w:rPr>
          <w:color w:val="auto"/>
          <w:szCs w:val="21"/>
          <w:u w:val="single"/>
        </w:rPr>
        <w:t xml:space="preserve">    </w:t>
      </w:r>
      <w:r>
        <w:rPr>
          <w:color w:val="auto"/>
          <w:szCs w:val="21"/>
          <w:u w:val="single"/>
        </w:rPr>
        <w:tab/>
      </w:r>
      <w:r>
        <w:rPr>
          <w:color w:val="auto"/>
          <w:szCs w:val="21"/>
          <w:u w:val="single"/>
        </w:rPr>
        <w:tab/>
      </w:r>
      <w:r>
        <w:rPr>
          <w:rFonts w:hint="eastAsia"/>
          <w:color w:val="auto"/>
          <w:szCs w:val="21"/>
          <w:u w:val="single"/>
        </w:rPr>
        <w:t xml:space="preserve">    </w:t>
      </w:r>
      <w:r>
        <w:rPr>
          <w:color w:val="auto"/>
          <w:szCs w:val="21"/>
          <w:u w:val="single"/>
        </w:rPr>
        <w:tab/>
      </w:r>
    </w:p>
    <w:p>
      <w:pPr>
        <w:spacing w:line="440" w:lineRule="exact"/>
        <w:ind w:firstLine="4819" w:firstLineChars="2295"/>
        <w:rPr>
          <w:color w:val="auto"/>
          <w:szCs w:val="21"/>
        </w:rPr>
      </w:pPr>
      <w:r>
        <w:rPr>
          <w:color w:val="auto"/>
          <w:szCs w:val="21"/>
        </w:rPr>
        <w:t>邮政编码：</w:t>
      </w:r>
      <w:r>
        <w:rPr>
          <w:color w:val="auto"/>
          <w:szCs w:val="21"/>
          <w:u w:val="single"/>
        </w:rPr>
        <w:tab/>
      </w:r>
      <w:r>
        <w:rPr>
          <w:color w:val="auto"/>
          <w:szCs w:val="21"/>
          <w:u w:val="single"/>
        </w:rPr>
        <w:tab/>
      </w:r>
      <w:r>
        <w:rPr>
          <w:color w:val="auto"/>
          <w:szCs w:val="21"/>
          <w:u w:val="single"/>
        </w:rPr>
        <w:tab/>
      </w:r>
      <w:r>
        <w:rPr>
          <w:color w:val="auto"/>
          <w:szCs w:val="21"/>
          <w:u w:val="single"/>
        </w:rPr>
        <w:tab/>
      </w:r>
      <w:r>
        <w:rPr>
          <w:color w:val="auto"/>
          <w:szCs w:val="21"/>
          <w:u w:val="single"/>
        </w:rPr>
        <w:tab/>
      </w:r>
      <w:r>
        <w:rPr>
          <w:rFonts w:hint="eastAsia"/>
          <w:color w:val="auto"/>
          <w:szCs w:val="21"/>
          <w:u w:val="single"/>
        </w:rPr>
        <w:t xml:space="preserve">    </w:t>
      </w:r>
      <w:r>
        <w:rPr>
          <w:color w:val="auto"/>
          <w:szCs w:val="21"/>
          <w:u w:val="single"/>
        </w:rPr>
        <w:tab/>
      </w:r>
      <w:r>
        <w:rPr>
          <w:color w:val="auto"/>
          <w:szCs w:val="21"/>
          <w:u w:val="single"/>
        </w:rPr>
        <w:tab/>
      </w:r>
    </w:p>
    <w:p>
      <w:pPr>
        <w:spacing w:line="440" w:lineRule="exact"/>
        <w:ind w:firstLine="4819" w:firstLineChars="2295"/>
        <w:rPr>
          <w:rFonts w:hint="eastAsia"/>
          <w:color w:val="auto"/>
          <w:szCs w:val="21"/>
        </w:rPr>
      </w:pPr>
      <w:r>
        <w:rPr>
          <w:color w:val="auto"/>
          <w:szCs w:val="21"/>
        </w:rPr>
        <w:t>电    话：</w:t>
      </w:r>
      <w:r>
        <w:rPr>
          <w:color w:val="auto"/>
          <w:szCs w:val="21"/>
          <w:u w:val="single"/>
        </w:rPr>
        <w:t xml:space="preserve">                    </w:t>
      </w:r>
      <w:r>
        <w:rPr>
          <w:rFonts w:hint="eastAsia"/>
          <w:color w:val="auto"/>
          <w:szCs w:val="21"/>
          <w:u w:val="single"/>
        </w:rPr>
        <w:t xml:space="preserve">    </w:t>
      </w:r>
      <w:r>
        <w:rPr>
          <w:color w:val="auto"/>
          <w:szCs w:val="21"/>
          <w:u w:val="single"/>
        </w:rPr>
        <w:t xml:space="preserve">    </w:t>
      </w:r>
    </w:p>
    <w:p>
      <w:pPr>
        <w:spacing w:line="440" w:lineRule="exact"/>
        <w:ind w:firstLine="4819" w:firstLineChars="2295"/>
        <w:rPr>
          <w:rFonts w:hint="eastAsia"/>
          <w:color w:val="auto"/>
          <w:szCs w:val="21"/>
        </w:rPr>
      </w:pPr>
      <w:r>
        <w:rPr>
          <w:rFonts w:hint="eastAsia"/>
          <w:color w:val="auto"/>
          <w:szCs w:val="21"/>
        </w:rPr>
        <w:t>传</w:t>
      </w:r>
      <w:r>
        <w:rPr>
          <w:color w:val="auto"/>
          <w:szCs w:val="21"/>
        </w:rPr>
        <w:t xml:space="preserve">    </w:t>
      </w:r>
      <w:r>
        <w:rPr>
          <w:rFonts w:hint="eastAsia"/>
          <w:color w:val="auto"/>
          <w:szCs w:val="21"/>
        </w:rPr>
        <w:t>真</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p>
    <w:p>
      <w:pPr>
        <w:spacing w:line="440" w:lineRule="exact"/>
        <w:ind w:firstLine="4819" w:firstLineChars="2295"/>
        <w:rPr>
          <w:color w:val="auto"/>
          <w:szCs w:val="21"/>
        </w:rPr>
      </w:pPr>
    </w:p>
    <w:p>
      <w:pPr>
        <w:spacing w:line="440" w:lineRule="exact"/>
        <w:ind w:firstLine="4819" w:firstLineChars="2295"/>
        <w:rPr>
          <w:color w:val="auto"/>
          <w:szCs w:val="21"/>
        </w:rPr>
      </w:pP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月</w:t>
      </w:r>
      <w:r>
        <w:rPr>
          <w:color w:val="auto"/>
          <w:szCs w:val="21"/>
          <w:u w:val="single"/>
        </w:rPr>
        <w:t xml:space="preserve">      </w:t>
      </w:r>
      <w:r>
        <w:rPr>
          <w:color w:val="auto"/>
          <w:szCs w:val="21"/>
        </w:rPr>
        <w:t>日</w:t>
      </w:r>
    </w:p>
    <w:p>
      <w:pPr>
        <w:rPr>
          <w:rFonts w:hint="eastAsia"/>
          <w:color w:val="auto"/>
        </w:rPr>
      </w:pPr>
    </w:p>
    <w:p>
      <w:pPr>
        <w:spacing w:line="440" w:lineRule="exact"/>
        <w:jc w:val="left"/>
        <w:rPr>
          <w:rFonts w:hint="eastAsia"/>
          <w:color w:val="auto"/>
          <w:szCs w:val="21"/>
        </w:rPr>
      </w:pPr>
      <w:r>
        <w:rPr>
          <w:rFonts w:hint="eastAsia"/>
          <w:color w:val="auto"/>
          <w:szCs w:val="21"/>
        </w:rPr>
        <w:t>注：委托代理人应附授权委托书。</w:t>
      </w:r>
    </w:p>
    <w:p>
      <w:pPr>
        <w:rPr>
          <w:rFonts w:hint="eastAsia"/>
          <w:color w:val="auto"/>
        </w:rPr>
      </w:pPr>
    </w:p>
    <w:p>
      <w:pPr>
        <w:pStyle w:val="2"/>
        <w:spacing w:before="120" w:after="120" w:line="400" w:lineRule="exact"/>
        <w:rPr>
          <w:rFonts w:hint="eastAsia" w:ascii="黑体" w:hAnsi="黑体" w:eastAsia="黑体"/>
          <w:b w:val="0"/>
          <w:bCs w:val="0"/>
          <w:color w:val="auto"/>
          <w:sz w:val="32"/>
        </w:rPr>
      </w:pPr>
      <w:bookmarkStart w:id="2175" w:name="_Toc222033895"/>
      <w:bookmarkStart w:id="2176" w:name="_Toc221951336"/>
      <w:bookmarkStart w:id="2177" w:name="_Toc222029544"/>
      <w:bookmarkStart w:id="2178" w:name="_Toc222031046"/>
      <w:bookmarkStart w:id="2179" w:name="_Toc229305403"/>
      <w:bookmarkStart w:id="2180" w:name="_Toc387753612"/>
      <w:bookmarkStart w:id="2181" w:name="_Toc491089781"/>
      <w:bookmarkStart w:id="2182" w:name="_Toc30991"/>
      <w:bookmarkStart w:id="2183" w:name="_Toc222032713"/>
      <w:r>
        <w:rPr>
          <w:rFonts w:hint="eastAsia" w:ascii="黑体" w:hAnsi="黑体" w:eastAsia="黑体"/>
          <w:b w:val="0"/>
          <w:bCs w:val="0"/>
          <w:color w:val="auto"/>
          <w:sz w:val="32"/>
        </w:rPr>
        <w:t>第五章  工程量清单</w:t>
      </w:r>
      <w:bookmarkEnd w:id="2141"/>
      <w:bookmarkEnd w:id="2142"/>
      <w:bookmarkEnd w:id="2143"/>
      <w:bookmarkEnd w:id="2175"/>
      <w:bookmarkEnd w:id="2176"/>
      <w:bookmarkEnd w:id="2177"/>
      <w:bookmarkEnd w:id="2178"/>
      <w:bookmarkEnd w:id="2179"/>
      <w:bookmarkEnd w:id="2180"/>
      <w:bookmarkEnd w:id="2181"/>
      <w:bookmarkEnd w:id="2182"/>
      <w:bookmarkEnd w:id="2183"/>
    </w:p>
    <w:p>
      <w:pPr>
        <w:pStyle w:val="80"/>
        <w:spacing w:before="120" w:after="120" w:afterLines="50"/>
        <w:rPr>
          <w:rFonts w:hint="eastAsia"/>
          <w:color w:val="auto"/>
        </w:rPr>
      </w:pPr>
      <w:bookmarkStart w:id="2184" w:name="_Toc222029546"/>
      <w:bookmarkStart w:id="2185" w:name="_Toc222033897"/>
      <w:bookmarkStart w:id="2186" w:name="_Toc221951338"/>
      <w:bookmarkStart w:id="2187" w:name="_Toc222031048"/>
      <w:bookmarkStart w:id="2188" w:name="_Toc222032715"/>
      <w:bookmarkStart w:id="2189" w:name="_Toc229305405"/>
      <w:bookmarkStart w:id="2190" w:name="_Toc387753613"/>
      <w:bookmarkStart w:id="2191" w:name="_Toc491089782"/>
      <w:bookmarkStart w:id="2192" w:name="_Toc21812"/>
      <w:r>
        <w:rPr>
          <w:rFonts w:hint="eastAsia"/>
          <w:color w:val="auto"/>
        </w:rPr>
        <w:t>1. 工程量清单说明</w:t>
      </w:r>
      <w:bookmarkEnd w:id="2184"/>
      <w:bookmarkEnd w:id="2185"/>
      <w:bookmarkEnd w:id="2186"/>
      <w:bookmarkEnd w:id="2187"/>
      <w:bookmarkEnd w:id="2188"/>
      <w:bookmarkEnd w:id="2189"/>
      <w:bookmarkEnd w:id="2190"/>
      <w:bookmarkEnd w:id="2191"/>
      <w:bookmarkEnd w:id="2192"/>
    </w:p>
    <w:p>
      <w:pPr>
        <w:spacing w:line="400" w:lineRule="exact"/>
        <w:ind w:firstLine="424" w:firstLineChars="202"/>
        <w:rPr>
          <w:rFonts w:hint="eastAsia"/>
          <w:color w:val="auto"/>
        </w:rPr>
      </w:pPr>
      <w:bookmarkStart w:id="2193" w:name="_Toc221951339"/>
      <w:r>
        <w:rPr>
          <w:rFonts w:hint="eastAsia"/>
          <w:color w:val="auto"/>
        </w:rPr>
        <w:t>1.1 工程量清单应与招标文件中的投标人须知、通用合同条款、专用合同条款、技术标准和要求（合同技术条款）、图纸及《水利工程工程量清单计价规范》（GB50501-2007）等一起阅读和理解。</w:t>
      </w:r>
      <w:bookmarkEnd w:id="2193"/>
    </w:p>
    <w:p>
      <w:pPr>
        <w:spacing w:line="400" w:lineRule="exact"/>
        <w:ind w:firstLine="424" w:firstLineChars="202"/>
        <w:rPr>
          <w:rFonts w:hint="eastAsia"/>
          <w:color w:val="auto"/>
        </w:rPr>
      </w:pPr>
      <w:bookmarkStart w:id="2194" w:name="_Toc221951340"/>
      <w:r>
        <w:rPr>
          <w:rFonts w:hint="eastAsia"/>
          <w:color w:val="auto"/>
        </w:rPr>
        <w:t>1.2 本工程量清单仅是投标人投标报价的共同基础，除另有约定外，工程量清单中的工程量是根据招标设计图纸按《水利工程工程量清单计价规范》（GB50501-2007）计算规则计算的用于投标报价的估算工程量，不作为最终结算的工程量。最终结算工程量是承包人实际完成并符合技术标准和要求（合同技术条款）和《水利工程工程量清单计价规范》（GB50501-2007）计算规划等规定，按施工图纸计算的有效工程量。</w:t>
      </w:r>
      <w:bookmarkEnd w:id="2194"/>
    </w:p>
    <w:p>
      <w:pPr>
        <w:spacing w:line="400" w:lineRule="exact"/>
        <w:ind w:firstLine="424" w:firstLineChars="202"/>
        <w:rPr>
          <w:rFonts w:hint="eastAsia"/>
          <w:color w:val="auto"/>
        </w:rPr>
      </w:pPr>
      <w:bookmarkStart w:id="2195" w:name="_Toc221951341"/>
      <w:r>
        <w:rPr>
          <w:rFonts w:hint="eastAsia"/>
          <w:color w:val="auto"/>
        </w:rPr>
        <w:t>1.3工程量清单中各项目的工作内容和要求应符合技术标准和要求（合同技术条款）以及《水利工程工程量清单计价规范》（GB50501-2007）的规定。</w:t>
      </w:r>
      <w:bookmarkEnd w:id="2195"/>
    </w:p>
    <w:p>
      <w:pPr>
        <w:spacing w:line="400" w:lineRule="exact"/>
        <w:ind w:firstLine="424" w:firstLineChars="202"/>
        <w:rPr>
          <w:rFonts w:hint="eastAsia"/>
          <w:color w:val="auto"/>
        </w:rPr>
      </w:pPr>
      <w:bookmarkStart w:id="2196" w:name="_Toc221951342"/>
      <w:r>
        <w:rPr>
          <w:rFonts w:hint="eastAsia"/>
          <w:color w:val="auto"/>
        </w:rPr>
        <w:t>1.4工程价款的支付遵循合同条款的约定。</w:t>
      </w:r>
      <w:bookmarkEnd w:id="2196"/>
    </w:p>
    <w:p>
      <w:pPr>
        <w:spacing w:line="400" w:lineRule="exact"/>
        <w:ind w:firstLine="424" w:firstLineChars="202"/>
        <w:rPr>
          <w:rFonts w:hint="eastAsia"/>
          <w:color w:val="auto"/>
        </w:rPr>
      </w:pPr>
      <w:r>
        <w:rPr>
          <w:rFonts w:hint="eastAsia"/>
          <w:color w:val="auto"/>
        </w:rPr>
        <w:t>1.5 工程量清单其他说明：</w:t>
      </w:r>
      <w:r>
        <w:rPr>
          <w:rFonts w:hint="eastAsia"/>
          <w:color w:val="auto"/>
          <w:u w:val="single"/>
        </w:rPr>
        <w:t xml:space="preserve">       </w:t>
      </w:r>
      <w:r>
        <w:rPr>
          <w:rFonts w:hint="eastAsia"/>
          <w:color w:val="auto"/>
        </w:rPr>
        <w:t xml:space="preserve"> 。</w:t>
      </w:r>
    </w:p>
    <w:p>
      <w:pPr>
        <w:pStyle w:val="80"/>
        <w:spacing w:before="120" w:after="120" w:afterLines="50"/>
        <w:rPr>
          <w:rFonts w:hint="eastAsia"/>
          <w:color w:val="auto"/>
        </w:rPr>
      </w:pPr>
      <w:bookmarkStart w:id="2197" w:name="_Toc26046"/>
      <w:bookmarkStart w:id="2198" w:name="_Toc221951343"/>
      <w:bookmarkStart w:id="2199" w:name="_Toc222029547"/>
      <w:bookmarkStart w:id="2200" w:name="_Toc222031049"/>
      <w:bookmarkStart w:id="2201" w:name="_Toc222032716"/>
      <w:bookmarkStart w:id="2202" w:name="_Toc229305406"/>
      <w:bookmarkStart w:id="2203" w:name="_Toc387753614"/>
      <w:bookmarkStart w:id="2204" w:name="_Toc491089783"/>
      <w:bookmarkStart w:id="2205" w:name="_Toc222033898"/>
      <w:r>
        <w:rPr>
          <w:rFonts w:hint="eastAsia"/>
          <w:color w:val="auto"/>
        </w:rPr>
        <w:t>2. 投标报价说明</w:t>
      </w:r>
      <w:bookmarkEnd w:id="2197"/>
      <w:bookmarkEnd w:id="2198"/>
      <w:bookmarkEnd w:id="2199"/>
      <w:bookmarkEnd w:id="2200"/>
      <w:bookmarkEnd w:id="2201"/>
      <w:bookmarkEnd w:id="2202"/>
      <w:bookmarkEnd w:id="2203"/>
      <w:bookmarkEnd w:id="2204"/>
      <w:bookmarkEnd w:id="2205"/>
    </w:p>
    <w:p>
      <w:pPr>
        <w:pStyle w:val="4"/>
        <w:rPr>
          <w:rFonts w:hint="eastAsia"/>
          <w:b w:val="0"/>
          <w:color w:val="auto"/>
        </w:rPr>
      </w:pPr>
      <w:bookmarkStart w:id="2206" w:name="_Toc221951345"/>
      <w:bookmarkStart w:id="2207" w:name="_Toc491089784"/>
      <w:bookmarkStart w:id="2208" w:name="_Toc20902"/>
      <w:r>
        <w:rPr>
          <w:rFonts w:hint="eastAsia"/>
          <w:b w:val="0"/>
          <w:color w:val="auto"/>
        </w:rPr>
        <w:t>2.1 工程量清单报价表</w:t>
      </w:r>
      <w:bookmarkEnd w:id="2206"/>
      <w:r>
        <w:rPr>
          <w:rFonts w:hint="eastAsia"/>
          <w:b w:val="0"/>
          <w:color w:val="auto"/>
        </w:rPr>
        <w:t>组成</w:t>
      </w:r>
      <w:bookmarkEnd w:id="2207"/>
      <w:bookmarkEnd w:id="2208"/>
    </w:p>
    <w:p>
      <w:pPr>
        <w:spacing w:line="400" w:lineRule="exact"/>
        <w:ind w:firstLine="424" w:firstLineChars="202"/>
        <w:rPr>
          <w:rFonts w:hint="eastAsia"/>
          <w:color w:val="auto"/>
        </w:rPr>
      </w:pPr>
      <w:r>
        <w:rPr>
          <w:rFonts w:hint="eastAsia"/>
          <w:color w:val="auto"/>
        </w:rPr>
        <w:t>工程量清单报价表由以下表格组成：</w:t>
      </w:r>
    </w:p>
    <w:p>
      <w:pPr>
        <w:numPr>
          <w:ilvl w:val="3"/>
          <w:numId w:val="8"/>
        </w:numPr>
        <w:spacing w:line="400" w:lineRule="exact"/>
        <w:rPr>
          <w:rFonts w:hint="eastAsia"/>
          <w:color w:val="auto"/>
        </w:rPr>
      </w:pPr>
      <w:r>
        <w:rPr>
          <w:rFonts w:hint="eastAsia"/>
          <w:color w:val="auto"/>
        </w:rPr>
        <w:t>投标总价；</w:t>
      </w:r>
    </w:p>
    <w:p>
      <w:pPr>
        <w:numPr>
          <w:ilvl w:val="3"/>
          <w:numId w:val="8"/>
        </w:numPr>
        <w:spacing w:line="400" w:lineRule="exact"/>
        <w:rPr>
          <w:rFonts w:hint="eastAsia"/>
          <w:color w:val="auto"/>
        </w:rPr>
      </w:pPr>
      <w:r>
        <w:rPr>
          <w:rFonts w:hint="eastAsia"/>
          <w:color w:val="auto"/>
        </w:rPr>
        <w:t>工程项目总价表；</w:t>
      </w:r>
    </w:p>
    <w:p>
      <w:pPr>
        <w:numPr>
          <w:ilvl w:val="3"/>
          <w:numId w:val="8"/>
        </w:numPr>
        <w:spacing w:line="400" w:lineRule="exact"/>
        <w:rPr>
          <w:rFonts w:hint="eastAsia"/>
          <w:color w:val="auto"/>
        </w:rPr>
      </w:pPr>
      <w:r>
        <w:rPr>
          <w:rFonts w:hint="eastAsia"/>
          <w:color w:val="auto"/>
        </w:rPr>
        <w:t>分类分项工程量清单计价表；</w:t>
      </w:r>
    </w:p>
    <w:p>
      <w:pPr>
        <w:numPr>
          <w:ilvl w:val="3"/>
          <w:numId w:val="8"/>
        </w:numPr>
        <w:spacing w:line="400" w:lineRule="exact"/>
        <w:rPr>
          <w:rFonts w:hint="eastAsia"/>
          <w:color w:val="auto"/>
        </w:rPr>
      </w:pPr>
      <w:r>
        <w:rPr>
          <w:rFonts w:hint="eastAsia"/>
          <w:color w:val="auto"/>
        </w:rPr>
        <w:t>措施项目清单计价表；</w:t>
      </w:r>
    </w:p>
    <w:p>
      <w:pPr>
        <w:numPr>
          <w:ilvl w:val="3"/>
          <w:numId w:val="8"/>
        </w:numPr>
        <w:spacing w:line="400" w:lineRule="exact"/>
        <w:rPr>
          <w:rFonts w:hint="eastAsia"/>
          <w:color w:val="auto"/>
        </w:rPr>
      </w:pPr>
      <w:r>
        <w:rPr>
          <w:rFonts w:hint="eastAsia"/>
          <w:color w:val="auto"/>
        </w:rPr>
        <w:t>其它项目清单计价表；</w:t>
      </w:r>
    </w:p>
    <w:p>
      <w:pPr>
        <w:numPr>
          <w:ilvl w:val="3"/>
          <w:numId w:val="8"/>
        </w:numPr>
        <w:spacing w:line="400" w:lineRule="exact"/>
        <w:rPr>
          <w:rFonts w:hint="eastAsia"/>
          <w:color w:val="auto"/>
        </w:rPr>
      </w:pPr>
      <w:bookmarkStart w:id="2209" w:name="_Toc221951351"/>
      <w:r>
        <w:rPr>
          <w:rFonts w:hint="eastAsia"/>
          <w:color w:val="auto"/>
        </w:rPr>
        <w:t>计日工项目计价表</w:t>
      </w:r>
      <w:bookmarkEnd w:id="2209"/>
      <w:r>
        <w:rPr>
          <w:rFonts w:hint="eastAsia"/>
          <w:color w:val="auto"/>
        </w:rPr>
        <w:t>；</w:t>
      </w:r>
    </w:p>
    <w:p>
      <w:pPr>
        <w:numPr>
          <w:ilvl w:val="3"/>
          <w:numId w:val="8"/>
        </w:numPr>
        <w:spacing w:line="400" w:lineRule="exact"/>
        <w:rPr>
          <w:rFonts w:hint="eastAsia"/>
          <w:color w:val="auto"/>
        </w:rPr>
      </w:pPr>
      <w:bookmarkStart w:id="2210" w:name="_Toc221951352"/>
      <w:r>
        <w:rPr>
          <w:rFonts w:hint="eastAsia"/>
          <w:color w:val="auto"/>
        </w:rPr>
        <w:t>工程单价汇总表</w:t>
      </w:r>
      <w:bookmarkEnd w:id="2210"/>
      <w:r>
        <w:rPr>
          <w:rFonts w:hint="eastAsia"/>
          <w:color w:val="auto"/>
        </w:rPr>
        <w:t>；</w:t>
      </w:r>
    </w:p>
    <w:p>
      <w:pPr>
        <w:numPr>
          <w:ilvl w:val="3"/>
          <w:numId w:val="8"/>
        </w:numPr>
        <w:spacing w:line="400" w:lineRule="exact"/>
        <w:rPr>
          <w:rFonts w:hint="eastAsia"/>
          <w:color w:val="auto"/>
        </w:rPr>
      </w:pPr>
      <w:r>
        <w:rPr>
          <w:rFonts w:hint="eastAsia"/>
          <w:color w:val="auto"/>
        </w:rPr>
        <w:t>工程单价费(税)率汇总表；</w:t>
      </w:r>
    </w:p>
    <w:p>
      <w:pPr>
        <w:numPr>
          <w:ilvl w:val="3"/>
          <w:numId w:val="8"/>
        </w:numPr>
        <w:spacing w:line="400" w:lineRule="exact"/>
        <w:rPr>
          <w:rFonts w:hint="eastAsia"/>
          <w:color w:val="auto"/>
        </w:rPr>
      </w:pPr>
      <w:r>
        <w:rPr>
          <w:rFonts w:hint="eastAsia"/>
          <w:color w:val="auto"/>
        </w:rPr>
        <w:t>投标人生产电、风、水、砂石基础单价汇总表；</w:t>
      </w:r>
    </w:p>
    <w:p>
      <w:pPr>
        <w:numPr>
          <w:ilvl w:val="3"/>
          <w:numId w:val="8"/>
        </w:numPr>
        <w:spacing w:line="400" w:lineRule="exact"/>
        <w:rPr>
          <w:rFonts w:hint="eastAsia"/>
          <w:color w:val="auto"/>
        </w:rPr>
      </w:pPr>
      <w:r>
        <w:rPr>
          <w:rFonts w:hint="eastAsia"/>
          <w:color w:val="auto"/>
        </w:rPr>
        <w:t>投标人生产混凝土配合比材料费表；</w:t>
      </w:r>
    </w:p>
    <w:p>
      <w:pPr>
        <w:numPr>
          <w:ilvl w:val="3"/>
          <w:numId w:val="8"/>
        </w:numPr>
        <w:spacing w:line="400" w:lineRule="exact"/>
        <w:rPr>
          <w:rFonts w:hint="eastAsia"/>
          <w:color w:val="auto"/>
        </w:rPr>
      </w:pPr>
      <w:bookmarkStart w:id="2211" w:name="_Toc221951356"/>
      <w:r>
        <w:rPr>
          <w:rFonts w:hint="eastAsia"/>
          <w:color w:val="auto"/>
        </w:rPr>
        <w:t>招标人供应材料价格汇总表；(若招标人提供)</w:t>
      </w:r>
      <w:bookmarkEnd w:id="2211"/>
    </w:p>
    <w:p>
      <w:pPr>
        <w:numPr>
          <w:ilvl w:val="3"/>
          <w:numId w:val="8"/>
        </w:numPr>
        <w:spacing w:line="400" w:lineRule="exact"/>
        <w:rPr>
          <w:rFonts w:hint="eastAsia"/>
          <w:color w:val="auto"/>
        </w:rPr>
      </w:pPr>
      <w:bookmarkStart w:id="2212" w:name="_Toc221951357"/>
      <w:r>
        <w:rPr>
          <w:rFonts w:hint="eastAsia"/>
          <w:color w:val="auto"/>
        </w:rPr>
        <w:t>投标人自行采购主要材料预算价格汇总表</w:t>
      </w:r>
      <w:bookmarkEnd w:id="2212"/>
      <w:r>
        <w:rPr>
          <w:rFonts w:hint="eastAsia"/>
          <w:color w:val="auto"/>
        </w:rPr>
        <w:t>；</w:t>
      </w:r>
    </w:p>
    <w:p>
      <w:pPr>
        <w:numPr>
          <w:ilvl w:val="3"/>
          <w:numId w:val="8"/>
        </w:numPr>
        <w:spacing w:line="400" w:lineRule="exact"/>
        <w:rPr>
          <w:rFonts w:hint="eastAsia"/>
          <w:color w:val="auto"/>
        </w:rPr>
      </w:pPr>
      <w:bookmarkStart w:id="2213" w:name="_Toc221951358"/>
      <w:r>
        <w:rPr>
          <w:rFonts w:hint="eastAsia"/>
          <w:color w:val="auto"/>
        </w:rPr>
        <w:t>招标人提供施工机械台时(班)费汇总表；(若招标人提供)</w:t>
      </w:r>
      <w:bookmarkEnd w:id="2213"/>
    </w:p>
    <w:p>
      <w:pPr>
        <w:numPr>
          <w:ilvl w:val="3"/>
          <w:numId w:val="8"/>
        </w:numPr>
        <w:spacing w:line="400" w:lineRule="exact"/>
        <w:rPr>
          <w:rFonts w:hint="eastAsia"/>
          <w:color w:val="auto"/>
        </w:rPr>
      </w:pPr>
      <w:bookmarkStart w:id="2214" w:name="_Toc221951359"/>
      <w:r>
        <w:rPr>
          <w:rFonts w:hint="eastAsia"/>
          <w:color w:val="auto"/>
        </w:rPr>
        <w:t>投标人自备施工机械台时(班)费汇总表</w:t>
      </w:r>
      <w:bookmarkEnd w:id="2214"/>
      <w:r>
        <w:rPr>
          <w:rFonts w:hint="eastAsia"/>
          <w:color w:val="auto"/>
        </w:rPr>
        <w:t>；</w:t>
      </w:r>
    </w:p>
    <w:p>
      <w:pPr>
        <w:numPr>
          <w:ilvl w:val="3"/>
          <w:numId w:val="8"/>
        </w:numPr>
        <w:spacing w:line="400" w:lineRule="exact"/>
        <w:rPr>
          <w:rFonts w:hint="eastAsia"/>
          <w:color w:val="auto"/>
        </w:rPr>
      </w:pPr>
      <w:bookmarkStart w:id="2215" w:name="_Toc221951360"/>
      <w:r>
        <w:rPr>
          <w:rFonts w:hint="eastAsia"/>
          <w:color w:val="auto"/>
        </w:rPr>
        <w:t>总价项目分类分项工程分解表</w:t>
      </w:r>
      <w:bookmarkEnd w:id="2215"/>
      <w:r>
        <w:rPr>
          <w:rFonts w:hint="eastAsia"/>
          <w:color w:val="auto"/>
        </w:rPr>
        <w:t>；</w:t>
      </w:r>
    </w:p>
    <w:p>
      <w:pPr>
        <w:numPr>
          <w:ilvl w:val="3"/>
          <w:numId w:val="8"/>
        </w:numPr>
        <w:spacing w:line="400" w:lineRule="exact"/>
        <w:rPr>
          <w:rFonts w:hint="eastAsia"/>
          <w:color w:val="auto"/>
        </w:rPr>
      </w:pPr>
      <w:r>
        <w:rPr>
          <w:rFonts w:hint="eastAsia"/>
          <w:color w:val="auto"/>
        </w:rPr>
        <w:t>工程单价计算表；</w:t>
      </w:r>
    </w:p>
    <w:p>
      <w:pPr>
        <w:numPr>
          <w:ilvl w:val="3"/>
          <w:numId w:val="8"/>
        </w:numPr>
        <w:spacing w:line="400" w:lineRule="exact"/>
        <w:rPr>
          <w:rFonts w:hint="eastAsia"/>
          <w:color w:val="auto"/>
        </w:rPr>
      </w:pPr>
      <w:r>
        <w:rPr>
          <w:rFonts w:hint="eastAsia"/>
          <w:color w:val="auto"/>
        </w:rPr>
        <w:t>人工费单价汇总表。</w:t>
      </w:r>
    </w:p>
    <w:p>
      <w:pPr>
        <w:pStyle w:val="4"/>
        <w:rPr>
          <w:rFonts w:hint="eastAsia"/>
          <w:b w:val="0"/>
          <w:color w:val="auto"/>
        </w:rPr>
      </w:pPr>
      <w:bookmarkStart w:id="2216" w:name="_Toc20487"/>
      <w:bookmarkStart w:id="2217" w:name="_Toc221951363"/>
      <w:bookmarkStart w:id="2218" w:name="_Toc491089785"/>
      <w:r>
        <w:rPr>
          <w:rFonts w:hint="eastAsia"/>
          <w:b w:val="0"/>
          <w:color w:val="auto"/>
        </w:rPr>
        <w:t>2.2 工程量清单报价表填写规定</w:t>
      </w:r>
      <w:bookmarkEnd w:id="2216"/>
      <w:bookmarkEnd w:id="2217"/>
      <w:bookmarkEnd w:id="2218"/>
      <w:r>
        <w:rPr>
          <w:rFonts w:hint="eastAsia"/>
          <w:b w:val="0"/>
          <w:color w:val="auto"/>
        </w:rPr>
        <w:t xml:space="preserve"> </w:t>
      </w:r>
    </w:p>
    <w:p>
      <w:pPr>
        <w:numPr>
          <w:ilvl w:val="0"/>
          <w:numId w:val="9"/>
        </w:numPr>
        <w:spacing w:line="400" w:lineRule="exact"/>
        <w:rPr>
          <w:rFonts w:hint="eastAsia"/>
          <w:color w:val="auto"/>
        </w:rPr>
      </w:pPr>
      <w:bookmarkStart w:id="2219" w:name="_Toc221951364"/>
      <w:r>
        <w:rPr>
          <w:rFonts w:hint="eastAsia"/>
          <w:color w:val="auto"/>
        </w:rPr>
        <w:t>除招标文件另有规定外，投标人不得随意增加、删除或涂改招标文件工程量清单中的任何内容。工程量清单中列明的所有需要填写的单价和合价，投标人均应填写。未填写的单价和合价，则视为已包括在其它单价和合价中。</w:t>
      </w:r>
    </w:p>
    <w:p>
      <w:pPr>
        <w:numPr>
          <w:ilvl w:val="0"/>
          <w:numId w:val="9"/>
        </w:numPr>
        <w:spacing w:line="400" w:lineRule="exact"/>
        <w:rPr>
          <w:rFonts w:hint="eastAsia"/>
          <w:color w:val="auto"/>
        </w:rPr>
      </w:pPr>
      <w:r>
        <w:rPr>
          <w:rFonts w:hint="eastAsia"/>
          <w:color w:val="auto"/>
        </w:rPr>
        <w:t>工程量清单中的工程单价是完成工程量清单中一个质量合格的规定计量单位项目所需的直接费（包括人工费、材料费、机械使用费和季节、夜间、高原、风沙等原因增加的直接费）、施工管理费、企业利润和税金，并考虑到风险因素。投标人应根据规定的工程单价组成内容，按招标文件和《水利工程工程量清单计价规范》（GB50501-2007）附录A和附录B中的“主要工作内容”确定工程单价。除另有规定外，对有效工程量以外的超挖、超填工程量，施工附加量，加工、运输损耗量等，所消耗的人工、材料和机械费用，均应摊入相应有效工程量的工程单价内。</w:t>
      </w:r>
      <w:bookmarkEnd w:id="2219"/>
    </w:p>
    <w:p>
      <w:pPr>
        <w:numPr>
          <w:ilvl w:val="0"/>
          <w:numId w:val="9"/>
        </w:numPr>
        <w:spacing w:line="400" w:lineRule="exact"/>
        <w:rPr>
          <w:rFonts w:hint="eastAsia"/>
          <w:color w:val="auto"/>
        </w:rPr>
      </w:pPr>
      <w:bookmarkStart w:id="2220" w:name="_Toc221951365"/>
      <w:r>
        <w:rPr>
          <w:rFonts w:hint="eastAsia"/>
          <w:color w:val="auto"/>
        </w:rPr>
        <w:t>投标金额(价格)均应</w:t>
      </w:r>
      <w:r>
        <w:rPr>
          <w:color w:val="auto"/>
        </w:rPr>
        <w:t>以</w:t>
      </w:r>
      <w:r>
        <w:rPr>
          <w:rFonts w:hint="eastAsia"/>
          <w:color w:val="auto"/>
        </w:rPr>
        <w:t>人民</w:t>
      </w:r>
      <w:r>
        <w:rPr>
          <w:color w:val="auto"/>
        </w:rPr>
        <w:t>币表示</w:t>
      </w:r>
      <w:r>
        <w:rPr>
          <w:rFonts w:hint="eastAsia"/>
          <w:color w:val="auto"/>
        </w:rPr>
        <w:t>。</w:t>
      </w:r>
      <w:bookmarkEnd w:id="2220"/>
    </w:p>
    <w:p>
      <w:pPr>
        <w:numPr>
          <w:ilvl w:val="0"/>
          <w:numId w:val="9"/>
        </w:numPr>
        <w:spacing w:line="400" w:lineRule="exact"/>
        <w:rPr>
          <w:rFonts w:hint="eastAsia"/>
          <w:color w:val="auto"/>
        </w:rPr>
      </w:pPr>
      <w:bookmarkStart w:id="2221" w:name="_Toc221951366"/>
      <w:r>
        <w:rPr>
          <w:rFonts w:hint="eastAsia"/>
          <w:color w:val="auto"/>
        </w:rPr>
        <w:t>投标总价应按工程项目总价表合计金额填写。</w:t>
      </w:r>
      <w:bookmarkEnd w:id="2221"/>
    </w:p>
    <w:p>
      <w:pPr>
        <w:numPr>
          <w:ilvl w:val="0"/>
          <w:numId w:val="9"/>
        </w:numPr>
        <w:spacing w:line="400" w:lineRule="exact"/>
        <w:rPr>
          <w:rFonts w:hint="eastAsia"/>
          <w:color w:val="auto"/>
        </w:rPr>
      </w:pPr>
      <w:bookmarkStart w:id="2222" w:name="_Toc221951367"/>
      <w:r>
        <w:rPr>
          <w:rFonts w:hint="eastAsia"/>
          <w:color w:val="auto"/>
        </w:rPr>
        <w:t>工程项目总价表中一级项目名称按招标文件工程项目总价表中的相应名称填写，并按分类分项工程量清单计价表中相应项目合计金额填写。</w:t>
      </w:r>
      <w:bookmarkEnd w:id="2222"/>
    </w:p>
    <w:p>
      <w:pPr>
        <w:numPr>
          <w:ilvl w:val="0"/>
          <w:numId w:val="9"/>
        </w:numPr>
        <w:spacing w:line="400" w:lineRule="exact"/>
        <w:rPr>
          <w:rFonts w:hint="eastAsia"/>
          <w:color w:val="auto"/>
        </w:rPr>
      </w:pPr>
      <w:bookmarkStart w:id="2223" w:name="_Toc221951368"/>
      <w:r>
        <w:rPr>
          <w:rFonts w:hint="eastAsia"/>
          <w:color w:val="auto"/>
        </w:rPr>
        <w:t>分类分项工程量清单计价表</w:t>
      </w:r>
      <w:bookmarkEnd w:id="2223"/>
      <w:bookmarkStart w:id="2224" w:name="_Toc221951369"/>
      <w:r>
        <w:rPr>
          <w:rFonts w:hint="eastAsia"/>
          <w:color w:val="auto"/>
        </w:rPr>
        <w:t>中的序号、项目编码、项目名称、计量单位、工程数量和合同技术条款章节号，按招标文件分类分项工程量清单计价表中的相应内容填写，并填写相应项目的单价和合价</w:t>
      </w:r>
      <w:bookmarkEnd w:id="2224"/>
      <w:r>
        <w:rPr>
          <w:rFonts w:hint="eastAsia"/>
          <w:color w:val="auto"/>
        </w:rPr>
        <w:t>。</w:t>
      </w:r>
    </w:p>
    <w:p>
      <w:pPr>
        <w:numPr>
          <w:ilvl w:val="0"/>
          <w:numId w:val="9"/>
        </w:numPr>
        <w:spacing w:line="400" w:lineRule="exact"/>
        <w:rPr>
          <w:rFonts w:hint="eastAsia"/>
          <w:color w:val="auto"/>
        </w:rPr>
      </w:pPr>
      <w:bookmarkStart w:id="2225" w:name="_Toc221951371"/>
      <w:r>
        <w:rPr>
          <w:rFonts w:hint="eastAsia"/>
          <w:color w:val="auto"/>
        </w:rPr>
        <w:t>措施项目清单计价表中的序号、项目名称按招标文件措施项目清单计价表中的相应内容填写，并填写相应措施项目的金额和合计金额。</w:t>
      </w:r>
      <w:bookmarkEnd w:id="2225"/>
    </w:p>
    <w:p>
      <w:pPr>
        <w:numPr>
          <w:ilvl w:val="0"/>
          <w:numId w:val="9"/>
        </w:numPr>
        <w:spacing w:line="400" w:lineRule="exact"/>
        <w:rPr>
          <w:rFonts w:hint="eastAsia"/>
          <w:color w:val="auto"/>
        </w:rPr>
      </w:pPr>
      <w:bookmarkStart w:id="2226" w:name="_Toc221951372"/>
      <w:r>
        <w:rPr>
          <w:rFonts w:hint="eastAsia"/>
          <w:color w:val="auto"/>
        </w:rPr>
        <w:t>其它项目清单计价表中的序号、项目名称、金额，按招标文件其它项目清单计价表中的相应内容填写。</w:t>
      </w:r>
      <w:bookmarkEnd w:id="2226"/>
    </w:p>
    <w:p>
      <w:pPr>
        <w:numPr>
          <w:ilvl w:val="0"/>
          <w:numId w:val="9"/>
        </w:numPr>
        <w:spacing w:line="400" w:lineRule="exact"/>
        <w:rPr>
          <w:rFonts w:hint="eastAsia"/>
          <w:color w:val="auto"/>
        </w:rPr>
      </w:pPr>
      <w:bookmarkStart w:id="2227" w:name="_Toc221951373"/>
      <w:r>
        <w:rPr>
          <w:rFonts w:hint="eastAsia"/>
          <w:color w:val="auto"/>
        </w:rPr>
        <w:t>计日工项目计价表的序号、人工、材料、机械的名称、规格型号以及计量单位，按招标文件计日工项目清单计价表中的相应内容填写，并填写相应项目单价。</w:t>
      </w:r>
      <w:bookmarkEnd w:id="2227"/>
    </w:p>
    <w:p>
      <w:pPr>
        <w:numPr>
          <w:ilvl w:val="0"/>
          <w:numId w:val="9"/>
        </w:numPr>
        <w:spacing w:line="400" w:lineRule="exact"/>
        <w:rPr>
          <w:rFonts w:hint="eastAsia"/>
          <w:color w:val="auto"/>
        </w:rPr>
      </w:pPr>
      <w:bookmarkStart w:id="2228" w:name="_Toc221951374"/>
      <w:r>
        <w:rPr>
          <w:rFonts w:hint="eastAsia"/>
          <w:color w:val="auto"/>
        </w:rPr>
        <w:t>辅助表格填写</w:t>
      </w:r>
      <w:bookmarkEnd w:id="2228"/>
    </w:p>
    <w:p>
      <w:pPr>
        <w:spacing w:line="400" w:lineRule="exact"/>
        <w:ind w:firstLine="735" w:firstLineChars="350"/>
        <w:rPr>
          <w:rFonts w:hint="eastAsia"/>
          <w:color w:val="auto"/>
        </w:rPr>
      </w:pPr>
      <w:bookmarkStart w:id="2229" w:name="_Toc221951375"/>
      <w:r>
        <w:rPr>
          <w:rFonts w:hint="eastAsia"/>
          <w:color w:val="auto"/>
        </w:rPr>
        <w:t>1) 工程单价汇总表，按工程单价计算表中的相应内容、价格(费率)填写</w:t>
      </w:r>
      <w:bookmarkEnd w:id="2229"/>
      <w:r>
        <w:rPr>
          <w:rFonts w:hint="eastAsia"/>
          <w:color w:val="auto"/>
        </w:rPr>
        <w:t>。</w:t>
      </w:r>
    </w:p>
    <w:p>
      <w:pPr>
        <w:spacing w:line="400" w:lineRule="exact"/>
        <w:ind w:firstLine="735" w:firstLineChars="350"/>
        <w:rPr>
          <w:rFonts w:hint="eastAsia"/>
          <w:color w:val="auto"/>
        </w:rPr>
      </w:pPr>
      <w:bookmarkStart w:id="2230" w:name="_Toc221951376"/>
      <w:r>
        <w:rPr>
          <w:rFonts w:hint="eastAsia"/>
          <w:color w:val="auto"/>
        </w:rPr>
        <w:t>2) 工程单价费(税)率汇总表，按工程单价计算表中的相应内容、费(税)率填写</w:t>
      </w:r>
      <w:bookmarkEnd w:id="2230"/>
      <w:r>
        <w:rPr>
          <w:rFonts w:hint="eastAsia"/>
          <w:color w:val="auto"/>
        </w:rPr>
        <w:t>。</w:t>
      </w:r>
    </w:p>
    <w:p>
      <w:pPr>
        <w:spacing w:line="400" w:lineRule="exact"/>
        <w:ind w:firstLine="735" w:firstLineChars="350"/>
        <w:rPr>
          <w:rFonts w:hint="eastAsia"/>
          <w:color w:val="auto"/>
        </w:rPr>
      </w:pPr>
      <w:bookmarkStart w:id="2231" w:name="_Toc221951377"/>
      <w:r>
        <w:rPr>
          <w:rFonts w:hint="eastAsia"/>
          <w:color w:val="auto"/>
        </w:rPr>
        <w:t>3) 投标人生产电、风、水、砂石基础单价汇总表，按基础单价分析计算成果的相应内容、价格填写，并附相应基础单价的分析计算书</w:t>
      </w:r>
      <w:bookmarkEnd w:id="2231"/>
      <w:r>
        <w:rPr>
          <w:rFonts w:hint="eastAsia"/>
          <w:color w:val="auto"/>
        </w:rPr>
        <w:t>。</w:t>
      </w:r>
    </w:p>
    <w:p>
      <w:pPr>
        <w:spacing w:line="400" w:lineRule="exact"/>
        <w:ind w:firstLine="735" w:firstLineChars="350"/>
        <w:rPr>
          <w:rFonts w:hint="eastAsia"/>
          <w:color w:val="auto"/>
        </w:rPr>
      </w:pPr>
      <w:bookmarkStart w:id="2232" w:name="_Toc221951378"/>
      <w:r>
        <w:rPr>
          <w:rFonts w:hint="eastAsia"/>
          <w:color w:val="auto"/>
        </w:rPr>
        <w:t>4) 投标人生产混凝土配合比材料费表，按表中工程部位、混凝土强度等级（附抗渗、抗冻等级）、水泥强度等级、级配、水灰比、相应材料用量和单价填写，填写的单价必须与工程单价计算表中采用的相应混凝土材料单价一致</w:t>
      </w:r>
      <w:bookmarkEnd w:id="2232"/>
      <w:r>
        <w:rPr>
          <w:rFonts w:hint="eastAsia"/>
          <w:color w:val="auto"/>
        </w:rPr>
        <w:t>。</w:t>
      </w:r>
    </w:p>
    <w:p>
      <w:pPr>
        <w:spacing w:line="400" w:lineRule="exact"/>
        <w:ind w:firstLine="735" w:firstLineChars="350"/>
        <w:rPr>
          <w:rFonts w:hint="eastAsia"/>
          <w:color w:val="auto"/>
        </w:rPr>
      </w:pPr>
      <w:bookmarkStart w:id="2233" w:name="_Toc221951379"/>
      <w:r>
        <w:rPr>
          <w:rFonts w:hint="eastAsia"/>
          <w:color w:val="auto"/>
        </w:rPr>
        <w:t>5) 招标人供应材料价格汇总表，按招标人供应的材料名称、规格型号、计量单位和供应价填写，并填写经分析计算后的相应材料预算价格，填写的预算价格必须与工程单价计算表中采用的相应材料预算价格一致（若招标人提供）</w:t>
      </w:r>
      <w:bookmarkEnd w:id="2233"/>
      <w:r>
        <w:rPr>
          <w:rFonts w:hint="eastAsia"/>
          <w:color w:val="auto"/>
        </w:rPr>
        <w:t>。</w:t>
      </w:r>
    </w:p>
    <w:p>
      <w:pPr>
        <w:spacing w:line="400" w:lineRule="exact"/>
        <w:ind w:firstLine="735" w:firstLineChars="350"/>
        <w:rPr>
          <w:rFonts w:hint="eastAsia"/>
          <w:color w:val="auto"/>
        </w:rPr>
      </w:pPr>
      <w:bookmarkStart w:id="2234" w:name="_Toc221951380"/>
      <w:r>
        <w:rPr>
          <w:rFonts w:hint="eastAsia"/>
          <w:color w:val="auto"/>
        </w:rPr>
        <w:t>6) 投标人自行采购主要材料预算价格汇总表，按表中的序号、材料名称、型号规格、计量单位和预算价填写，填写的预算价必须与工程单价计算表中采用的相应材料预算价格一致；</w:t>
      </w:r>
      <w:bookmarkEnd w:id="2234"/>
    </w:p>
    <w:p>
      <w:pPr>
        <w:spacing w:line="400" w:lineRule="exact"/>
        <w:ind w:firstLine="735" w:firstLineChars="350"/>
        <w:rPr>
          <w:rFonts w:hint="eastAsia"/>
          <w:color w:val="auto"/>
        </w:rPr>
      </w:pPr>
      <w:bookmarkStart w:id="2235" w:name="_Toc221951381"/>
      <w:r>
        <w:rPr>
          <w:rFonts w:hint="eastAsia"/>
          <w:color w:val="auto"/>
        </w:rPr>
        <w:t>7) 招标人提供施工机械台时(班)费汇总表，按招标人提供的机械名称、型号规格和招标人收取的台时(班)折旧费填写；投标人填写的台时(班)费用合计金额必须与工程单价计算表中相应的施工机械台时(班)费单价一致（若招标人提供）</w:t>
      </w:r>
      <w:bookmarkEnd w:id="2235"/>
      <w:r>
        <w:rPr>
          <w:rFonts w:hint="eastAsia"/>
          <w:color w:val="auto"/>
        </w:rPr>
        <w:t>。</w:t>
      </w:r>
    </w:p>
    <w:p>
      <w:pPr>
        <w:spacing w:line="400" w:lineRule="exact"/>
        <w:ind w:firstLine="735" w:firstLineChars="350"/>
        <w:rPr>
          <w:rFonts w:hint="eastAsia"/>
          <w:color w:val="auto"/>
        </w:rPr>
      </w:pPr>
      <w:bookmarkStart w:id="2236" w:name="_Toc221951382"/>
      <w:r>
        <w:rPr>
          <w:rFonts w:hint="eastAsia"/>
          <w:color w:val="auto"/>
        </w:rPr>
        <w:t>8) 投标人自备施工机械台时(班)费汇总表，按表中的序号、机械名称、型号规格、一类费用和二类费用填写，填写的台时(班)费合计金额必须与工程单价计算表中相应的施工机械台时(班)费单价一致</w:t>
      </w:r>
      <w:bookmarkEnd w:id="2236"/>
      <w:r>
        <w:rPr>
          <w:rFonts w:hint="eastAsia"/>
          <w:color w:val="auto"/>
        </w:rPr>
        <w:t>。</w:t>
      </w:r>
    </w:p>
    <w:p>
      <w:pPr>
        <w:spacing w:line="400" w:lineRule="exact"/>
        <w:ind w:firstLine="735" w:firstLineChars="350"/>
        <w:rPr>
          <w:rFonts w:hint="eastAsia"/>
          <w:color w:val="auto"/>
        </w:rPr>
      </w:pPr>
      <w:bookmarkStart w:id="2237" w:name="_Toc221951383"/>
      <w:r>
        <w:rPr>
          <w:rFonts w:hint="eastAsia"/>
          <w:color w:val="auto"/>
        </w:rPr>
        <w:t>9) 投标人应参照分类分项工程量清单计价表格式编制总价项目分类分项工程分解表，每个总价项目分类分项工程一份。</w:t>
      </w:r>
    </w:p>
    <w:p>
      <w:pPr>
        <w:spacing w:line="400" w:lineRule="exact"/>
        <w:ind w:firstLine="735" w:firstLineChars="350"/>
        <w:rPr>
          <w:rFonts w:hint="eastAsia"/>
          <w:color w:val="auto"/>
        </w:rPr>
      </w:pPr>
      <w:r>
        <w:rPr>
          <w:rFonts w:hint="eastAsia"/>
          <w:color w:val="auto"/>
        </w:rPr>
        <w:t>10) 投标金额大于或等于投标总标价万分之五的工程项目，必须编报工程单价计算表。工程单价计算表，按表中的施工方法、序号、名称、型号规格、计量单位、数量、单价、合价填写，填写的人工、材料和机械等基础价格,必须与人工费价汇总表、基础材料单价汇总表、主要材料预算价格汇总表及施工机械台时(班)费汇总表中的单价相一致，填写的施工管理费、企业利润和税金等费(税)率必须与工程单价费(税)率汇总表中的费(税)率相一致。</w:t>
      </w:r>
      <w:bookmarkEnd w:id="2237"/>
    </w:p>
    <w:p>
      <w:pPr>
        <w:spacing w:line="400" w:lineRule="exact"/>
        <w:ind w:firstLine="735" w:firstLineChars="350"/>
        <w:rPr>
          <w:rFonts w:hint="eastAsia"/>
          <w:color w:val="auto"/>
        </w:rPr>
      </w:pPr>
      <w:r>
        <w:rPr>
          <w:rFonts w:hint="eastAsia"/>
          <w:color w:val="auto"/>
        </w:rPr>
        <w:t>11)人工费单价汇总表应按人工费单价计算表的内容、价格填写，并附相应的人工费单价计算表。</w:t>
      </w:r>
    </w:p>
    <w:p>
      <w:pPr>
        <w:numPr>
          <w:ilvl w:val="0"/>
          <w:numId w:val="9"/>
        </w:numPr>
        <w:spacing w:line="400" w:lineRule="exact"/>
        <w:rPr>
          <w:rFonts w:hint="eastAsia"/>
          <w:color w:val="auto"/>
        </w:rPr>
      </w:pPr>
      <w:r>
        <w:rPr>
          <w:rFonts w:hint="eastAsia"/>
          <w:color w:val="auto"/>
        </w:rPr>
        <w:t>投标限价说明：本次招标，投标总价超过最高投标限价，或一级项目报价超过其限价（如有）的，</w:t>
      </w:r>
      <w:r>
        <w:rPr>
          <w:color w:val="auto"/>
        </w:rPr>
        <w:t>其投标</w:t>
      </w:r>
      <w:r>
        <w:rPr>
          <w:rFonts w:hint="eastAsia"/>
          <w:color w:val="auto"/>
        </w:rPr>
        <w:t>将被否决</w:t>
      </w:r>
      <w:r>
        <w:rPr>
          <w:color w:val="auto"/>
        </w:rPr>
        <w:t>。</w:t>
      </w:r>
    </w:p>
    <w:p>
      <w:pPr>
        <w:numPr>
          <w:ilvl w:val="0"/>
          <w:numId w:val="9"/>
        </w:numPr>
        <w:spacing w:line="400" w:lineRule="exact"/>
        <w:rPr>
          <w:rFonts w:hint="eastAsia"/>
          <w:color w:val="auto"/>
        </w:rPr>
      </w:pPr>
      <w:r>
        <w:rPr>
          <w:rFonts w:hint="eastAsia"/>
          <w:color w:val="auto"/>
        </w:rPr>
        <w:t>其他说明：</w:t>
      </w:r>
      <w:r>
        <w:rPr>
          <w:rFonts w:hint="eastAsia"/>
          <w:color w:val="auto"/>
          <w:u w:val="single"/>
        </w:rPr>
        <w:t xml:space="preserve">                                   </w:t>
      </w:r>
      <w:r>
        <w:rPr>
          <w:rFonts w:hint="eastAsia"/>
          <w:color w:val="auto"/>
        </w:rPr>
        <w:t>。</w:t>
      </w: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spacing w:line="400" w:lineRule="exact"/>
        <w:rPr>
          <w:rFonts w:hint="eastAsia"/>
          <w:bCs/>
          <w:color w:val="auto"/>
          <w:sz w:val="32"/>
          <w:szCs w:val="32"/>
        </w:rPr>
      </w:pPr>
    </w:p>
    <w:p>
      <w:pPr>
        <w:pStyle w:val="80"/>
        <w:spacing w:before="120" w:after="120" w:afterLines="50"/>
        <w:rPr>
          <w:rFonts w:hint="eastAsia"/>
          <w:color w:val="auto"/>
          <w:sz w:val="21"/>
          <w:szCs w:val="24"/>
        </w:rPr>
      </w:pPr>
      <w:r>
        <w:rPr>
          <w:color w:val="auto"/>
        </w:rPr>
        <w:br w:type="page"/>
      </w:r>
      <w:bookmarkStart w:id="2238" w:name="_Toc32388"/>
      <w:r>
        <w:rPr>
          <w:rFonts w:hint="eastAsia"/>
          <w:color w:val="auto"/>
        </w:rPr>
        <w:t>3. 投标报价</w:t>
      </w:r>
      <w:bookmarkEnd w:id="2238"/>
    </w:p>
    <w:p>
      <w:pPr>
        <w:spacing w:line="460" w:lineRule="exact"/>
        <w:jc w:val="left"/>
        <w:outlineLvl w:val="2"/>
        <w:rPr>
          <w:rFonts w:hint="eastAsia" w:ascii="宋体" w:hAnsi="宋体"/>
          <w:color w:val="auto"/>
          <w:sz w:val="28"/>
          <w:szCs w:val="28"/>
        </w:rPr>
      </w:pPr>
      <w:bookmarkStart w:id="2239" w:name="_Toc26209"/>
      <w:r>
        <w:rPr>
          <w:rFonts w:hint="eastAsia" w:ascii="宋体" w:hAnsi="宋体"/>
          <w:color w:val="auto"/>
          <w:sz w:val="28"/>
          <w:szCs w:val="28"/>
        </w:rPr>
        <w:t>3.1 投标总价</w:t>
      </w:r>
      <w:bookmarkEnd w:id="2239"/>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spacing w:line="460" w:lineRule="exact"/>
        <w:ind w:firstLine="960" w:firstLineChars="300"/>
        <w:rPr>
          <w:rFonts w:hint="eastAsia" w:ascii="宋体" w:hAnsi="宋体"/>
          <w:color w:val="auto"/>
          <w:sz w:val="32"/>
          <w:szCs w:val="32"/>
        </w:rPr>
      </w:pPr>
      <w:r>
        <w:rPr>
          <w:rFonts w:ascii="宋体" w:hAnsi="宋体"/>
          <w:color w:val="auto"/>
          <w:sz w:val="32"/>
          <w:szCs w:val="32"/>
          <w:u w:val="single"/>
        </w:rPr>
        <w:t xml:space="preserve">          </w:t>
      </w:r>
      <w:r>
        <w:rPr>
          <w:rFonts w:ascii="宋体" w:hAnsi="宋体"/>
          <w:color w:val="auto"/>
          <w:sz w:val="32"/>
          <w:szCs w:val="32"/>
        </w:rPr>
        <w:t>（项目名称）</w:t>
      </w:r>
      <w:r>
        <w:rPr>
          <w:rFonts w:ascii="宋体" w:hAnsi="宋体"/>
          <w:color w:val="auto"/>
          <w:sz w:val="32"/>
          <w:szCs w:val="32"/>
          <w:u w:val="single"/>
        </w:rPr>
        <w:t xml:space="preserve">          </w:t>
      </w:r>
      <w:r>
        <w:rPr>
          <w:rFonts w:hint="eastAsia" w:ascii="宋体" w:hAnsi="宋体"/>
          <w:color w:val="auto"/>
          <w:sz w:val="32"/>
          <w:szCs w:val="32"/>
        </w:rPr>
        <w:t>(</w:t>
      </w:r>
      <w:r>
        <w:rPr>
          <w:rFonts w:ascii="宋体" w:hAnsi="宋体"/>
          <w:color w:val="auto"/>
          <w:sz w:val="32"/>
          <w:szCs w:val="32"/>
        </w:rPr>
        <w:t>标段</w:t>
      </w:r>
      <w:r>
        <w:rPr>
          <w:rFonts w:hint="eastAsia" w:ascii="宋体" w:hAnsi="宋体"/>
          <w:color w:val="auto"/>
          <w:sz w:val="32"/>
          <w:szCs w:val="32"/>
        </w:rPr>
        <w:t>名称)</w:t>
      </w:r>
    </w:p>
    <w:p>
      <w:pPr>
        <w:spacing w:line="380" w:lineRule="exact"/>
        <w:ind w:firstLine="640" w:firstLineChars="200"/>
        <w:rPr>
          <w:rFonts w:hint="eastAsia" w:ascii="宋体" w:hAnsi="宋体"/>
          <w:color w:val="auto"/>
          <w:sz w:val="32"/>
          <w:szCs w:val="32"/>
        </w:rPr>
      </w:pPr>
    </w:p>
    <w:p>
      <w:pPr>
        <w:spacing w:after="480" w:afterLines="200" w:line="380" w:lineRule="exact"/>
        <w:ind w:firstLine="720" w:firstLineChars="200"/>
        <w:jc w:val="center"/>
        <w:rPr>
          <w:rFonts w:hint="eastAsia" w:ascii="宋体" w:hAnsi="宋体"/>
          <w:color w:val="auto"/>
          <w:spacing w:val="20"/>
          <w:sz w:val="32"/>
          <w:szCs w:val="32"/>
        </w:rPr>
      </w:pPr>
    </w:p>
    <w:p>
      <w:pPr>
        <w:spacing w:line="600" w:lineRule="exact"/>
        <w:rPr>
          <w:rFonts w:hint="eastAsia" w:ascii="宋体" w:hAnsi="宋体"/>
          <w:color w:val="auto"/>
          <w:sz w:val="28"/>
          <w:szCs w:val="28"/>
        </w:rPr>
      </w:pPr>
    </w:p>
    <w:p>
      <w:pPr>
        <w:spacing w:line="600" w:lineRule="exact"/>
        <w:ind w:firstLine="560" w:firstLineChars="200"/>
        <w:jc w:val="center"/>
        <w:rPr>
          <w:rFonts w:hint="eastAsia" w:ascii="宋体" w:hAnsi="宋体"/>
          <w:color w:val="auto"/>
          <w:sz w:val="28"/>
          <w:szCs w:val="28"/>
        </w:rPr>
      </w:pPr>
      <w:r>
        <w:rPr>
          <w:rFonts w:hint="eastAsia" w:ascii="宋体" w:hAnsi="宋体"/>
          <w:color w:val="auto"/>
          <w:sz w:val="28"/>
          <w:szCs w:val="28"/>
        </w:rPr>
        <w:t>投标总价(大写) ：</w:t>
      </w:r>
      <w:r>
        <w:rPr>
          <w:rFonts w:hint="eastAsia" w:ascii="宋体" w:hAnsi="宋体"/>
          <w:color w:val="auto"/>
          <w:sz w:val="28"/>
          <w:szCs w:val="28"/>
          <w:u w:val="single"/>
        </w:rPr>
        <w:t xml:space="preserve">            </w:t>
      </w:r>
      <w:r>
        <w:rPr>
          <w:rFonts w:hint="eastAsia" w:ascii="宋体" w:hAnsi="宋体"/>
          <w:color w:val="auto"/>
          <w:sz w:val="28"/>
          <w:szCs w:val="28"/>
        </w:rPr>
        <w:t>元</w:t>
      </w:r>
    </w:p>
    <w:p>
      <w:pPr>
        <w:spacing w:line="600" w:lineRule="exact"/>
        <w:ind w:firstLine="560" w:firstLineChars="200"/>
        <w:jc w:val="center"/>
        <w:rPr>
          <w:rFonts w:hint="eastAsia" w:ascii="宋体" w:hAnsi="宋体"/>
          <w:color w:val="auto"/>
          <w:sz w:val="28"/>
          <w:szCs w:val="28"/>
        </w:rPr>
      </w:pPr>
      <w:r>
        <w:rPr>
          <w:rFonts w:hint="eastAsia" w:ascii="宋体" w:hAnsi="宋体"/>
          <w:color w:val="auto"/>
          <w:sz w:val="28"/>
          <w:szCs w:val="28"/>
        </w:rPr>
        <w:t xml:space="preserve">       (小写) ：￥</w:t>
      </w:r>
      <w:r>
        <w:rPr>
          <w:rFonts w:hint="eastAsia" w:ascii="宋体" w:hAnsi="宋体"/>
          <w:color w:val="auto"/>
          <w:sz w:val="28"/>
          <w:szCs w:val="28"/>
          <w:u w:val="single"/>
        </w:rPr>
        <w:t xml:space="preserve">            </w:t>
      </w:r>
      <w:r>
        <w:rPr>
          <w:rFonts w:hint="eastAsia" w:ascii="宋体" w:hAnsi="宋体"/>
          <w:color w:val="auto"/>
          <w:sz w:val="28"/>
          <w:szCs w:val="28"/>
        </w:rPr>
        <w:t>元</w:t>
      </w:r>
    </w:p>
    <w:p>
      <w:pPr>
        <w:spacing w:line="600" w:lineRule="exact"/>
        <w:ind w:firstLine="560" w:firstLineChars="200"/>
        <w:jc w:val="center"/>
        <w:rPr>
          <w:rFonts w:hint="eastAsia" w:ascii="宋体" w:hAnsi="宋体"/>
          <w:color w:val="auto"/>
          <w:sz w:val="28"/>
          <w:szCs w:val="28"/>
        </w:rPr>
      </w:pPr>
    </w:p>
    <w:p>
      <w:pPr>
        <w:spacing w:line="600" w:lineRule="exact"/>
        <w:ind w:firstLine="1260" w:firstLineChars="450"/>
        <w:rPr>
          <w:rFonts w:hint="eastAsia" w:ascii="宋体" w:hAnsi="宋体"/>
          <w:color w:val="auto"/>
          <w:sz w:val="28"/>
          <w:szCs w:val="28"/>
        </w:rPr>
      </w:pPr>
    </w:p>
    <w:p>
      <w:pPr>
        <w:spacing w:line="600" w:lineRule="exact"/>
        <w:jc w:val="center"/>
        <w:rPr>
          <w:rFonts w:hint="eastAsia" w:ascii="宋体" w:hAnsi="宋体"/>
          <w:color w:val="auto"/>
          <w:sz w:val="28"/>
          <w:szCs w:val="28"/>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before="120" w:beforeLines="50" w:after="120" w:afterLines="50" w:line="460" w:lineRule="exact"/>
        <w:jc w:val="center"/>
        <w:outlineLvl w:val="2"/>
        <w:rPr>
          <w:rFonts w:hint="eastAsia" w:ascii="宋体" w:hAnsi="宋体"/>
          <w:color w:val="auto"/>
          <w:sz w:val="32"/>
          <w:szCs w:val="32"/>
        </w:rPr>
      </w:pPr>
      <w:bookmarkStart w:id="2240" w:name="_Toc221951405"/>
      <w:r>
        <w:rPr>
          <w:rFonts w:ascii="宋体" w:hAnsi="宋体"/>
          <w:color w:val="auto"/>
          <w:sz w:val="28"/>
          <w:szCs w:val="28"/>
        </w:rPr>
        <w:br w:type="page"/>
      </w:r>
      <w:bookmarkStart w:id="2241" w:name="_Toc17466"/>
      <w:r>
        <w:rPr>
          <w:rFonts w:hint="eastAsia" w:ascii="宋体" w:hAnsi="宋体"/>
          <w:color w:val="auto"/>
          <w:sz w:val="28"/>
          <w:szCs w:val="28"/>
        </w:rPr>
        <w:t>3.2 工程项目总价表</w:t>
      </w:r>
      <w:bookmarkEnd w:id="2240"/>
      <w:bookmarkEnd w:id="2241"/>
    </w:p>
    <w:p>
      <w:pPr>
        <w:spacing w:line="300" w:lineRule="exact"/>
        <w:jc w:val="center"/>
        <w:rPr>
          <w:rFonts w:hint="eastAsia" w:ascii="宋体" w:hAnsi="宋体"/>
          <w:color w:val="auto"/>
          <w:sz w:val="28"/>
        </w:rPr>
      </w:pPr>
    </w:p>
    <w:p>
      <w:pPr>
        <w:rPr>
          <w:rFonts w:hint="eastAsia" w:ascii="宋体" w:hAnsi="宋体"/>
          <w:color w:val="auto"/>
          <w:szCs w:val="21"/>
          <w:u w:val="single"/>
        </w:rPr>
      </w:pPr>
      <w:bookmarkStart w:id="2242" w:name="_Toc221951406"/>
      <w:r>
        <w:rPr>
          <w:rFonts w:hint="eastAsia" w:ascii="宋体" w:hAnsi="宋体"/>
          <w:color w:val="auto"/>
          <w:szCs w:val="21"/>
        </w:rPr>
        <w:t>合同编号:</w:t>
      </w:r>
      <w:bookmarkEnd w:id="2242"/>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w:t>
      </w:r>
      <w:bookmarkStart w:id="2243" w:name="_Toc221951407"/>
      <w:r>
        <w:rPr>
          <w:rFonts w:hint="eastAsia"/>
          <w:color w:val="auto"/>
        </w:rPr>
        <w:t xml:space="preserve">(项目名称)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ascii="宋体" w:hAnsi="宋体"/>
          <w:color w:val="auto"/>
          <w:szCs w:val="21"/>
        </w:rPr>
        <w:t xml:space="preserve">  </w:t>
      </w:r>
    </w:p>
    <w:p>
      <w:pPr>
        <w:rPr>
          <w:rFonts w:hint="eastAsia" w:ascii="宋体" w:hAnsi="宋体"/>
          <w:color w:val="auto"/>
          <w:szCs w:val="21"/>
        </w:rPr>
      </w:pPr>
      <w:r>
        <w:rPr>
          <w:rFonts w:hint="eastAsia" w:ascii="宋体" w:hAnsi="宋体"/>
          <w:color w:val="auto"/>
          <w:szCs w:val="21"/>
        </w:rPr>
        <w:t xml:space="preserve">         </w:t>
      </w:r>
      <w:bookmarkEnd w:id="2243"/>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4250"/>
        <w:gridCol w:w="3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华文新魏" w:hAnsi="宋体" w:eastAsia="华文新魏"/>
                <w:color w:val="auto"/>
                <w:szCs w:val="21"/>
              </w:rPr>
            </w:pPr>
            <w:bookmarkStart w:id="2244" w:name="_Toc221951408"/>
            <w:r>
              <w:rPr>
                <w:rFonts w:hint="eastAsia" w:ascii="宋体" w:hAnsi="宋体"/>
                <w:color w:val="auto"/>
                <w:szCs w:val="21"/>
              </w:rPr>
              <w:t>序号</w:t>
            </w:r>
            <w:bookmarkEnd w:id="2244"/>
          </w:p>
        </w:tc>
        <w:tc>
          <w:tcPr>
            <w:tcW w:w="4250" w:type="dxa"/>
            <w:noWrap w:val="0"/>
            <w:vAlign w:val="center"/>
          </w:tcPr>
          <w:p>
            <w:pPr>
              <w:jc w:val="center"/>
              <w:rPr>
                <w:rFonts w:hint="eastAsia" w:ascii="宋体" w:hAnsi="宋体"/>
                <w:color w:val="auto"/>
                <w:szCs w:val="21"/>
              </w:rPr>
            </w:pPr>
            <w:bookmarkStart w:id="2245" w:name="_Toc221951409"/>
            <w:r>
              <w:rPr>
                <w:rFonts w:hint="eastAsia" w:ascii="宋体" w:hAnsi="宋体"/>
                <w:color w:val="auto"/>
                <w:szCs w:val="21"/>
              </w:rPr>
              <w:t>工程项目名称</w:t>
            </w:r>
            <w:bookmarkEnd w:id="2245"/>
          </w:p>
        </w:tc>
        <w:tc>
          <w:tcPr>
            <w:tcW w:w="3557" w:type="dxa"/>
            <w:noWrap w:val="0"/>
            <w:vAlign w:val="center"/>
          </w:tcPr>
          <w:p>
            <w:pPr>
              <w:jc w:val="center"/>
              <w:rPr>
                <w:rFonts w:hint="eastAsia" w:ascii="宋体" w:hAnsi="宋体"/>
                <w:color w:val="auto"/>
                <w:szCs w:val="21"/>
              </w:rPr>
            </w:pPr>
            <w:bookmarkStart w:id="2246" w:name="_Toc221951410"/>
            <w:r>
              <w:rPr>
                <w:rFonts w:hint="eastAsia" w:ascii="宋体" w:hAnsi="宋体"/>
                <w:color w:val="auto"/>
                <w:szCs w:val="21"/>
              </w:rPr>
              <w:t>金额(元)</w:t>
            </w:r>
            <w:bookmarkEnd w:id="22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bookmarkStart w:id="2247" w:name="_Toc221951411"/>
            <w:r>
              <w:rPr>
                <w:rFonts w:hint="eastAsia" w:ascii="宋体" w:hAnsi="宋体"/>
                <w:color w:val="auto"/>
                <w:szCs w:val="21"/>
              </w:rPr>
              <w:t>1</w:t>
            </w:r>
            <w:bookmarkEnd w:id="2247"/>
          </w:p>
        </w:tc>
        <w:tc>
          <w:tcPr>
            <w:tcW w:w="4250" w:type="dxa"/>
            <w:noWrap w:val="0"/>
            <w:vAlign w:val="center"/>
          </w:tcPr>
          <w:p>
            <w:pPr>
              <w:jc w:val="center"/>
              <w:rPr>
                <w:rFonts w:hint="eastAsia" w:ascii="宋体" w:hAnsi="宋体"/>
                <w:color w:val="auto"/>
                <w:szCs w:val="21"/>
              </w:rPr>
            </w:pPr>
            <w:bookmarkStart w:id="2248" w:name="_Toc221951412"/>
            <w:r>
              <w:rPr>
                <w:rFonts w:hint="eastAsia" w:ascii="宋体" w:hAnsi="宋体"/>
                <w:color w:val="auto"/>
                <w:szCs w:val="21"/>
              </w:rPr>
              <w:t>一级xx项目</w:t>
            </w:r>
            <w:bookmarkEnd w:id="2248"/>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bookmarkStart w:id="2249" w:name="_Toc221951416"/>
            <w:r>
              <w:rPr>
                <w:rFonts w:hint="eastAsia" w:ascii="宋体" w:hAnsi="宋体"/>
                <w:color w:val="auto"/>
                <w:szCs w:val="21"/>
              </w:rPr>
              <w:t>2</w:t>
            </w:r>
            <w:bookmarkEnd w:id="2249"/>
          </w:p>
        </w:tc>
        <w:tc>
          <w:tcPr>
            <w:tcW w:w="4250" w:type="dxa"/>
            <w:noWrap w:val="0"/>
            <w:vAlign w:val="center"/>
          </w:tcPr>
          <w:p>
            <w:pPr>
              <w:jc w:val="center"/>
              <w:rPr>
                <w:rFonts w:hint="eastAsia" w:ascii="宋体" w:hAnsi="宋体"/>
                <w:color w:val="auto"/>
                <w:szCs w:val="21"/>
              </w:rPr>
            </w:pPr>
            <w:bookmarkStart w:id="2250" w:name="_Toc221951417"/>
            <w:r>
              <w:rPr>
                <w:rFonts w:hint="eastAsia" w:ascii="宋体" w:hAnsi="宋体"/>
                <w:color w:val="auto"/>
                <w:szCs w:val="21"/>
              </w:rPr>
              <w:t>一级xx项目</w:t>
            </w:r>
            <w:bookmarkEnd w:id="2250"/>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bookmarkStart w:id="2251" w:name="_Toc221951421"/>
            <w:r>
              <w:rPr>
                <w:rFonts w:hint="eastAsia" w:ascii="宋体" w:hAnsi="宋体"/>
                <w:color w:val="auto"/>
                <w:szCs w:val="21"/>
              </w:rPr>
              <w:t>xx</w:t>
            </w:r>
            <w:bookmarkEnd w:id="2251"/>
          </w:p>
        </w:tc>
        <w:tc>
          <w:tcPr>
            <w:tcW w:w="4250" w:type="dxa"/>
            <w:noWrap w:val="0"/>
            <w:vAlign w:val="center"/>
          </w:tcPr>
          <w:p>
            <w:pPr>
              <w:jc w:val="center"/>
              <w:rPr>
                <w:rFonts w:hint="eastAsia" w:ascii="宋体" w:hAnsi="宋体"/>
                <w:color w:val="auto"/>
                <w:szCs w:val="21"/>
              </w:rPr>
            </w:pPr>
            <w:bookmarkStart w:id="2252" w:name="_Toc221951422"/>
            <w:r>
              <w:rPr>
                <w:rFonts w:hint="eastAsia" w:ascii="宋体" w:hAnsi="宋体"/>
                <w:color w:val="auto"/>
                <w:szCs w:val="21"/>
              </w:rPr>
              <w:t>措施项目</w:t>
            </w:r>
            <w:bookmarkEnd w:id="2252"/>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ascii="宋体" w:hAnsi="宋体"/>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pStyle w:val="88"/>
              <w:widowControl w:val="0"/>
              <w:spacing w:before="0" w:beforeAutospacing="0" w:after="0" w:afterAutospacing="0"/>
              <w:rPr>
                <w:rFonts w:hint="eastAsia"/>
                <w:color w:val="auto"/>
                <w:kern w:val="2"/>
                <w:sz w:val="21"/>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bookmarkStart w:id="2253" w:name="_Toc221951426"/>
            <w:r>
              <w:rPr>
                <w:rFonts w:hint="eastAsia" w:ascii="宋体" w:hAnsi="宋体"/>
                <w:color w:val="auto"/>
                <w:szCs w:val="21"/>
              </w:rPr>
              <w:t>xx</w:t>
            </w:r>
            <w:bookmarkEnd w:id="2253"/>
          </w:p>
        </w:tc>
        <w:tc>
          <w:tcPr>
            <w:tcW w:w="4250" w:type="dxa"/>
            <w:noWrap w:val="0"/>
            <w:vAlign w:val="center"/>
          </w:tcPr>
          <w:p>
            <w:pPr>
              <w:jc w:val="center"/>
              <w:rPr>
                <w:rFonts w:hint="eastAsia"/>
                <w:color w:val="auto"/>
                <w:szCs w:val="21"/>
              </w:rPr>
            </w:pPr>
            <w:bookmarkStart w:id="2254" w:name="_Toc221951427"/>
            <w:r>
              <w:rPr>
                <w:rFonts w:hint="eastAsia"/>
                <w:color w:val="auto"/>
                <w:szCs w:val="21"/>
              </w:rPr>
              <w:t>其它项目</w:t>
            </w:r>
            <w:bookmarkEnd w:id="2254"/>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color w:val="auto"/>
                <w:szCs w:val="21"/>
              </w:rPr>
            </w:pPr>
          </w:p>
        </w:tc>
        <w:tc>
          <w:tcPr>
            <w:tcW w:w="3557"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58" w:type="dxa"/>
            <w:noWrap w:val="0"/>
            <w:vAlign w:val="center"/>
          </w:tcPr>
          <w:p>
            <w:pPr>
              <w:jc w:val="center"/>
              <w:rPr>
                <w:rFonts w:hint="eastAsia" w:ascii="宋体" w:hAnsi="宋体"/>
                <w:color w:val="auto"/>
                <w:szCs w:val="21"/>
              </w:rPr>
            </w:pPr>
          </w:p>
        </w:tc>
        <w:tc>
          <w:tcPr>
            <w:tcW w:w="4250" w:type="dxa"/>
            <w:noWrap w:val="0"/>
            <w:vAlign w:val="center"/>
          </w:tcPr>
          <w:p>
            <w:pPr>
              <w:jc w:val="center"/>
              <w:rPr>
                <w:rFonts w:hint="eastAsia"/>
                <w:color w:val="auto"/>
                <w:szCs w:val="21"/>
              </w:rPr>
            </w:pPr>
            <w:bookmarkStart w:id="2255" w:name="_Toc221951431"/>
            <w:r>
              <w:rPr>
                <w:rFonts w:hint="eastAsia"/>
                <w:color w:val="auto"/>
                <w:szCs w:val="21"/>
              </w:rPr>
              <w:t>合计</w:t>
            </w:r>
            <w:bookmarkEnd w:id="2255"/>
          </w:p>
        </w:tc>
        <w:tc>
          <w:tcPr>
            <w:tcW w:w="3557" w:type="dxa"/>
            <w:noWrap w:val="0"/>
            <w:vAlign w:val="center"/>
          </w:tcPr>
          <w:p>
            <w:pPr>
              <w:jc w:val="center"/>
              <w:rPr>
                <w:rFonts w:hint="eastAsia" w:ascii="宋体" w:hAnsi="宋体"/>
                <w:color w:val="auto"/>
                <w:szCs w:val="21"/>
              </w:rPr>
            </w:pPr>
          </w:p>
        </w:tc>
      </w:tr>
    </w:tbl>
    <w:p>
      <w:pPr>
        <w:spacing w:line="460" w:lineRule="exact"/>
        <w:jc w:val="center"/>
        <w:rPr>
          <w:rFonts w:hint="eastAsia" w:ascii="宋体" w:hAnsi="宋体"/>
          <w:color w:val="auto"/>
          <w:sz w:val="24"/>
        </w:rPr>
      </w:pPr>
    </w:p>
    <w:p>
      <w:pPr>
        <w:spacing w:line="460" w:lineRule="exact"/>
        <w:jc w:val="center"/>
        <w:rPr>
          <w:rFonts w:hint="eastAsia" w:ascii="宋体" w:hAnsi="宋体"/>
          <w:color w:val="auto"/>
          <w:sz w:val="24"/>
        </w:rPr>
      </w:pPr>
    </w:p>
    <w:p>
      <w:pPr>
        <w:spacing w:before="120" w:beforeLines="50" w:after="120" w:afterLines="50" w:line="460" w:lineRule="exact"/>
        <w:jc w:val="center"/>
        <w:outlineLvl w:val="2"/>
        <w:rPr>
          <w:rFonts w:hint="eastAsia" w:ascii="宋体" w:hAnsi="宋体"/>
          <w:color w:val="auto"/>
          <w:sz w:val="28"/>
          <w:szCs w:val="28"/>
        </w:rPr>
      </w:pPr>
      <w:bookmarkStart w:id="2256" w:name="_Toc23567"/>
      <w:bookmarkStart w:id="2257" w:name="_Toc221951432"/>
      <w:r>
        <w:rPr>
          <w:rFonts w:hint="eastAsia" w:ascii="宋体" w:hAnsi="宋体"/>
          <w:color w:val="auto"/>
          <w:sz w:val="28"/>
          <w:szCs w:val="28"/>
        </w:rPr>
        <w:t>3.3 分类分项工程量清单计价表</w:t>
      </w:r>
      <w:bookmarkEnd w:id="2256"/>
      <w:bookmarkEnd w:id="2257"/>
    </w:p>
    <w:p>
      <w:pPr>
        <w:spacing w:line="300" w:lineRule="exact"/>
        <w:jc w:val="center"/>
        <w:rPr>
          <w:rFonts w:hint="eastAsia" w:ascii="宋体" w:hAnsi="宋体"/>
          <w:color w:val="auto"/>
          <w:sz w:val="28"/>
        </w:rPr>
      </w:pPr>
    </w:p>
    <w:p>
      <w:pPr>
        <w:rPr>
          <w:rFonts w:hint="eastAsia" w:ascii="宋体" w:hAnsi="宋体"/>
          <w:color w:val="auto"/>
          <w:szCs w:val="21"/>
          <w:u w:val="single"/>
        </w:rPr>
      </w:pPr>
      <w:bookmarkStart w:id="2258" w:name="_Toc221951433"/>
      <w:r>
        <w:rPr>
          <w:rFonts w:hint="eastAsia" w:ascii="宋体" w:hAnsi="宋体"/>
          <w:color w:val="auto"/>
          <w:szCs w:val="21"/>
        </w:rPr>
        <w:t>合同编号:</w:t>
      </w:r>
      <w:bookmarkEnd w:id="2258"/>
      <w:r>
        <w:rPr>
          <w:rFonts w:hint="eastAsia" w:ascii="宋体" w:hAnsi="宋体"/>
          <w:color w:val="auto"/>
          <w:szCs w:val="21"/>
          <w:u w:val="single"/>
        </w:rPr>
        <w:t xml:space="preserve">                           </w:t>
      </w:r>
    </w:p>
    <w:p>
      <w:pPr>
        <w:rPr>
          <w:rFonts w:hint="eastAsia" w:ascii="宋体" w:hAnsi="宋体"/>
          <w:color w:val="auto"/>
          <w:szCs w:val="21"/>
        </w:rPr>
      </w:pPr>
      <w:bookmarkStart w:id="2259" w:name="_Toc221951434"/>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ascii="宋体" w:hAnsi="宋体"/>
          <w:color w:val="auto"/>
          <w:szCs w:val="21"/>
        </w:rPr>
        <w:t xml:space="preserve"> </w:t>
      </w:r>
      <w:bookmarkEnd w:id="2259"/>
    </w:p>
    <w:p>
      <w:pPr>
        <w:rPr>
          <w:rFonts w:hint="eastAsia" w:ascii="宋体" w:hAnsi="宋体"/>
          <w:color w:val="auto"/>
          <w:szCs w:val="21"/>
        </w:rPr>
      </w:pPr>
    </w:p>
    <w:tbl>
      <w:tblPr>
        <w:tblStyle w:val="38"/>
        <w:tblW w:w="0" w:type="auto"/>
        <w:jc w:val="center"/>
        <w:tblLayout w:type="fixed"/>
        <w:tblCellMar>
          <w:top w:w="0" w:type="dxa"/>
          <w:left w:w="108" w:type="dxa"/>
          <w:bottom w:w="0" w:type="dxa"/>
          <w:right w:w="108" w:type="dxa"/>
        </w:tblCellMar>
      </w:tblPr>
      <w:tblGrid>
        <w:gridCol w:w="737"/>
        <w:gridCol w:w="1476"/>
        <w:gridCol w:w="2340"/>
        <w:gridCol w:w="720"/>
        <w:gridCol w:w="720"/>
        <w:gridCol w:w="900"/>
        <w:gridCol w:w="720"/>
        <w:gridCol w:w="1404"/>
      </w:tblGrid>
      <w:tr>
        <w:tblPrEx>
          <w:tblCellMar>
            <w:top w:w="0" w:type="dxa"/>
            <w:left w:w="108" w:type="dxa"/>
            <w:bottom w:w="0" w:type="dxa"/>
            <w:right w:w="108" w:type="dxa"/>
          </w:tblCellMar>
        </w:tblPrEx>
        <w:trPr>
          <w:trHeight w:val="567" w:hRule="atLeast"/>
          <w:jc w:val="center"/>
        </w:trPr>
        <w:tc>
          <w:tcPr>
            <w:tcW w:w="73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auto"/>
                <w:szCs w:val="21"/>
              </w:rPr>
            </w:pPr>
            <w:bookmarkStart w:id="2260" w:name="_Toc221951435"/>
            <w:r>
              <w:rPr>
                <w:rFonts w:hint="eastAsia"/>
                <w:color w:val="auto"/>
                <w:szCs w:val="21"/>
              </w:rPr>
              <w:t>序号</w:t>
            </w:r>
            <w:bookmarkEnd w:id="2260"/>
          </w:p>
        </w:tc>
        <w:tc>
          <w:tcPr>
            <w:tcW w:w="1476" w:type="dxa"/>
            <w:tcBorders>
              <w:top w:val="single" w:color="auto" w:sz="4" w:space="0"/>
              <w:left w:val="nil"/>
              <w:bottom w:val="single" w:color="auto" w:sz="4" w:space="0"/>
              <w:right w:val="single" w:color="auto" w:sz="4" w:space="0"/>
            </w:tcBorders>
            <w:noWrap w:val="0"/>
            <w:vAlign w:val="center"/>
          </w:tcPr>
          <w:p>
            <w:pPr>
              <w:jc w:val="center"/>
              <w:rPr>
                <w:color w:val="auto"/>
                <w:szCs w:val="21"/>
              </w:rPr>
            </w:pPr>
            <w:bookmarkStart w:id="2261" w:name="_Toc221951436"/>
            <w:r>
              <w:rPr>
                <w:rFonts w:hint="eastAsia"/>
                <w:color w:val="auto"/>
                <w:szCs w:val="21"/>
              </w:rPr>
              <w:t>项目编码</w:t>
            </w:r>
            <w:bookmarkEnd w:id="2261"/>
          </w:p>
        </w:tc>
        <w:tc>
          <w:tcPr>
            <w:tcW w:w="2340" w:type="dxa"/>
            <w:tcBorders>
              <w:top w:val="single" w:color="auto" w:sz="4" w:space="0"/>
              <w:left w:val="nil"/>
              <w:bottom w:val="single" w:color="auto" w:sz="4" w:space="0"/>
              <w:right w:val="single" w:color="auto" w:sz="4" w:space="0"/>
            </w:tcBorders>
            <w:noWrap w:val="0"/>
            <w:vAlign w:val="center"/>
          </w:tcPr>
          <w:p>
            <w:pPr>
              <w:jc w:val="center"/>
              <w:rPr>
                <w:color w:val="auto"/>
                <w:szCs w:val="21"/>
              </w:rPr>
            </w:pPr>
            <w:bookmarkStart w:id="2262" w:name="_Toc221951437"/>
            <w:r>
              <w:rPr>
                <w:rFonts w:hint="eastAsia"/>
                <w:color w:val="auto"/>
                <w:szCs w:val="21"/>
              </w:rPr>
              <w:t>项目名称</w:t>
            </w:r>
            <w:bookmarkEnd w:id="2262"/>
          </w:p>
        </w:tc>
        <w:tc>
          <w:tcPr>
            <w:tcW w:w="720" w:type="dxa"/>
            <w:tcBorders>
              <w:top w:val="single" w:color="auto" w:sz="4" w:space="0"/>
              <w:left w:val="nil"/>
              <w:bottom w:val="single" w:color="auto" w:sz="4" w:space="0"/>
              <w:right w:val="single" w:color="auto" w:sz="4" w:space="0"/>
            </w:tcBorders>
            <w:noWrap w:val="0"/>
            <w:vAlign w:val="center"/>
          </w:tcPr>
          <w:p>
            <w:pPr>
              <w:jc w:val="center"/>
              <w:rPr>
                <w:rFonts w:hint="eastAsia"/>
                <w:color w:val="auto"/>
                <w:szCs w:val="21"/>
              </w:rPr>
            </w:pPr>
            <w:bookmarkStart w:id="2263" w:name="_Toc221951438"/>
            <w:r>
              <w:rPr>
                <w:rFonts w:hint="eastAsia"/>
                <w:color w:val="auto"/>
                <w:szCs w:val="21"/>
              </w:rPr>
              <w:t>计量</w:t>
            </w:r>
            <w:bookmarkEnd w:id="2263"/>
          </w:p>
          <w:p>
            <w:pPr>
              <w:jc w:val="center"/>
              <w:rPr>
                <w:color w:val="auto"/>
                <w:szCs w:val="21"/>
              </w:rPr>
            </w:pPr>
            <w:bookmarkStart w:id="2264" w:name="_Toc221951439"/>
            <w:r>
              <w:rPr>
                <w:rFonts w:hint="eastAsia"/>
                <w:color w:val="auto"/>
                <w:szCs w:val="21"/>
              </w:rPr>
              <w:t>单位</w:t>
            </w:r>
            <w:bookmarkEnd w:id="2264"/>
          </w:p>
        </w:tc>
        <w:tc>
          <w:tcPr>
            <w:tcW w:w="720" w:type="dxa"/>
            <w:tcBorders>
              <w:top w:val="single" w:color="auto" w:sz="4" w:space="0"/>
              <w:left w:val="nil"/>
              <w:bottom w:val="single" w:color="auto" w:sz="4" w:space="0"/>
              <w:right w:val="single" w:color="auto" w:sz="4" w:space="0"/>
            </w:tcBorders>
            <w:noWrap w:val="0"/>
            <w:vAlign w:val="center"/>
          </w:tcPr>
          <w:p>
            <w:pPr>
              <w:jc w:val="center"/>
              <w:rPr>
                <w:rFonts w:hint="eastAsia"/>
                <w:color w:val="auto"/>
                <w:szCs w:val="21"/>
              </w:rPr>
            </w:pPr>
            <w:bookmarkStart w:id="2265" w:name="_Toc221951440"/>
            <w:r>
              <w:rPr>
                <w:rFonts w:hint="eastAsia"/>
                <w:color w:val="auto"/>
                <w:szCs w:val="21"/>
              </w:rPr>
              <w:t>工程</w:t>
            </w:r>
            <w:bookmarkEnd w:id="2265"/>
          </w:p>
          <w:p>
            <w:pPr>
              <w:jc w:val="center"/>
              <w:rPr>
                <w:color w:val="auto"/>
                <w:szCs w:val="21"/>
              </w:rPr>
            </w:pPr>
            <w:bookmarkStart w:id="2266" w:name="_Toc221951441"/>
            <w:r>
              <w:rPr>
                <w:rFonts w:hint="eastAsia"/>
                <w:color w:val="auto"/>
                <w:szCs w:val="21"/>
              </w:rPr>
              <w:t>数量</w:t>
            </w:r>
            <w:bookmarkEnd w:id="2266"/>
          </w:p>
        </w:tc>
        <w:tc>
          <w:tcPr>
            <w:tcW w:w="900" w:type="dxa"/>
            <w:tcBorders>
              <w:top w:val="single" w:color="auto" w:sz="4" w:space="0"/>
              <w:left w:val="nil"/>
              <w:bottom w:val="single" w:color="auto" w:sz="4" w:space="0"/>
              <w:right w:val="single" w:color="auto" w:sz="4" w:space="0"/>
            </w:tcBorders>
            <w:noWrap w:val="0"/>
            <w:vAlign w:val="center"/>
          </w:tcPr>
          <w:p>
            <w:pPr>
              <w:jc w:val="center"/>
              <w:rPr>
                <w:rFonts w:hint="eastAsia"/>
                <w:color w:val="auto"/>
                <w:szCs w:val="21"/>
              </w:rPr>
            </w:pPr>
            <w:bookmarkStart w:id="2267" w:name="_Toc221951442"/>
            <w:r>
              <w:rPr>
                <w:rFonts w:hint="eastAsia"/>
                <w:color w:val="auto"/>
                <w:szCs w:val="21"/>
              </w:rPr>
              <w:t>单价</w:t>
            </w:r>
            <w:bookmarkEnd w:id="2267"/>
          </w:p>
          <w:p>
            <w:pPr>
              <w:jc w:val="center"/>
              <w:rPr>
                <w:color w:val="auto"/>
                <w:szCs w:val="21"/>
              </w:rPr>
            </w:pPr>
            <w:bookmarkStart w:id="2268" w:name="_Toc221951443"/>
            <w:r>
              <w:rPr>
                <w:rFonts w:hint="eastAsia"/>
                <w:color w:val="auto"/>
                <w:szCs w:val="21"/>
              </w:rPr>
              <w:t>(元)</w:t>
            </w:r>
            <w:bookmarkEnd w:id="2268"/>
          </w:p>
        </w:tc>
        <w:tc>
          <w:tcPr>
            <w:tcW w:w="720" w:type="dxa"/>
            <w:tcBorders>
              <w:top w:val="single" w:color="auto" w:sz="4" w:space="0"/>
              <w:left w:val="nil"/>
              <w:bottom w:val="single" w:color="auto" w:sz="4" w:space="0"/>
              <w:right w:val="single" w:color="auto" w:sz="4" w:space="0"/>
            </w:tcBorders>
            <w:noWrap w:val="0"/>
            <w:vAlign w:val="center"/>
          </w:tcPr>
          <w:p>
            <w:pPr>
              <w:jc w:val="center"/>
              <w:rPr>
                <w:rFonts w:hint="eastAsia"/>
                <w:color w:val="auto"/>
                <w:szCs w:val="21"/>
              </w:rPr>
            </w:pPr>
            <w:bookmarkStart w:id="2269" w:name="_Toc221951444"/>
            <w:r>
              <w:rPr>
                <w:rFonts w:hint="eastAsia"/>
                <w:color w:val="auto"/>
                <w:szCs w:val="21"/>
              </w:rPr>
              <w:t>合价</w:t>
            </w:r>
            <w:bookmarkEnd w:id="2269"/>
          </w:p>
          <w:p>
            <w:pPr>
              <w:jc w:val="center"/>
              <w:rPr>
                <w:color w:val="auto"/>
                <w:szCs w:val="21"/>
              </w:rPr>
            </w:pPr>
            <w:bookmarkStart w:id="2270" w:name="_Toc221951445"/>
            <w:r>
              <w:rPr>
                <w:rFonts w:hint="eastAsia"/>
                <w:color w:val="auto"/>
                <w:szCs w:val="21"/>
              </w:rPr>
              <w:t>(元)</w:t>
            </w:r>
            <w:bookmarkEnd w:id="2270"/>
          </w:p>
        </w:tc>
        <w:tc>
          <w:tcPr>
            <w:tcW w:w="1404" w:type="dxa"/>
            <w:tcBorders>
              <w:top w:val="single" w:color="auto" w:sz="4" w:space="0"/>
              <w:left w:val="nil"/>
              <w:bottom w:val="single" w:color="auto" w:sz="4" w:space="0"/>
              <w:right w:val="single" w:color="auto" w:sz="4" w:space="0"/>
            </w:tcBorders>
            <w:noWrap w:val="0"/>
            <w:vAlign w:val="top"/>
          </w:tcPr>
          <w:p>
            <w:pPr>
              <w:jc w:val="center"/>
              <w:rPr>
                <w:rFonts w:hint="eastAsia"/>
                <w:color w:val="auto"/>
                <w:szCs w:val="21"/>
              </w:rPr>
            </w:pPr>
            <w:r>
              <w:rPr>
                <w:rFonts w:hint="eastAsia"/>
                <w:color w:val="auto"/>
                <w:szCs w:val="21"/>
              </w:rPr>
              <w:t>说明</w:t>
            </w: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71" w:name="_Toc221951448"/>
            <w:r>
              <w:rPr>
                <w:rFonts w:hint="eastAsia"/>
                <w:color w:val="auto"/>
                <w:szCs w:val="21"/>
              </w:rPr>
              <w:t>1</w:t>
            </w:r>
            <w:bookmarkEnd w:id="2271"/>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72" w:name="_Toc221951449"/>
            <w:r>
              <w:rPr>
                <w:rFonts w:hint="eastAsia"/>
                <w:color w:val="auto"/>
                <w:szCs w:val="21"/>
              </w:rPr>
              <w:t>一级xx项目</w:t>
            </w:r>
            <w:bookmarkEnd w:id="2272"/>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73" w:name="_Toc221951450"/>
            <w:r>
              <w:rPr>
                <w:rFonts w:hint="eastAsia"/>
                <w:color w:val="auto"/>
                <w:szCs w:val="21"/>
              </w:rPr>
              <w:t>1.1</w:t>
            </w:r>
            <w:bookmarkEnd w:id="2273"/>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74" w:name="_Toc221951451"/>
            <w:r>
              <w:rPr>
                <w:rFonts w:hint="eastAsia"/>
                <w:color w:val="auto"/>
                <w:szCs w:val="21"/>
              </w:rPr>
              <w:t>二级xx项目</w:t>
            </w:r>
            <w:bookmarkEnd w:id="2274"/>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75" w:name="_Toc221951452"/>
            <w:r>
              <w:rPr>
                <w:rFonts w:hint="eastAsia"/>
                <w:color w:val="auto"/>
                <w:szCs w:val="21"/>
              </w:rPr>
              <w:t>1.1.1</w:t>
            </w:r>
            <w:bookmarkEnd w:id="2275"/>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76" w:name="_Toc221951453"/>
            <w:r>
              <w:rPr>
                <w:rFonts w:hint="eastAsia"/>
                <w:color w:val="auto"/>
                <w:szCs w:val="21"/>
              </w:rPr>
              <w:t>三级xx项目</w:t>
            </w:r>
            <w:bookmarkEnd w:id="2276"/>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bookmarkStart w:id="2277" w:name="_Toc221951454"/>
            <w:r>
              <w:rPr>
                <w:rFonts w:hint="eastAsia"/>
                <w:color w:val="auto"/>
                <w:szCs w:val="21"/>
              </w:rPr>
              <w:t>50xxxxxxxxxx</w:t>
            </w:r>
            <w:bookmarkEnd w:id="2277"/>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78" w:name="_Toc221951455"/>
            <w:r>
              <w:rPr>
                <w:rFonts w:hint="eastAsia"/>
                <w:color w:val="auto"/>
                <w:szCs w:val="21"/>
              </w:rPr>
              <w:t>最末一级项目</w:t>
            </w:r>
            <w:bookmarkEnd w:id="2278"/>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79" w:name="_Toc221951456"/>
            <w:r>
              <w:rPr>
                <w:rFonts w:hint="eastAsia"/>
                <w:color w:val="auto"/>
                <w:szCs w:val="21"/>
              </w:rPr>
              <w:t>1.1.2</w:t>
            </w:r>
            <w:bookmarkEnd w:id="2279"/>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80" w:name="_Toc221951457"/>
            <w:r>
              <w:rPr>
                <w:rFonts w:hint="eastAsia"/>
                <w:color w:val="auto"/>
                <w:szCs w:val="21"/>
              </w:rPr>
              <w:t>2</w:t>
            </w:r>
            <w:bookmarkEnd w:id="2280"/>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81" w:name="_Toc221951458"/>
            <w:r>
              <w:rPr>
                <w:rFonts w:hint="eastAsia"/>
                <w:color w:val="auto"/>
                <w:szCs w:val="21"/>
              </w:rPr>
              <w:t>一级xx项目</w:t>
            </w:r>
            <w:bookmarkEnd w:id="2281"/>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82" w:name="_Toc221951459"/>
            <w:r>
              <w:rPr>
                <w:rFonts w:hint="eastAsia"/>
                <w:color w:val="auto"/>
                <w:szCs w:val="21"/>
              </w:rPr>
              <w:t>2.1</w:t>
            </w:r>
            <w:bookmarkEnd w:id="2282"/>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83" w:name="_Toc221951460"/>
            <w:r>
              <w:rPr>
                <w:rFonts w:hint="eastAsia"/>
                <w:color w:val="auto"/>
                <w:szCs w:val="21"/>
              </w:rPr>
              <w:t>二级xx项目</w:t>
            </w:r>
            <w:bookmarkEnd w:id="2283"/>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84" w:name="_Toc221951461"/>
            <w:r>
              <w:rPr>
                <w:rFonts w:hint="eastAsia"/>
                <w:color w:val="auto"/>
                <w:szCs w:val="21"/>
              </w:rPr>
              <w:t>2.1.1</w:t>
            </w:r>
            <w:bookmarkEnd w:id="2284"/>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85" w:name="_Toc221951462"/>
            <w:r>
              <w:rPr>
                <w:rFonts w:hint="eastAsia"/>
                <w:color w:val="auto"/>
                <w:szCs w:val="21"/>
              </w:rPr>
              <w:t>三级xx项目</w:t>
            </w:r>
            <w:bookmarkEnd w:id="2285"/>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bookmarkStart w:id="2286" w:name="_Toc221951463"/>
            <w:r>
              <w:rPr>
                <w:rFonts w:hint="eastAsia"/>
                <w:color w:val="auto"/>
                <w:szCs w:val="21"/>
              </w:rPr>
              <w:t>50xxxxxxxxxx</w:t>
            </w:r>
            <w:bookmarkEnd w:id="2286"/>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87" w:name="_Toc221951464"/>
            <w:r>
              <w:rPr>
                <w:rFonts w:hint="eastAsia"/>
                <w:color w:val="auto"/>
                <w:szCs w:val="21"/>
              </w:rPr>
              <w:t>最末一级项目</w:t>
            </w:r>
            <w:bookmarkEnd w:id="2287"/>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bookmarkStart w:id="2288" w:name="_Toc221951465"/>
            <w:r>
              <w:rPr>
                <w:rFonts w:hint="eastAsia"/>
                <w:color w:val="auto"/>
                <w:szCs w:val="21"/>
              </w:rPr>
              <w:t>2.1.2</w:t>
            </w:r>
            <w:bookmarkEnd w:id="2288"/>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r>
        <w:tblPrEx>
          <w:tblCellMar>
            <w:top w:w="0" w:type="dxa"/>
            <w:left w:w="108" w:type="dxa"/>
            <w:bottom w:w="0" w:type="dxa"/>
            <w:right w:w="108" w:type="dxa"/>
          </w:tblCellMar>
        </w:tblPrEx>
        <w:trPr>
          <w:trHeight w:val="567" w:hRule="atLeast"/>
          <w:jc w:val="center"/>
        </w:trPr>
        <w:tc>
          <w:tcPr>
            <w:tcW w:w="737" w:type="dxa"/>
            <w:tcBorders>
              <w:top w:val="nil"/>
              <w:left w:val="single" w:color="auto" w:sz="4" w:space="0"/>
              <w:bottom w:val="single" w:color="auto" w:sz="4" w:space="0"/>
              <w:right w:val="single" w:color="auto" w:sz="4" w:space="0"/>
            </w:tcBorders>
            <w:noWrap w:val="0"/>
            <w:vAlign w:val="center"/>
          </w:tcPr>
          <w:p>
            <w:pPr>
              <w:jc w:val="center"/>
              <w:rPr>
                <w:rFonts w:ascii="宋体" w:hAnsi="宋体" w:cs="宋体"/>
                <w:color w:val="auto"/>
                <w:szCs w:val="21"/>
              </w:rPr>
            </w:pPr>
          </w:p>
        </w:tc>
        <w:tc>
          <w:tcPr>
            <w:tcW w:w="1476"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2340" w:type="dxa"/>
            <w:tcBorders>
              <w:top w:val="nil"/>
              <w:left w:val="nil"/>
              <w:bottom w:val="single" w:color="auto" w:sz="4" w:space="0"/>
              <w:right w:val="single" w:color="auto" w:sz="4" w:space="0"/>
            </w:tcBorders>
            <w:noWrap w:val="0"/>
            <w:vAlign w:val="center"/>
          </w:tcPr>
          <w:p>
            <w:pPr>
              <w:rPr>
                <w:rFonts w:ascii="宋体" w:hAnsi="宋体" w:cs="宋体"/>
                <w:color w:val="auto"/>
                <w:szCs w:val="21"/>
              </w:rPr>
            </w:pPr>
            <w:bookmarkStart w:id="2289" w:name="_Toc221951466"/>
            <w:r>
              <w:rPr>
                <w:rFonts w:hint="eastAsia"/>
                <w:color w:val="auto"/>
                <w:szCs w:val="21"/>
              </w:rPr>
              <w:t>合计</w:t>
            </w:r>
            <w:bookmarkEnd w:id="2289"/>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900" w:type="dxa"/>
            <w:tcBorders>
              <w:top w:val="nil"/>
              <w:left w:val="nil"/>
              <w:bottom w:val="single" w:color="auto" w:sz="4" w:space="0"/>
              <w:right w:val="single" w:color="auto" w:sz="4" w:space="0"/>
            </w:tcBorders>
            <w:noWrap w:val="0"/>
            <w:vAlign w:val="center"/>
          </w:tcPr>
          <w:p>
            <w:pPr>
              <w:jc w:val="center"/>
              <w:rPr>
                <w:rFonts w:ascii="宋体" w:hAnsi="宋体" w:cs="宋体"/>
                <w:color w:val="auto"/>
                <w:szCs w:val="21"/>
              </w:rPr>
            </w:pPr>
          </w:p>
        </w:tc>
        <w:tc>
          <w:tcPr>
            <w:tcW w:w="720"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c>
          <w:tcPr>
            <w:tcW w:w="1404" w:type="dxa"/>
            <w:tcBorders>
              <w:top w:val="nil"/>
              <w:left w:val="nil"/>
              <w:bottom w:val="single" w:color="auto" w:sz="4" w:space="0"/>
              <w:right w:val="single" w:color="auto" w:sz="4" w:space="0"/>
            </w:tcBorders>
            <w:noWrap w:val="0"/>
            <w:vAlign w:val="top"/>
          </w:tcPr>
          <w:p>
            <w:pPr>
              <w:jc w:val="center"/>
              <w:rPr>
                <w:rFonts w:ascii="宋体" w:hAnsi="宋体" w:cs="宋体"/>
                <w:color w:val="auto"/>
                <w:szCs w:val="21"/>
              </w:rPr>
            </w:pPr>
          </w:p>
        </w:tc>
      </w:tr>
    </w:tbl>
    <w:p>
      <w:pPr>
        <w:spacing w:line="460" w:lineRule="exact"/>
        <w:rPr>
          <w:rFonts w:hint="eastAsia" w:ascii="宋体" w:hAnsi="宋体"/>
          <w:color w:val="auto"/>
          <w:szCs w:val="21"/>
        </w:rPr>
      </w:pPr>
      <w:r>
        <w:rPr>
          <w:rFonts w:hint="eastAsia" w:ascii="宋体" w:hAnsi="宋体"/>
          <w:color w:val="auto"/>
          <w:szCs w:val="21"/>
        </w:rPr>
        <w:t>注：项目编码应遵守《水利工程工程量清单计价规范》（GB50501-2007）</w:t>
      </w:r>
    </w:p>
    <w:p>
      <w:pPr>
        <w:spacing w:line="460" w:lineRule="exact"/>
        <w:rPr>
          <w:rFonts w:hint="eastAsia" w:ascii="宋体" w:hAnsi="宋体"/>
          <w:color w:val="auto"/>
          <w:sz w:val="32"/>
        </w:rPr>
      </w:pPr>
    </w:p>
    <w:p>
      <w:pPr>
        <w:spacing w:before="120" w:beforeLines="50" w:after="120" w:afterLines="50" w:line="460" w:lineRule="exact"/>
        <w:jc w:val="center"/>
        <w:outlineLvl w:val="2"/>
        <w:rPr>
          <w:rFonts w:hint="eastAsia" w:ascii="宋体" w:hAnsi="宋体"/>
          <w:color w:val="auto"/>
          <w:sz w:val="28"/>
          <w:szCs w:val="28"/>
        </w:rPr>
      </w:pPr>
      <w:bookmarkStart w:id="2290" w:name="_Toc27494"/>
      <w:bookmarkStart w:id="2291" w:name="_Toc221951467"/>
      <w:r>
        <w:rPr>
          <w:rFonts w:hint="eastAsia" w:ascii="宋体" w:hAnsi="宋体"/>
          <w:color w:val="auto"/>
          <w:sz w:val="28"/>
          <w:szCs w:val="28"/>
        </w:rPr>
        <w:t>3.4 措施项目清单计价表</w:t>
      </w:r>
      <w:bookmarkEnd w:id="2290"/>
      <w:bookmarkEnd w:id="2291"/>
    </w:p>
    <w:p>
      <w:pPr>
        <w:spacing w:line="300" w:lineRule="exact"/>
        <w:jc w:val="center"/>
        <w:rPr>
          <w:rFonts w:hint="eastAsia" w:ascii="宋体" w:hAnsi="宋体"/>
          <w:color w:val="auto"/>
          <w:sz w:val="32"/>
        </w:rPr>
      </w:pPr>
    </w:p>
    <w:p>
      <w:pPr>
        <w:rPr>
          <w:rFonts w:hint="eastAsia"/>
          <w:color w:val="auto"/>
        </w:rPr>
      </w:pPr>
      <w:bookmarkStart w:id="2292" w:name="_Toc221951468"/>
      <w:r>
        <w:rPr>
          <w:rFonts w:hint="eastAsia" w:ascii="宋体" w:hAnsi="宋体"/>
          <w:color w:val="auto"/>
          <w:szCs w:val="21"/>
        </w:rPr>
        <w:t>合同编号:</w:t>
      </w:r>
      <w:bookmarkEnd w:id="2292"/>
      <w:r>
        <w:rPr>
          <w:rFonts w:hint="eastAsia" w:ascii="宋体" w:hAnsi="宋体"/>
          <w:color w:val="auto"/>
          <w:szCs w:val="21"/>
        </w:rPr>
        <w:t xml:space="preserve"> </w:t>
      </w:r>
      <w:r>
        <w:rPr>
          <w:rFonts w:hint="eastAsia" w:ascii="宋体" w:hAnsi="宋体"/>
          <w:color w:val="auto"/>
          <w:szCs w:val="21"/>
          <w:u w:val="single"/>
        </w:rPr>
        <w:t xml:space="preserve">                                  </w:t>
      </w:r>
      <w:r>
        <w:rPr>
          <w:rFonts w:hint="eastAsia" w:ascii="宋体" w:hAnsi="宋体"/>
          <w:color w:val="auto"/>
          <w:szCs w:val="21"/>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6266"/>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center"/>
          </w:tcPr>
          <w:p>
            <w:pPr>
              <w:spacing w:line="540" w:lineRule="exact"/>
              <w:jc w:val="center"/>
              <w:rPr>
                <w:rFonts w:hint="eastAsia" w:ascii="宋体" w:hAnsi="宋体"/>
                <w:color w:val="auto"/>
                <w:szCs w:val="21"/>
              </w:rPr>
            </w:pPr>
            <w:bookmarkStart w:id="2293" w:name="_Toc221951470"/>
            <w:r>
              <w:rPr>
                <w:rFonts w:hint="eastAsia" w:ascii="宋体" w:hAnsi="宋体"/>
                <w:color w:val="auto"/>
                <w:szCs w:val="21"/>
              </w:rPr>
              <w:t>序号</w:t>
            </w:r>
            <w:bookmarkEnd w:id="2293"/>
          </w:p>
        </w:tc>
        <w:tc>
          <w:tcPr>
            <w:tcW w:w="6266" w:type="dxa"/>
            <w:noWrap w:val="0"/>
            <w:vAlign w:val="center"/>
          </w:tcPr>
          <w:p>
            <w:pPr>
              <w:spacing w:line="540" w:lineRule="exact"/>
              <w:jc w:val="center"/>
              <w:rPr>
                <w:rFonts w:hint="eastAsia" w:ascii="宋体" w:hAnsi="宋体"/>
                <w:color w:val="auto"/>
                <w:szCs w:val="21"/>
              </w:rPr>
            </w:pPr>
            <w:bookmarkStart w:id="2294" w:name="_Toc221951471"/>
            <w:r>
              <w:rPr>
                <w:rFonts w:hint="eastAsia" w:ascii="宋体" w:hAnsi="宋体"/>
                <w:color w:val="auto"/>
                <w:szCs w:val="21"/>
              </w:rPr>
              <w:t>项目名称</w:t>
            </w:r>
            <w:bookmarkEnd w:id="2294"/>
          </w:p>
        </w:tc>
        <w:tc>
          <w:tcPr>
            <w:tcW w:w="1988" w:type="dxa"/>
            <w:noWrap w:val="0"/>
            <w:vAlign w:val="center"/>
          </w:tcPr>
          <w:p>
            <w:pPr>
              <w:pStyle w:val="96"/>
              <w:widowControl w:val="0"/>
              <w:spacing w:before="0" w:beforeAutospacing="0" w:after="0" w:afterAutospacing="0" w:line="540" w:lineRule="exact"/>
              <w:rPr>
                <w:rFonts w:hint="eastAsia"/>
                <w:color w:val="auto"/>
                <w:kern w:val="2"/>
                <w:sz w:val="21"/>
                <w:szCs w:val="21"/>
              </w:rPr>
            </w:pPr>
            <w:bookmarkStart w:id="2295" w:name="_Toc221951472"/>
            <w:r>
              <w:rPr>
                <w:rFonts w:hint="eastAsia"/>
                <w:color w:val="auto"/>
                <w:kern w:val="2"/>
                <w:sz w:val="21"/>
                <w:szCs w:val="21"/>
              </w:rPr>
              <w:t>金额(元)</w:t>
            </w:r>
            <w:bookmarkEnd w:id="22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49" w:type="dxa"/>
            <w:noWrap w:val="0"/>
            <w:vAlign w:val="top"/>
          </w:tcPr>
          <w:p>
            <w:pPr>
              <w:spacing w:line="540" w:lineRule="exact"/>
              <w:jc w:val="center"/>
              <w:rPr>
                <w:rFonts w:hint="eastAsia" w:ascii="宋体" w:hAnsi="宋体"/>
                <w:color w:val="auto"/>
                <w:szCs w:val="21"/>
              </w:rPr>
            </w:pPr>
          </w:p>
        </w:tc>
        <w:tc>
          <w:tcPr>
            <w:tcW w:w="6266" w:type="dxa"/>
            <w:noWrap w:val="0"/>
            <w:vAlign w:val="top"/>
          </w:tcPr>
          <w:p>
            <w:pPr>
              <w:spacing w:line="540" w:lineRule="exact"/>
              <w:rPr>
                <w:rFonts w:hint="eastAsia" w:ascii="宋体" w:hAnsi="宋体"/>
                <w:color w:val="auto"/>
                <w:szCs w:val="21"/>
              </w:rPr>
            </w:pPr>
          </w:p>
        </w:tc>
        <w:tc>
          <w:tcPr>
            <w:tcW w:w="1988" w:type="dxa"/>
            <w:noWrap w:val="0"/>
            <w:vAlign w:val="top"/>
          </w:tcPr>
          <w:p>
            <w:pPr>
              <w:spacing w:line="540" w:lineRule="exact"/>
              <w:rPr>
                <w:rFonts w:hint="eastAsia" w:ascii="宋体" w:hAnsi="宋体"/>
                <w:color w:val="auto"/>
                <w:szCs w:val="21"/>
              </w:rPr>
            </w:pPr>
          </w:p>
        </w:tc>
      </w:tr>
    </w:tbl>
    <w:p>
      <w:pPr>
        <w:spacing w:line="300" w:lineRule="exact"/>
        <w:ind w:firstLine="3780" w:firstLineChars="1350"/>
        <w:rPr>
          <w:rFonts w:hint="eastAsia" w:ascii="宋体" w:hAnsi="宋体"/>
          <w:color w:val="auto"/>
          <w:sz w:val="28"/>
        </w:rPr>
      </w:pPr>
    </w:p>
    <w:p>
      <w:pPr>
        <w:spacing w:before="120" w:beforeLines="50" w:after="120" w:afterLines="50" w:line="460" w:lineRule="exact"/>
        <w:jc w:val="center"/>
        <w:outlineLvl w:val="2"/>
        <w:rPr>
          <w:rFonts w:hint="eastAsia" w:ascii="宋体" w:hAnsi="宋体"/>
          <w:color w:val="auto"/>
          <w:sz w:val="28"/>
          <w:szCs w:val="28"/>
        </w:rPr>
      </w:pPr>
      <w:bookmarkStart w:id="2296" w:name="_Toc221951473"/>
      <w:r>
        <w:rPr>
          <w:rFonts w:ascii="宋体" w:hAnsi="宋体"/>
          <w:color w:val="auto"/>
          <w:sz w:val="28"/>
          <w:szCs w:val="28"/>
        </w:rPr>
        <w:br w:type="page"/>
      </w:r>
      <w:bookmarkStart w:id="2297" w:name="_Toc14349"/>
      <w:r>
        <w:rPr>
          <w:rFonts w:hint="eastAsia" w:ascii="宋体" w:hAnsi="宋体"/>
          <w:color w:val="auto"/>
          <w:sz w:val="28"/>
          <w:szCs w:val="28"/>
        </w:rPr>
        <w:t>3.5 其他项目清单计价表</w:t>
      </w:r>
      <w:bookmarkEnd w:id="2296"/>
      <w:bookmarkEnd w:id="2297"/>
    </w:p>
    <w:p>
      <w:pPr>
        <w:spacing w:line="300" w:lineRule="exact"/>
        <w:jc w:val="center"/>
        <w:rPr>
          <w:rFonts w:hint="eastAsia" w:ascii="宋体" w:hAnsi="宋体"/>
          <w:color w:val="auto"/>
          <w:sz w:val="32"/>
        </w:rPr>
      </w:pPr>
    </w:p>
    <w:p>
      <w:pPr>
        <w:rPr>
          <w:rFonts w:hint="eastAsia" w:ascii="宋体" w:hAnsi="宋体"/>
          <w:color w:val="auto"/>
          <w:szCs w:val="21"/>
        </w:rPr>
      </w:pPr>
      <w:bookmarkStart w:id="2298" w:name="_Toc221951474"/>
      <w:r>
        <w:rPr>
          <w:rFonts w:hint="eastAsia" w:ascii="宋体" w:hAnsi="宋体"/>
          <w:color w:val="auto"/>
          <w:szCs w:val="21"/>
        </w:rPr>
        <w:t>合同编号:</w:t>
      </w:r>
      <w:bookmarkEnd w:id="2298"/>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3997"/>
        <w:gridCol w:w="1654"/>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540" w:lineRule="exact"/>
              <w:jc w:val="center"/>
              <w:rPr>
                <w:rFonts w:hint="eastAsia" w:ascii="宋体" w:hAnsi="宋体"/>
                <w:color w:val="auto"/>
                <w:szCs w:val="21"/>
              </w:rPr>
            </w:pPr>
            <w:bookmarkStart w:id="2299" w:name="_Toc221951476"/>
            <w:r>
              <w:rPr>
                <w:rFonts w:hint="eastAsia" w:ascii="宋体" w:hAnsi="宋体"/>
                <w:color w:val="auto"/>
                <w:szCs w:val="21"/>
              </w:rPr>
              <w:t>序号</w:t>
            </w:r>
            <w:bookmarkEnd w:id="2299"/>
          </w:p>
        </w:tc>
        <w:tc>
          <w:tcPr>
            <w:tcW w:w="3997" w:type="dxa"/>
            <w:noWrap w:val="0"/>
            <w:vAlign w:val="center"/>
          </w:tcPr>
          <w:p>
            <w:pPr>
              <w:spacing w:line="540" w:lineRule="exact"/>
              <w:jc w:val="center"/>
              <w:rPr>
                <w:rFonts w:hint="eastAsia" w:ascii="宋体" w:hAnsi="宋体"/>
                <w:color w:val="auto"/>
                <w:szCs w:val="21"/>
              </w:rPr>
            </w:pPr>
            <w:bookmarkStart w:id="2300" w:name="_Toc221951477"/>
            <w:r>
              <w:rPr>
                <w:rFonts w:hint="eastAsia" w:ascii="宋体" w:hAnsi="宋体"/>
                <w:color w:val="auto"/>
                <w:szCs w:val="21"/>
              </w:rPr>
              <w:t>项目名称</w:t>
            </w:r>
            <w:bookmarkEnd w:id="2300"/>
          </w:p>
        </w:tc>
        <w:tc>
          <w:tcPr>
            <w:tcW w:w="1654" w:type="dxa"/>
            <w:noWrap w:val="0"/>
            <w:vAlign w:val="center"/>
          </w:tcPr>
          <w:p>
            <w:pPr>
              <w:spacing w:line="540" w:lineRule="exact"/>
              <w:jc w:val="center"/>
              <w:rPr>
                <w:rFonts w:hint="eastAsia" w:ascii="宋体" w:hAnsi="宋体"/>
                <w:color w:val="auto"/>
                <w:szCs w:val="21"/>
              </w:rPr>
            </w:pPr>
            <w:bookmarkStart w:id="2301" w:name="_Toc221951478"/>
            <w:r>
              <w:rPr>
                <w:rFonts w:hint="eastAsia" w:ascii="宋体" w:hAnsi="宋体"/>
                <w:color w:val="auto"/>
                <w:szCs w:val="21"/>
              </w:rPr>
              <w:t>金额(元)</w:t>
            </w:r>
            <w:bookmarkEnd w:id="2301"/>
          </w:p>
        </w:tc>
        <w:tc>
          <w:tcPr>
            <w:tcW w:w="2199" w:type="dxa"/>
            <w:noWrap w:val="0"/>
            <w:vAlign w:val="center"/>
          </w:tcPr>
          <w:p>
            <w:pPr>
              <w:spacing w:line="540" w:lineRule="exact"/>
              <w:jc w:val="center"/>
              <w:rPr>
                <w:rFonts w:hint="eastAsia" w:ascii="宋体" w:hAnsi="宋体"/>
                <w:color w:val="auto"/>
                <w:szCs w:val="21"/>
              </w:rPr>
            </w:pPr>
            <w:bookmarkStart w:id="2302" w:name="_Toc221951479"/>
            <w:r>
              <w:rPr>
                <w:rFonts w:hint="eastAsia" w:ascii="宋体" w:hAnsi="宋体"/>
                <w:color w:val="auto"/>
                <w:szCs w:val="21"/>
              </w:rPr>
              <w:t>备注</w:t>
            </w:r>
            <w:bookmarkEnd w:id="23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380" w:lineRule="exact"/>
              <w:jc w:val="center"/>
              <w:rPr>
                <w:rFonts w:hint="eastAsia" w:ascii="宋体" w:hAnsi="宋体"/>
                <w:color w:val="auto"/>
                <w:szCs w:val="21"/>
              </w:rPr>
            </w:pPr>
          </w:p>
        </w:tc>
        <w:tc>
          <w:tcPr>
            <w:tcW w:w="3997" w:type="dxa"/>
            <w:noWrap w:val="0"/>
            <w:vAlign w:val="center"/>
          </w:tcPr>
          <w:p>
            <w:pPr>
              <w:spacing w:line="380" w:lineRule="exact"/>
              <w:jc w:val="center"/>
              <w:rPr>
                <w:rFonts w:hint="eastAsia" w:ascii="宋体" w:hAnsi="宋体"/>
                <w:color w:val="auto"/>
                <w:szCs w:val="21"/>
              </w:rPr>
            </w:pPr>
          </w:p>
        </w:tc>
        <w:tc>
          <w:tcPr>
            <w:tcW w:w="1654" w:type="dxa"/>
            <w:noWrap w:val="0"/>
            <w:vAlign w:val="center"/>
          </w:tcPr>
          <w:p>
            <w:pPr>
              <w:spacing w:line="380" w:lineRule="exact"/>
              <w:jc w:val="center"/>
              <w:rPr>
                <w:rFonts w:hint="eastAsia" w:ascii="宋体" w:hAnsi="宋体"/>
                <w:color w:val="auto"/>
                <w:szCs w:val="21"/>
              </w:rPr>
            </w:pPr>
          </w:p>
        </w:tc>
        <w:tc>
          <w:tcPr>
            <w:tcW w:w="2199" w:type="dxa"/>
            <w:noWrap w:val="0"/>
            <w:vAlign w:val="center"/>
          </w:tcPr>
          <w:p>
            <w:pPr>
              <w:spacing w:line="380" w:lineRule="exact"/>
              <w:jc w:val="center"/>
              <w:rPr>
                <w:rFonts w:hint="eastAsia" w:ascii="华文新魏" w:hAnsi="宋体" w:eastAsia="华文新魏"/>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6" w:type="dxa"/>
            <w:noWrap w:val="0"/>
            <w:vAlign w:val="center"/>
          </w:tcPr>
          <w:p>
            <w:pPr>
              <w:spacing w:line="460" w:lineRule="exact"/>
              <w:jc w:val="center"/>
              <w:rPr>
                <w:rFonts w:hint="eastAsia" w:ascii="宋体" w:hAnsi="宋体"/>
                <w:color w:val="auto"/>
                <w:szCs w:val="21"/>
              </w:rPr>
            </w:pPr>
          </w:p>
        </w:tc>
        <w:tc>
          <w:tcPr>
            <w:tcW w:w="3997" w:type="dxa"/>
            <w:noWrap w:val="0"/>
            <w:vAlign w:val="center"/>
          </w:tcPr>
          <w:p>
            <w:pPr>
              <w:spacing w:line="460" w:lineRule="exact"/>
              <w:jc w:val="center"/>
              <w:rPr>
                <w:rFonts w:hint="eastAsia" w:ascii="宋体" w:hAnsi="宋体"/>
                <w:color w:val="auto"/>
                <w:szCs w:val="21"/>
              </w:rPr>
            </w:pPr>
            <w:r>
              <w:rPr>
                <w:rFonts w:hint="eastAsia" w:ascii="宋体" w:hAnsi="宋体"/>
                <w:color w:val="auto"/>
                <w:szCs w:val="21"/>
              </w:rPr>
              <w:t>合计</w:t>
            </w:r>
          </w:p>
        </w:tc>
        <w:tc>
          <w:tcPr>
            <w:tcW w:w="1654" w:type="dxa"/>
            <w:noWrap w:val="0"/>
            <w:vAlign w:val="center"/>
          </w:tcPr>
          <w:p>
            <w:pPr>
              <w:spacing w:line="460" w:lineRule="exact"/>
              <w:jc w:val="center"/>
              <w:rPr>
                <w:rFonts w:hint="eastAsia" w:ascii="宋体" w:hAnsi="宋体"/>
                <w:color w:val="auto"/>
                <w:szCs w:val="21"/>
              </w:rPr>
            </w:pPr>
          </w:p>
        </w:tc>
        <w:tc>
          <w:tcPr>
            <w:tcW w:w="2199" w:type="dxa"/>
            <w:noWrap w:val="0"/>
            <w:vAlign w:val="center"/>
          </w:tcPr>
          <w:p>
            <w:pPr>
              <w:spacing w:line="460" w:lineRule="exact"/>
              <w:jc w:val="center"/>
              <w:rPr>
                <w:rFonts w:hint="eastAsia" w:ascii="宋体" w:hAnsi="宋体"/>
                <w:color w:val="auto"/>
                <w:szCs w:val="21"/>
              </w:rPr>
            </w:pPr>
          </w:p>
        </w:tc>
      </w:tr>
    </w:tbl>
    <w:p>
      <w:pPr>
        <w:spacing w:line="460" w:lineRule="exact"/>
        <w:jc w:val="center"/>
        <w:rPr>
          <w:rFonts w:hint="eastAsia" w:ascii="宋体" w:hAnsi="宋体"/>
          <w:color w:val="auto"/>
          <w:sz w:val="24"/>
        </w:rPr>
      </w:pPr>
    </w:p>
    <w:p>
      <w:pPr>
        <w:spacing w:line="460" w:lineRule="exact"/>
        <w:jc w:val="center"/>
        <w:rPr>
          <w:rFonts w:hint="eastAsia" w:ascii="宋体" w:hAnsi="宋体"/>
          <w:color w:val="auto"/>
          <w:sz w:val="24"/>
        </w:rPr>
      </w:pPr>
    </w:p>
    <w:p>
      <w:pPr>
        <w:spacing w:before="120" w:beforeLines="50" w:after="120" w:afterLines="50" w:line="460" w:lineRule="exact"/>
        <w:jc w:val="center"/>
        <w:outlineLvl w:val="2"/>
        <w:rPr>
          <w:rFonts w:hint="eastAsia" w:ascii="宋体" w:hAnsi="宋体"/>
          <w:color w:val="auto"/>
          <w:sz w:val="28"/>
          <w:szCs w:val="28"/>
        </w:rPr>
      </w:pPr>
      <w:bookmarkStart w:id="2303" w:name="_Toc221951480"/>
      <w:bookmarkStart w:id="2304" w:name="_Toc9343"/>
      <w:r>
        <w:rPr>
          <w:rFonts w:hint="eastAsia" w:ascii="宋体" w:hAnsi="宋体"/>
          <w:color w:val="auto"/>
          <w:sz w:val="28"/>
          <w:szCs w:val="28"/>
        </w:rPr>
        <w:t>3.6 计日工项目计价表</w:t>
      </w:r>
      <w:bookmarkEnd w:id="2303"/>
      <w:bookmarkEnd w:id="2304"/>
    </w:p>
    <w:p>
      <w:pPr>
        <w:spacing w:line="300" w:lineRule="exact"/>
        <w:jc w:val="center"/>
        <w:rPr>
          <w:rFonts w:hint="eastAsia" w:ascii="宋体" w:hAnsi="宋体"/>
          <w:color w:val="auto"/>
          <w:sz w:val="32"/>
        </w:rPr>
      </w:pPr>
    </w:p>
    <w:p>
      <w:pPr>
        <w:rPr>
          <w:rFonts w:hint="eastAsia" w:ascii="宋体" w:hAnsi="宋体"/>
          <w:color w:val="auto"/>
          <w:szCs w:val="21"/>
          <w:u w:val="single"/>
        </w:rPr>
      </w:pPr>
      <w:bookmarkStart w:id="2305" w:name="_Toc221951481"/>
      <w:r>
        <w:rPr>
          <w:rFonts w:hint="eastAsia" w:ascii="宋体" w:hAnsi="宋体"/>
          <w:color w:val="auto"/>
          <w:szCs w:val="21"/>
        </w:rPr>
        <w:t>合同编号:</w:t>
      </w:r>
      <w:bookmarkEnd w:id="2305"/>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2461"/>
        <w:gridCol w:w="1797"/>
        <w:gridCol w:w="1431"/>
        <w:gridCol w:w="1231"/>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center"/>
          </w:tcPr>
          <w:p>
            <w:pPr>
              <w:spacing w:line="460" w:lineRule="exact"/>
              <w:jc w:val="center"/>
              <w:rPr>
                <w:rFonts w:hint="eastAsia" w:ascii="宋体" w:hAnsi="宋体"/>
                <w:color w:val="auto"/>
                <w:szCs w:val="21"/>
              </w:rPr>
            </w:pPr>
            <w:bookmarkStart w:id="2306" w:name="_Toc221951483"/>
            <w:r>
              <w:rPr>
                <w:rFonts w:hint="eastAsia" w:ascii="宋体" w:hAnsi="宋体"/>
                <w:color w:val="auto"/>
                <w:szCs w:val="21"/>
              </w:rPr>
              <w:t>序号</w:t>
            </w:r>
            <w:bookmarkEnd w:id="2306"/>
          </w:p>
        </w:tc>
        <w:tc>
          <w:tcPr>
            <w:tcW w:w="2461" w:type="dxa"/>
            <w:noWrap w:val="0"/>
            <w:vAlign w:val="center"/>
          </w:tcPr>
          <w:p>
            <w:pPr>
              <w:spacing w:line="460" w:lineRule="exact"/>
              <w:jc w:val="center"/>
              <w:rPr>
                <w:rFonts w:hint="eastAsia" w:ascii="宋体" w:hAnsi="宋体"/>
                <w:color w:val="auto"/>
                <w:szCs w:val="21"/>
              </w:rPr>
            </w:pPr>
            <w:bookmarkStart w:id="2307" w:name="_Toc221951484"/>
            <w:r>
              <w:rPr>
                <w:rFonts w:hint="eastAsia" w:ascii="宋体" w:hAnsi="宋体"/>
                <w:color w:val="auto"/>
                <w:szCs w:val="21"/>
              </w:rPr>
              <w:t>名称</w:t>
            </w:r>
            <w:bookmarkEnd w:id="2307"/>
          </w:p>
        </w:tc>
        <w:tc>
          <w:tcPr>
            <w:tcW w:w="1797" w:type="dxa"/>
            <w:noWrap w:val="0"/>
            <w:vAlign w:val="center"/>
          </w:tcPr>
          <w:p>
            <w:pPr>
              <w:spacing w:line="460" w:lineRule="exact"/>
              <w:jc w:val="center"/>
              <w:rPr>
                <w:rFonts w:hint="eastAsia" w:ascii="宋体" w:hAnsi="宋体"/>
                <w:color w:val="auto"/>
                <w:szCs w:val="21"/>
              </w:rPr>
            </w:pPr>
            <w:bookmarkStart w:id="2308" w:name="_Toc221951485"/>
            <w:r>
              <w:rPr>
                <w:rFonts w:hint="eastAsia" w:ascii="宋体" w:hAnsi="宋体"/>
                <w:color w:val="auto"/>
                <w:szCs w:val="21"/>
              </w:rPr>
              <w:t>型号规格</w:t>
            </w:r>
            <w:bookmarkEnd w:id="2308"/>
          </w:p>
        </w:tc>
        <w:tc>
          <w:tcPr>
            <w:tcW w:w="1431" w:type="dxa"/>
            <w:noWrap w:val="0"/>
            <w:vAlign w:val="center"/>
          </w:tcPr>
          <w:p>
            <w:pPr>
              <w:spacing w:line="460" w:lineRule="exact"/>
              <w:jc w:val="center"/>
              <w:rPr>
                <w:rFonts w:hint="eastAsia" w:ascii="宋体" w:hAnsi="宋体"/>
                <w:color w:val="auto"/>
                <w:szCs w:val="21"/>
              </w:rPr>
            </w:pPr>
            <w:bookmarkStart w:id="2309" w:name="_Toc221951486"/>
            <w:r>
              <w:rPr>
                <w:rFonts w:hint="eastAsia" w:ascii="宋体" w:hAnsi="宋体"/>
                <w:color w:val="auto"/>
                <w:szCs w:val="21"/>
              </w:rPr>
              <w:t>计量单位</w:t>
            </w:r>
            <w:bookmarkEnd w:id="2309"/>
          </w:p>
        </w:tc>
        <w:tc>
          <w:tcPr>
            <w:tcW w:w="1231" w:type="dxa"/>
            <w:noWrap w:val="0"/>
            <w:vAlign w:val="center"/>
          </w:tcPr>
          <w:p>
            <w:pPr>
              <w:spacing w:line="460" w:lineRule="exact"/>
              <w:jc w:val="center"/>
              <w:rPr>
                <w:rFonts w:hint="eastAsia" w:ascii="宋体" w:hAnsi="宋体"/>
                <w:color w:val="auto"/>
                <w:szCs w:val="21"/>
              </w:rPr>
            </w:pPr>
            <w:bookmarkStart w:id="2310" w:name="_Toc221951487"/>
            <w:r>
              <w:rPr>
                <w:rFonts w:hint="eastAsia" w:ascii="宋体" w:hAnsi="宋体"/>
                <w:color w:val="auto"/>
                <w:szCs w:val="21"/>
              </w:rPr>
              <w:t>单价(元)</w:t>
            </w:r>
            <w:bookmarkEnd w:id="2310"/>
          </w:p>
        </w:tc>
        <w:tc>
          <w:tcPr>
            <w:tcW w:w="1310" w:type="dxa"/>
            <w:noWrap w:val="0"/>
            <w:vAlign w:val="center"/>
          </w:tcPr>
          <w:p>
            <w:pPr>
              <w:spacing w:line="460" w:lineRule="exact"/>
              <w:jc w:val="center"/>
              <w:rPr>
                <w:rFonts w:hint="eastAsia" w:ascii="宋体" w:hAnsi="宋体"/>
                <w:color w:val="auto"/>
                <w:szCs w:val="21"/>
              </w:rPr>
            </w:pPr>
            <w:bookmarkStart w:id="2311" w:name="_Toc221951488"/>
            <w:r>
              <w:rPr>
                <w:rFonts w:hint="eastAsia" w:ascii="宋体" w:hAnsi="宋体"/>
                <w:color w:val="auto"/>
                <w:szCs w:val="21"/>
              </w:rPr>
              <w:t>备注</w:t>
            </w:r>
            <w:bookmarkEnd w:id="23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bookmarkStart w:id="2312" w:name="_Toc221951489"/>
            <w:r>
              <w:rPr>
                <w:rFonts w:hint="eastAsia" w:ascii="宋体" w:hAnsi="宋体"/>
                <w:color w:val="auto"/>
                <w:szCs w:val="21"/>
              </w:rPr>
              <w:t>1</w:t>
            </w:r>
            <w:bookmarkEnd w:id="2312"/>
          </w:p>
        </w:tc>
        <w:tc>
          <w:tcPr>
            <w:tcW w:w="2461" w:type="dxa"/>
            <w:noWrap w:val="0"/>
            <w:vAlign w:val="top"/>
          </w:tcPr>
          <w:p>
            <w:pPr>
              <w:spacing w:line="460" w:lineRule="exact"/>
              <w:rPr>
                <w:rFonts w:hint="eastAsia" w:ascii="宋体" w:hAnsi="宋体"/>
                <w:color w:val="auto"/>
                <w:szCs w:val="21"/>
              </w:rPr>
            </w:pPr>
            <w:bookmarkStart w:id="2313" w:name="_Toc221951490"/>
            <w:r>
              <w:rPr>
                <w:rFonts w:hint="eastAsia" w:ascii="宋体" w:hAnsi="宋体"/>
                <w:color w:val="auto"/>
                <w:szCs w:val="21"/>
              </w:rPr>
              <w:t>人工</w:t>
            </w:r>
            <w:bookmarkEnd w:id="2313"/>
          </w:p>
        </w:tc>
        <w:tc>
          <w:tcPr>
            <w:tcW w:w="1797" w:type="dxa"/>
            <w:noWrap w:val="0"/>
            <w:vAlign w:val="center"/>
          </w:tcPr>
          <w:p>
            <w:pPr>
              <w:spacing w:line="460" w:lineRule="exact"/>
              <w:jc w:val="center"/>
              <w:rPr>
                <w:rFonts w:hint="eastAsia" w:ascii="宋体" w:hAnsi="宋体"/>
                <w:color w:val="auto"/>
                <w:szCs w:val="21"/>
              </w:rPr>
            </w:pPr>
          </w:p>
        </w:tc>
        <w:tc>
          <w:tcPr>
            <w:tcW w:w="1431" w:type="dxa"/>
            <w:noWrap w:val="0"/>
            <w:vAlign w:val="center"/>
          </w:tcPr>
          <w:p>
            <w:pPr>
              <w:spacing w:line="460" w:lineRule="exact"/>
              <w:jc w:val="center"/>
              <w:rPr>
                <w:rFonts w:hint="eastAsia" w:ascii="宋体" w:hAnsi="宋体"/>
                <w:color w:val="auto"/>
                <w:szCs w:val="21"/>
              </w:rPr>
            </w:pPr>
          </w:p>
        </w:tc>
        <w:tc>
          <w:tcPr>
            <w:tcW w:w="1231" w:type="dxa"/>
            <w:noWrap w:val="0"/>
            <w:vAlign w:val="center"/>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center"/>
          </w:tcPr>
          <w:p>
            <w:pPr>
              <w:spacing w:line="460" w:lineRule="exact"/>
              <w:jc w:val="center"/>
              <w:rPr>
                <w:rFonts w:hint="eastAsia" w:ascii="宋体" w:hAnsi="宋体"/>
                <w:color w:val="auto"/>
                <w:szCs w:val="21"/>
              </w:rPr>
            </w:pPr>
          </w:p>
        </w:tc>
        <w:tc>
          <w:tcPr>
            <w:tcW w:w="1431" w:type="dxa"/>
            <w:noWrap w:val="0"/>
            <w:vAlign w:val="center"/>
          </w:tcPr>
          <w:p>
            <w:pPr>
              <w:spacing w:line="460" w:lineRule="exact"/>
              <w:jc w:val="center"/>
              <w:rPr>
                <w:rFonts w:hint="eastAsia" w:ascii="宋体" w:hAnsi="宋体"/>
                <w:color w:val="auto"/>
                <w:szCs w:val="21"/>
              </w:rPr>
            </w:pPr>
          </w:p>
        </w:tc>
        <w:tc>
          <w:tcPr>
            <w:tcW w:w="1231" w:type="dxa"/>
            <w:noWrap w:val="0"/>
            <w:vAlign w:val="center"/>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center"/>
          </w:tcPr>
          <w:p>
            <w:pPr>
              <w:spacing w:line="460" w:lineRule="exact"/>
              <w:jc w:val="center"/>
              <w:rPr>
                <w:rFonts w:hint="eastAsia" w:ascii="宋体" w:hAnsi="宋体"/>
                <w:color w:val="auto"/>
                <w:szCs w:val="21"/>
              </w:rPr>
            </w:pPr>
          </w:p>
        </w:tc>
        <w:tc>
          <w:tcPr>
            <w:tcW w:w="1431" w:type="dxa"/>
            <w:noWrap w:val="0"/>
            <w:vAlign w:val="center"/>
          </w:tcPr>
          <w:p>
            <w:pPr>
              <w:spacing w:line="460" w:lineRule="exact"/>
              <w:jc w:val="center"/>
              <w:rPr>
                <w:rFonts w:hint="eastAsia" w:ascii="宋体" w:hAnsi="宋体"/>
                <w:color w:val="auto"/>
                <w:szCs w:val="21"/>
              </w:rPr>
            </w:pPr>
          </w:p>
        </w:tc>
        <w:tc>
          <w:tcPr>
            <w:tcW w:w="1231" w:type="dxa"/>
            <w:noWrap w:val="0"/>
            <w:vAlign w:val="center"/>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center"/>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bookmarkStart w:id="2314" w:name="_Toc221951491"/>
            <w:r>
              <w:rPr>
                <w:rFonts w:hint="eastAsia" w:ascii="宋体" w:hAnsi="宋体"/>
                <w:color w:val="auto"/>
                <w:szCs w:val="21"/>
              </w:rPr>
              <w:t>2</w:t>
            </w:r>
            <w:bookmarkEnd w:id="2314"/>
          </w:p>
        </w:tc>
        <w:tc>
          <w:tcPr>
            <w:tcW w:w="2461" w:type="dxa"/>
            <w:noWrap w:val="0"/>
            <w:vAlign w:val="top"/>
          </w:tcPr>
          <w:p>
            <w:pPr>
              <w:spacing w:line="460" w:lineRule="exact"/>
              <w:rPr>
                <w:rFonts w:hint="eastAsia" w:ascii="宋体" w:hAnsi="宋体"/>
                <w:color w:val="auto"/>
                <w:szCs w:val="21"/>
              </w:rPr>
            </w:pPr>
            <w:bookmarkStart w:id="2315" w:name="_Toc221951492"/>
            <w:r>
              <w:rPr>
                <w:rFonts w:hint="eastAsia" w:ascii="宋体" w:hAnsi="宋体"/>
                <w:color w:val="auto"/>
                <w:szCs w:val="21"/>
              </w:rPr>
              <w:t>材料</w:t>
            </w:r>
            <w:bookmarkEnd w:id="2315"/>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center"/>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bookmarkStart w:id="2316" w:name="_Toc221951493"/>
            <w:r>
              <w:rPr>
                <w:rFonts w:hint="eastAsia" w:ascii="宋体" w:hAnsi="宋体"/>
                <w:color w:val="auto"/>
                <w:szCs w:val="21"/>
              </w:rPr>
              <w:t>3</w:t>
            </w:r>
            <w:bookmarkEnd w:id="2316"/>
          </w:p>
        </w:tc>
        <w:tc>
          <w:tcPr>
            <w:tcW w:w="2461" w:type="dxa"/>
            <w:noWrap w:val="0"/>
            <w:vAlign w:val="top"/>
          </w:tcPr>
          <w:p>
            <w:pPr>
              <w:spacing w:line="460" w:lineRule="exact"/>
              <w:rPr>
                <w:rFonts w:hint="eastAsia" w:ascii="宋体" w:hAnsi="宋体"/>
                <w:color w:val="auto"/>
                <w:szCs w:val="21"/>
              </w:rPr>
            </w:pPr>
            <w:bookmarkStart w:id="2317" w:name="_Toc221951494"/>
            <w:r>
              <w:rPr>
                <w:rFonts w:hint="eastAsia" w:ascii="宋体" w:hAnsi="宋体"/>
                <w:color w:val="auto"/>
                <w:szCs w:val="21"/>
              </w:rPr>
              <w:t>机械</w:t>
            </w:r>
            <w:bookmarkEnd w:id="2317"/>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69" w:type="dxa"/>
            <w:noWrap w:val="0"/>
            <w:vAlign w:val="top"/>
          </w:tcPr>
          <w:p>
            <w:pPr>
              <w:spacing w:line="460" w:lineRule="exact"/>
              <w:jc w:val="center"/>
              <w:rPr>
                <w:rFonts w:hint="eastAsia" w:ascii="宋体" w:hAnsi="宋体"/>
                <w:color w:val="auto"/>
                <w:szCs w:val="21"/>
              </w:rPr>
            </w:pPr>
          </w:p>
        </w:tc>
        <w:tc>
          <w:tcPr>
            <w:tcW w:w="2461" w:type="dxa"/>
            <w:noWrap w:val="0"/>
            <w:vAlign w:val="top"/>
          </w:tcPr>
          <w:p>
            <w:pPr>
              <w:spacing w:line="460" w:lineRule="exact"/>
              <w:rPr>
                <w:rFonts w:hint="eastAsia" w:ascii="宋体" w:hAnsi="宋体"/>
                <w:color w:val="auto"/>
                <w:szCs w:val="21"/>
              </w:rPr>
            </w:pPr>
          </w:p>
        </w:tc>
        <w:tc>
          <w:tcPr>
            <w:tcW w:w="1797" w:type="dxa"/>
            <w:noWrap w:val="0"/>
            <w:vAlign w:val="top"/>
          </w:tcPr>
          <w:p>
            <w:pPr>
              <w:spacing w:line="460" w:lineRule="exact"/>
              <w:jc w:val="center"/>
              <w:rPr>
                <w:rFonts w:hint="eastAsia" w:ascii="宋体" w:hAnsi="宋体"/>
                <w:color w:val="auto"/>
                <w:szCs w:val="21"/>
              </w:rPr>
            </w:pPr>
          </w:p>
        </w:tc>
        <w:tc>
          <w:tcPr>
            <w:tcW w:w="1431" w:type="dxa"/>
            <w:noWrap w:val="0"/>
            <w:vAlign w:val="top"/>
          </w:tcPr>
          <w:p>
            <w:pPr>
              <w:spacing w:line="460" w:lineRule="exact"/>
              <w:jc w:val="center"/>
              <w:rPr>
                <w:rFonts w:hint="eastAsia" w:ascii="宋体" w:hAnsi="宋体"/>
                <w:color w:val="auto"/>
                <w:szCs w:val="21"/>
              </w:rPr>
            </w:pPr>
          </w:p>
        </w:tc>
        <w:tc>
          <w:tcPr>
            <w:tcW w:w="1231" w:type="dxa"/>
            <w:noWrap w:val="0"/>
            <w:vAlign w:val="top"/>
          </w:tcPr>
          <w:p>
            <w:pPr>
              <w:spacing w:line="460" w:lineRule="exact"/>
              <w:jc w:val="center"/>
              <w:rPr>
                <w:rFonts w:hint="eastAsia" w:ascii="宋体" w:hAnsi="宋体"/>
                <w:color w:val="auto"/>
                <w:szCs w:val="21"/>
              </w:rPr>
            </w:pPr>
          </w:p>
        </w:tc>
        <w:tc>
          <w:tcPr>
            <w:tcW w:w="1310" w:type="dxa"/>
            <w:noWrap w:val="0"/>
            <w:vAlign w:val="top"/>
          </w:tcPr>
          <w:p>
            <w:pPr>
              <w:spacing w:line="460" w:lineRule="exact"/>
              <w:jc w:val="center"/>
              <w:rPr>
                <w:rFonts w:hint="eastAsia" w:ascii="宋体" w:hAnsi="宋体"/>
                <w:color w:val="auto"/>
                <w:szCs w:val="21"/>
              </w:rPr>
            </w:pPr>
          </w:p>
        </w:tc>
      </w:tr>
    </w:tbl>
    <w:p>
      <w:pPr>
        <w:spacing w:line="420" w:lineRule="exact"/>
        <w:ind w:firstLine="4560" w:firstLineChars="1900"/>
        <w:rPr>
          <w:rFonts w:hint="eastAsia" w:ascii="宋体" w:hAnsi="宋体"/>
          <w:color w:val="auto"/>
          <w:sz w:val="24"/>
        </w:rPr>
        <w:sectPr>
          <w:footerReference r:id="rId11" w:type="first"/>
          <w:footerReference r:id="rId10" w:type="default"/>
          <w:pgSz w:w="11906" w:h="16838"/>
          <w:pgMar w:top="1418" w:right="1469" w:bottom="1418" w:left="1418" w:header="851" w:footer="992" w:gutter="0"/>
          <w:pgNumType w:fmt="decimal"/>
          <w:cols w:space="720" w:num="1"/>
          <w:titlePg/>
          <w:docGrid w:linePitch="312" w:charSpace="0"/>
        </w:sectPr>
      </w:pPr>
      <w:r>
        <w:rPr>
          <w:rFonts w:hint="eastAsia" w:ascii="宋体" w:hAnsi="宋体"/>
          <w:color w:val="auto"/>
          <w:sz w:val="24"/>
        </w:rPr>
        <w:t xml:space="preserve"> </w:t>
      </w:r>
    </w:p>
    <w:p>
      <w:pPr>
        <w:spacing w:before="120" w:beforeLines="50" w:after="120" w:afterLines="50" w:line="460" w:lineRule="exact"/>
        <w:jc w:val="center"/>
        <w:outlineLvl w:val="2"/>
        <w:rPr>
          <w:rFonts w:hint="eastAsia" w:ascii="宋体" w:hAnsi="宋体"/>
          <w:color w:val="auto"/>
          <w:sz w:val="28"/>
          <w:szCs w:val="28"/>
        </w:rPr>
      </w:pPr>
      <w:bookmarkStart w:id="2318" w:name="_Toc24741"/>
      <w:bookmarkStart w:id="2319" w:name="_Toc221951495"/>
      <w:r>
        <w:rPr>
          <w:rFonts w:hint="eastAsia" w:ascii="宋体" w:hAnsi="宋体"/>
          <w:color w:val="auto"/>
          <w:sz w:val="28"/>
          <w:szCs w:val="28"/>
        </w:rPr>
        <w:t>3.7 工程单价汇总表</w:t>
      </w:r>
      <w:bookmarkEnd w:id="2318"/>
      <w:bookmarkEnd w:id="2319"/>
    </w:p>
    <w:p>
      <w:pPr>
        <w:spacing w:line="300" w:lineRule="exact"/>
        <w:jc w:val="center"/>
        <w:rPr>
          <w:rFonts w:hint="eastAsia" w:ascii="宋体" w:hAnsi="宋体"/>
          <w:color w:val="auto"/>
          <w:sz w:val="32"/>
        </w:rPr>
      </w:pPr>
    </w:p>
    <w:p>
      <w:pPr>
        <w:rPr>
          <w:rFonts w:hint="eastAsia" w:ascii="宋体" w:hAnsi="宋体"/>
          <w:color w:val="auto"/>
          <w:szCs w:val="21"/>
        </w:rPr>
      </w:pPr>
      <w:bookmarkStart w:id="2320" w:name="_Toc221951496"/>
      <w:r>
        <w:rPr>
          <w:rFonts w:hint="eastAsia" w:ascii="宋体" w:hAnsi="宋体"/>
          <w:color w:val="auto"/>
          <w:szCs w:val="21"/>
        </w:rPr>
        <w:t>合同编号:</w:t>
      </w:r>
      <w:bookmarkEnd w:id="2320"/>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160"/>
        <w:gridCol w:w="1080"/>
        <w:gridCol w:w="1069"/>
        <w:gridCol w:w="1070"/>
        <w:gridCol w:w="1070"/>
        <w:gridCol w:w="1070"/>
        <w:gridCol w:w="1070"/>
        <w:gridCol w:w="1070"/>
        <w:gridCol w:w="1070"/>
        <w:gridCol w:w="1070"/>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华文新魏" w:hAnsi="宋体" w:eastAsia="华文新魏"/>
                <w:color w:val="auto"/>
                <w:szCs w:val="21"/>
              </w:rPr>
            </w:pPr>
            <w:r>
              <w:rPr>
                <w:rFonts w:hint="eastAsia" w:ascii="宋体" w:hAnsi="宋体"/>
                <w:color w:val="auto"/>
                <w:kern w:val="0"/>
                <w:szCs w:val="21"/>
              </w:rPr>
              <w:t>序号</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项目名</w:t>
            </w:r>
            <w:r>
              <w:rPr>
                <w:color w:val="auto"/>
                <w:kern w:val="2"/>
                <w:sz w:val="21"/>
                <w:szCs w:val="21"/>
              </w:rPr>
              <w:t>称</w:t>
            </w:r>
          </w:p>
        </w:tc>
        <w:tc>
          <w:tcPr>
            <w:tcW w:w="1080"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计量单位</w:t>
            </w:r>
          </w:p>
        </w:tc>
        <w:tc>
          <w:tcPr>
            <w:tcW w:w="3209" w:type="dxa"/>
            <w:gridSpan w:val="3"/>
            <w:noWrap w:val="0"/>
            <w:vAlign w:val="center"/>
          </w:tcPr>
          <w:p>
            <w:pPr>
              <w:jc w:val="center"/>
              <w:rPr>
                <w:rFonts w:hint="eastAsia" w:ascii="宋体" w:hAnsi="宋体"/>
                <w:color w:val="auto"/>
                <w:szCs w:val="21"/>
              </w:rPr>
            </w:pPr>
            <w:r>
              <w:rPr>
                <w:rFonts w:hint="eastAsia" w:ascii="宋体" w:hAnsi="宋体"/>
                <w:color w:val="auto"/>
                <w:szCs w:val="21"/>
              </w:rPr>
              <w:t>基本直接费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间接费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企业利润</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材料补差</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未计价装置性材料费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税金</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kern w:val="0"/>
                <w:szCs w:val="21"/>
              </w:rPr>
            </w:pPr>
          </w:p>
        </w:tc>
        <w:tc>
          <w:tcPr>
            <w:tcW w:w="2160" w:type="dxa"/>
            <w:noWrap w:val="0"/>
            <w:vAlign w:val="center"/>
          </w:tcPr>
          <w:p>
            <w:pPr>
              <w:pStyle w:val="101"/>
              <w:widowControl w:val="0"/>
              <w:spacing w:before="0" w:beforeAutospacing="0" w:after="0" w:afterAutospacing="0"/>
              <w:jc w:val="center"/>
              <w:rPr>
                <w:color w:val="auto"/>
                <w:sz w:val="21"/>
                <w:szCs w:val="21"/>
              </w:rPr>
            </w:pPr>
          </w:p>
        </w:tc>
        <w:tc>
          <w:tcPr>
            <w:tcW w:w="1080" w:type="dxa"/>
            <w:noWrap w:val="0"/>
            <w:vAlign w:val="center"/>
          </w:tcPr>
          <w:p>
            <w:pPr>
              <w:pStyle w:val="101"/>
              <w:widowControl w:val="0"/>
              <w:spacing w:before="0" w:beforeAutospacing="0" w:after="0" w:afterAutospacing="0"/>
              <w:jc w:val="center"/>
              <w:rPr>
                <w:color w:val="auto"/>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人工费</w:t>
            </w:r>
          </w:p>
        </w:tc>
        <w:tc>
          <w:tcPr>
            <w:tcW w:w="1070" w:type="dxa"/>
            <w:noWrap w:val="0"/>
            <w:vAlign w:val="center"/>
          </w:tcPr>
          <w:p>
            <w:pPr>
              <w:jc w:val="center"/>
              <w:rPr>
                <w:rFonts w:hint="eastAsia" w:ascii="宋体" w:hAnsi="宋体"/>
                <w:color w:val="auto"/>
                <w:szCs w:val="21"/>
              </w:rPr>
            </w:pPr>
            <w:r>
              <w:rPr>
                <w:rFonts w:hint="eastAsia" w:ascii="宋体" w:hAnsi="宋体"/>
                <w:color w:val="auto"/>
                <w:szCs w:val="21"/>
              </w:rPr>
              <w:t>材料费</w:t>
            </w:r>
          </w:p>
        </w:tc>
        <w:tc>
          <w:tcPr>
            <w:tcW w:w="1070" w:type="dxa"/>
            <w:noWrap w:val="0"/>
            <w:vAlign w:val="center"/>
          </w:tcPr>
          <w:p>
            <w:pPr>
              <w:jc w:val="center"/>
              <w:rPr>
                <w:rFonts w:hint="eastAsia" w:ascii="宋体" w:hAnsi="宋体"/>
                <w:color w:val="auto"/>
                <w:szCs w:val="21"/>
              </w:rPr>
            </w:pPr>
            <w:r>
              <w:rPr>
                <w:rFonts w:hint="eastAsia" w:ascii="宋体" w:hAnsi="宋体"/>
                <w:color w:val="auto"/>
                <w:szCs w:val="21"/>
              </w:rPr>
              <w:t>机  械</w:t>
            </w:r>
          </w:p>
          <w:p>
            <w:pPr>
              <w:jc w:val="center"/>
              <w:rPr>
                <w:rFonts w:hint="eastAsia" w:ascii="宋体" w:hAnsi="宋体"/>
                <w:color w:val="auto"/>
                <w:szCs w:val="21"/>
              </w:rPr>
            </w:pPr>
            <w:r>
              <w:rPr>
                <w:rFonts w:hint="eastAsia" w:ascii="宋体" w:hAnsi="宋体"/>
                <w:color w:val="auto"/>
                <w:szCs w:val="21"/>
              </w:rPr>
              <w:t>使用费</w:t>
            </w:r>
          </w:p>
        </w:tc>
        <w:tc>
          <w:tcPr>
            <w:tcW w:w="1070" w:type="dxa"/>
            <w:vMerge w:val="continue"/>
            <w:noWrap w:val="0"/>
            <w:vAlign w:val="top"/>
          </w:tcPr>
          <w:p>
            <w:pPr>
              <w:jc w:val="center"/>
              <w:rPr>
                <w:rFonts w:hint="eastAsia" w:ascii="宋体" w:hAnsi="宋体"/>
                <w:color w:val="auto"/>
                <w:szCs w:val="21"/>
              </w:rPr>
            </w:pPr>
          </w:p>
        </w:tc>
        <w:tc>
          <w:tcPr>
            <w:tcW w:w="1070" w:type="dxa"/>
            <w:vMerge w:val="continue"/>
            <w:noWrap w:val="0"/>
            <w:vAlign w:val="top"/>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r>
              <w:rPr>
                <w:rFonts w:hint="eastAsia" w:ascii="宋体" w:hAnsi="宋体"/>
                <w:color w:val="auto"/>
                <w:szCs w:val="21"/>
              </w:rPr>
              <w:t>一</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kern w:val="2"/>
                <w:sz w:val="21"/>
                <w:szCs w:val="21"/>
              </w:rPr>
              <w:t>建筑工程</w:t>
            </w: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r>
              <w:rPr>
                <w:rFonts w:hint="eastAsia" w:ascii="宋体" w:hAnsi="宋体"/>
                <w:color w:val="auto"/>
                <w:szCs w:val="21"/>
              </w:rPr>
              <w:t>二</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kern w:val="2"/>
                <w:sz w:val="21"/>
                <w:szCs w:val="21"/>
              </w:rPr>
              <w:t>安装工程</w:t>
            </w: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bl>
    <w:p>
      <w:pPr>
        <w:rPr>
          <w:rFonts w:hint="eastAsia" w:ascii="宋体" w:hAnsi="宋体"/>
          <w:color w:val="auto"/>
          <w:szCs w:val="21"/>
        </w:rPr>
      </w:pPr>
    </w:p>
    <w:p>
      <w:pPr>
        <w:rPr>
          <w:rFonts w:hint="eastAsia" w:ascii="宋体" w:hAnsi="宋体"/>
          <w:color w:val="auto"/>
          <w:szCs w:val="21"/>
        </w:rPr>
      </w:pPr>
    </w:p>
    <w:p>
      <w:pPr>
        <w:spacing w:line="420" w:lineRule="exact"/>
        <w:ind w:firstLine="9156"/>
        <w:rPr>
          <w:rFonts w:ascii="宋体" w:hAnsi="宋体"/>
          <w:color w:val="auto"/>
          <w:sz w:val="24"/>
        </w:rPr>
        <w:sectPr>
          <w:pgSz w:w="16838" w:h="11906" w:orient="landscape"/>
          <w:pgMar w:top="1418" w:right="1418" w:bottom="1469" w:left="1418" w:header="851" w:footer="992" w:gutter="0"/>
          <w:pgNumType w:fmt="decimal"/>
          <w:cols w:space="720" w:num="1"/>
          <w:docGrid w:linePitch="312" w:charSpace="0"/>
        </w:sectPr>
      </w:pPr>
    </w:p>
    <w:p>
      <w:pPr>
        <w:spacing w:before="120" w:beforeLines="50" w:after="120" w:afterLines="50" w:line="460" w:lineRule="exact"/>
        <w:jc w:val="center"/>
        <w:outlineLvl w:val="2"/>
        <w:rPr>
          <w:rFonts w:hint="eastAsia" w:ascii="宋体" w:hAnsi="宋体"/>
          <w:color w:val="auto"/>
          <w:sz w:val="28"/>
          <w:szCs w:val="28"/>
        </w:rPr>
      </w:pPr>
      <w:bookmarkStart w:id="2321" w:name="_Toc221951525"/>
      <w:bookmarkStart w:id="2322" w:name="_Toc32174"/>
      <w:r>
        <w:rPr>
          <w:rFonts w:hint="eastAsia" w:ascii="宋体" w:hAnsi="宋体"/>
          <w:color w:val="auto"/>
          <w:sz w:val="28"/>
          <w:szCs w:val="28"/>
        </w:rPr>
        <w:t>3.8 工程单价费(税)率汇总表</w:t>
      </w:r>
      <w:bookmarkEnd w:id="2321"/>
      <w:bookmarkEnd w:id="2322"/>
    </w:p>
    <w:p>
      <w:pPr>
        <w:spacing w:line="300" w:lineRule="exact"/>
        <w:jc w:val="center"/>
        <w:rPr>
          <w:rFonts w:hint="eastAsia" w:ascii="宋体" w:hAnsi="宋体"/>
          <w:color w:val="auto"/>
          <w:sz w:val="32"/>
        </w:rPr>
      </w:pPr>
    </w:p>
    <w:p>
      <w:pPr>
        <w:rPr>
          <w:rFonts w:hint="eastAsia" w:ascii="宋体" w:hAnsi="宋体"/>
          <w:color w:val="auto"/>
          <w:szCs w:val="21"/>
        </w:rPr>
      </w:pPr>
      <w:bookmarkStart w:id="2323" w:name="_Toc221951526"/>
      <w:r>
        <w:rPr>
          <w:rFonts w:hint="eastAsia" w:ascii="宋体" w:hAnsi="宋体"/>
          <w:color w:val="auto"/>
          <w:szCs w:val="21"/>
        </w:rPr>
        <w:t>合同编号:</w:t>
      </w:r>
      <w:bookmarkEnd w:id="2323"/>
      <w:r>
        <w:rPr>
          <w:rFonts w:hint="eastAsia" w:ascii="宋体" w:hAnsi="宋体"/>
          <w:color w:val="auto"/>
          <w:szCs w:val="21"/>
          <w:u w:val="single"/>
        </w:rPr>
        <w:t xml:space="preserve">                              </w:t>
      </w:r>
    </w:p>
    <w:p>
      <w:pPr>
        <w:rPr>
          <w:rFonts w:hint="eastAsia" w:ascii="宋体" w:hAnsi="宋体"/>
          <w:color w:val="auto"/>
          <w:szCs w:val="21"/>
        </w:rPr>
      </w:pPr>
      <w:bookmarkStart w:id="2324" w:name="_Toc221951527"/>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bookmarkEnd w:id="2324"/>
    </w:p>
    <w:p>
      <w:pPr>
        <w:spacing w:line="300" w:lineRule="exact"/>
        <w:ind w:firstLine="7980" w:firstLineChars="2850"/>
        <w:rPr>
          <w:rFonts w:hint="eastAsia" w:ascii="宋体" w:hAnsi="宋体"/>
          <w:color w:val="auto"/>
          <w:sz w:val="28"/>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4269"/>
        <w:gridCol w:w="1345"/>
        <w:gridCol w:w="1346"/>
        <w:gridCol w:w="1346"/>
        <w:gridCol w:w="1346"/>
        <w:gridCol w:w="1346"/>
        <w:gridCol w:w="2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vMerge w:val="restart"/>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4269" w:type="dxa"/>
            <w:vMerge w:val="restart"/>
            <w:noWrap w:val="0"/>
            <w:vAlign w:val="center"/>
          </w:tcPr>
          <w:p>
            <w:pPr>
              <w:jc w:val="center"/>
              <w:rPr>
                <w:rFonts w:hint="eastAsia" w:ascii="宋体" w:hAnsi="宋体"/>
                <w:color w:val="auto"/>
                <w:szCs w:val="21"/>
              </w:rPr>
            </w:pPr>
            <w:r>
              <w:rPr>
                <w:rFonts w:hint="eastAsia" w:ascii="宋体" w:hAnsi="宋体"/>
                <w:color w:val="auto"/>
                <w:szCs w:val="21"/>
              </w:rPr>
              <w:t>工程类别</w:t>
            </w:r>
          </w:p>
        </w:tc>
        <w:tc>
          <w:tcPr>
            <w:tcW w:w="6729" w:type="dxa"/>
            <w:gridSpan w:val="5"/>
            <w:noWrap w:val="0"/>
            <w:vAlign w:val="center"/>
          </w:tcPr>
          <w:p>
            <w:pPr>
              <w:adjustRightInd w:val="0"/>
              <w:snapToGrid w:val="0"/>
              <w:jc w:val="center"/>
              <w:rPr>
                <w:rFonts w:hint="eastAsia" w:ascii="宋体" w:hAnsi="宋体"/>
                <w:color w:val="auto"/>
                <w:szCs w:val="21"/>
              </w:rPr>
            </w:pPr>
            <w:r>
              <w:rPr>
                <w:rFonts w:hint="eastAsia" w:ascii="宋体" w:hAnsi="宋体"/>
                <w:color w:val="auto"/>
                <w:szCs w:val="21"/>
              </w:rPr>
              <w:t>工程单价费(税)率(%)</w:t>
            </w:r>
          </w:p>
        </w:tc>
        <w:tc>
          <w:tcPr>
            <w:tcW w:w="2343" w:type="dxa"/>
            <w:noWrap w:val="0"/>
            <w:vAlign w:val="center"/>
          </w:tcPr>
          <w:p>
            <w:pPr>
              <w:jc w:val="center"/>
              <w:rPr>
                <w:rFonts w:hint="eastAsia"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vMerge w:val="continue"/>
            <w:noWrap w:val="0"/>
            <w:vAlign w:val="center"/>
          </w:tcPr>
          <w:p>
            <w:pPr>
              <w:jc w:val="center"/>
              <w:rPr>
                <w:rFonts w:hint="eastAsia" w:ascii="宋体" w:hAnsi="宋体"/>
                <w:color w:val="auto"/>
                <w:szCs w:val="21"/>
              </w:rPr>
            </w:pPr>
          </w:p>
        </w:tc>
        <w:tc>
          <w:tcPr>
            <w:tcW w:w="4269" w:type="dxa"/>
            <w:vMerge w:val="continue"/>
            <w:noWrap w:val="0"/>
            <w:vAlign w:val="center"/>
          </w:tcPr>
          <w:p>
            <w:pPr>
              <w:jc w:val="cente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r>
              <w:rPr>
                <w:rFonts w:hint="eastAsia" w:ascii="宋体" w:hAnsi="宋体"/>
                <w:color w:val="auto"/>
                <w:szCs w:val="21"/>
              </w:rPr>
              <w:t>其他直接费</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间接费</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企业利润</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税金</w:t>
            </w: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r>
              <w:rPr>
                <w:rFonts w:hint="eastAsia" w:ascii="宋体" w:hAnsi="宋体"/>
                <w:color w:val="auto"/>
                <w:szCs w:val="21"/>
              </w:rPr>
              <w:t>一</w:t>
            </w:r>
          </w:p>
        </w:tc>
        <w:tc>
          <w:tcPr>
            <w:tcW w:w="4269" w:type="dxa"/>
            <w:noWrap w:val="0"/>
            <w:vAlign w:val="center"/>
          </w:tcPr>
          <w:p>
            <w:pPr>
              <w:rPr>
                <w:rFonts w:hint="eastAsia" w:ascii="宋体" w:hAnsi="宋体"/>
                <w:color w:val="auto"/>
                <w:szCs w:val="21"/>
              </w:rPr>
            </w:pPr>
            <w:r>
              <w:rPr>
                <w:rFonts w:hint="eastAsia" w:ascii="宋体" w:hAnsi="宋体"/>
                <w:color w:val="auto"/>
                <w:szCs w:val="21"/>
              </w:rPr>
              <w:t>建筑工程</w:t>
            </w: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r>
              <w:rPr>
                <w:rFonts w:hint="eastAsia" w:ascii="宋体" w:hAnsi="宋体"/>
                <w:color w:val="auto"/>
                <w:szCs w:val="21"/>
              </w:rPr>
              <w:t>二</w:t>
            </w:r>
          </w:p>
        </w:tc>
        <w:tc>
          <w:tcPr>
            <w:tcW w:w="4269" w:type="dxa"/>
            <w:noWrap w:val="0"/>
            <w:vAlign w:val="center"/>
          </w:tcPr>
          <w:p>
            <w:pPr>
              <w:rPr>
                <w:rFonts w:hint="eastAsia" w:ascii="宋体" w:hAnsi="宋体"/>
                <w:color w:val="auto"/>
                <w:szCs w:val="21"/>
              </w:rPr>
            </w:pPr>
            <w:r>
              <w:rPr>
                <w:rFonts w:hint="eastAsia" w:ascii="宋体" w:hAnsi="宋体"/>
                <w:color w:val="auto"/>
                <w:szCs w:val="21"/>
              </w:rPr>
              <w:t>安装工程</w:t>
            </w: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bl>
    <w:p>
      <w:pPr>
        <w:jc w:val="center"/>
        <w:rPr>
          <w:rFonts w:hint="eastAsia" w:ascii="宋体" w:hAnsi="宋体"/>
          <w:color w:val="auto"/>
          <w:sz w:val="24"/>
        </w:rPr>
      </w:pPr>
    </w:p>
    <w:p>
      <w:pPr>
        <w:spacing w:before="120" w:beforeLines="50" w:after="120" w:afterLines="50" w:line="460" w:lineRule="exact"/>
        <w:jc w:val="center"/>
        <w:outlineLvl w:val="2"/>
        <w:rPr>
          <w:rFonts w:ascii="宋体" w:hAnsi="宋体"/>
          <w:color w:val="auto"/>
          <w:sz w:val="28"/>
          <w:szCs w:val="28"/>
        </w:rPr>
        <w:sectPr>
          <w:pgSz w:w="16838" w:h="11906" w:orient="landscape"/>
          <w:pgMar w:top="1418" w:right="1418" w:bottom="1469" w:left="1418" w:header="851" w:footer="992" w:gutter="0"/>
          <w:pgNumType w:fmt="decimal"/>
          <w:cols w:space="720" w:num="1"/>
          <w:docGrid w:linePitch="312" w:charSpace="0"/>
        </w:sectPr>
      </w:pPr>
      <w:bookmarkStart w:id="2325" w:name="_Toc221951539"/>
    </w:p>
    <w:p>
      <w:pPr>
        <w:spacing w:before="120" w:beforeLines="50" w:after="120" w:afterLines="50" w:line="460" w:lineRule="exact"/>
        <w:jc w:val="center"/>
        <w:outlineLvl w:val="2"/>
        <w:rPr>
          <w:rFonts w:hint="eastAsia" w:ascii="宋体" w:hAnsi="宋体"/>
          <w:color w:val="auto"/>
          <w:sz w:val="28"/>
          <w:szCs w:val="28"/>
        </w:rPr>
      </w:pPr>
      <w:bookmarkStart w:id="2326" w:name="_Toc16519"/>
      <w:r>
        <w:rPr>
          <w:rFonts w:hint="eastAsia" w:ascii="宋体" w:hAnsi="宋体"/>
          <w:color w:val="auto"/>
          <w:sz w:val="28"/>
          <w:szCs w:val="28"/>
        </w:rPr>
        <w:t>3.9 投标人生产电、风、水、砂石基础单价汇总表</w:t>
      </w:r>
      <w:bookmarkEnd w:id="2325"/>
      <w:bookmarkEnd w:id="2326"/>
    </w:p>
    <w:p>
      <w:pPr>
        <w:spacing w:line="300" w:lineRule="exact"/>
        <w:jc w:val="center"/>
        <w:rPr>
          <w:rFonts w:hint="eastAsia" w:ascii="宋体" w:hAnsi="宋体"/>
          <w:color w:val="auto"/>
          <w:sz w:val="32"/>
        </w:rPr>
      </w:pPr>
    </w:p>
    <w:p>
      <w:pPr>
        <w:rPr>
          <w:rFonts w:hint="eastAsia"/>
          <w:color w:val="auto"/>
        </w:rPr>
      </w:pPr>
      <w:bookmarkStart w:id="2327" w:name="_Toc221951540"/>
      <w:r>
        <w:rPr>
          <w:rFonts w:hint="eastAsia" w:ascii="宋体" w:hAnsi="宋体"/>
          <w:color w:val="auto"/>
          <w:szCs w:val="21"/>
        </w:rPr>
        <w:t>合同编号:</w:t>
      </w:r>
      <w:bookmarkEnd w:id="2327"/>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2401"/>
        <w:gridCol w:w="1260"/>
        <w:gridCol w:w="1080"/>
        <w:gridCol w:w="1054"/>
        <w:gridCol w:w="1054"/>
        <w:gridCol w:w="1054"/>
        <w:gridCol w:w="1055"/>
        <w:gridCol w:w="1054"/>
        <w:gridCol w:w="1054"/>
        <w:gridCol w:w="1055"/>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bookmarkStart w:id="2328" w:name="_Toc221951542"/>
            <w:r>
              <w:rPr>
                <w:rFonts w:hint="eastAsia" w:ascii="宋体" w:hAnsi="宋体" w:cs="宋体"/>
                <w:color w:val="auto"/>
                <w:kern w:val="0"/>
                <w:szCs w:val="21"/>
              </w:rPr>
              <w:t>序号</w:t>
            </w:r>
            <w:bookmarkEnd w:id="2328"/>
          </w:p>
        </w:tc>
        <w:tc>
          <w:tcPr>
            <w:tcW w:w="2401" w:type="dxa"/>
            <w:noWrap w:val="0"/>
            <w:vAlign w:val="center"/>
          </w:tcPr>
          <w:p>
            <w:pPr>
              <w:jc w:val="center"/>
              <w:rPr>
                <w:rFonts w:hint="eastAsia" w:ascii="宋体" w:hAnsi="宋体" w:cs="宋体"/>
                <w:color w:val="auto"/>
                <w:kern w:val="0"/>
                <w:szCs w:val="21"/>
              </w:rPr>
            </w:pPr>
            <w:bookmarkStart w:id="2329" w:name="_Toc221951543"/>
            <w:r>
              <w:rPr>
                <w:rFonts w:hint="eastAsia" w:ascii="宋体" w:hAnsi="宋体" w:cs="宋体"/>
                <w:color w:val="auto"/>
                <w:kern w:val="0"/>
                <w:szCs w:val="21"/>
              </w:rPr>
              <w:t>名称</w:t>
            </w:r>
            <w:bookmarkEnd w:id="2329"/>
          </w:p>
        </w:tc>
        <w:tc>
          <w:tcPr>
            <w:tcW w:w="1260" w:type="dxa"/>
            <w:noWrap w:val="0"/>
            <w:vAlign w:val="center"/>
          </w:tcPr>
          <w:p>
            <w:pPr>
              <w:jc w:val="center"/>
              <w:rPr>
                <w:rFonts w:hint="eastAsia" w:ascii="宋体" w:hAnsi="宋体" w:cs="宋体"/>
                <w:color w:val="auto"/>
                <w:kern w:val="0"/>
                <w:szCs w:val="21"/>
              </w:rPr>
            </w:pPr>
            <w:bookmarkStart w:id="2330" w:name="_Toc221951544"/>
            <w:r>
              <w:rPr>
                <w:rFonts w:hint="eastAsia" w:ascii="宋体" w:hAnsi="宋体" w:cs="宋体"/>
                <w:color w:val="auto"/>
                <w:kern w:val="0"/>
                <w:szCs w:val="21"/>
              </w:rPr>
              <w:t>型号规格</w:t>
            </w:r>
            <w:bookmarkEnd w:id="2330"/>
          </w:p>
        </w:tc>
        <w:tc>
          <w:tcPr>
            <w:tcW w:w="1080" w:type="dxa"/>
            <w:noWrap w:val="0"/>
            <w:vAlign w:val="center"/>
          </w:tcPr>
          <w:p>
            <w:pPr>
              <w:jc w:val="center"/>
              <w:rPr>
                <w:rFonts w:hint="eastAsia" w:ascii="宋体" w:hAnsi="宋体" w:cs="宋体"/>
                <w:color w:val="auto"/>
                <w:kern w:val="0"/>
                <w:szCs w:val="21"/>
              </w:rPr>
            </w:pPr>
            <w:bookmarkStart w:id="2331" w:name="_Toc221951545"/>
            <w:r>
              <w:rPr>
                <w:rFonts w:hint="eastAsia" w:ascii="宋体" w:hAnsi="宋体" w:cs="宋体"/>
                <w:color w:val="auto"/>
                <w:kern w:val="0"/>
                <w:szCs w:val="21"/>
              </w:rPr>
              <w:t>计量单位</w:t>
            </w:r>
            <w:bookmarkEnd w:id="2331"/>
          </w:p>
        </w:tc>
        <w:tc>
          <w:tcPr>
            <w:tcW w:w="1054" w:type="dxa"/>
            <w:noWrap w:val="0"/>
            <w:vAlign w:val="center"/>
          </w:tcPr>
          <w:p>
            <w:pPr>
              <w:jc w:val="center"/>
              <w:rPr>
                <w:rFonts w:hint="eastAsia" w:ascii="宋体" w:hAnsi="宋体"/>
                <w:color w:val="auto"/>
                <w:szCs w:val="21"/>
              </w:rPr>
            </w:pPr>
            <w:bookmarkStart w:id="2332" w:name="_Toc221951546"/>
            <w:r>
              <w:rPr>
                <w:rFonts w:hint="eastAsia" w:ascii="宋体" w:hAnsi="宋体" w:cs="宋体"/>
                <w:color w:val="auto"/>
                <w:kern w:val="0"/>
                <w:szCs w:val="21"/>
              </w:rPr>
              <w:t>人工费</w:t>
            </w:r>
            <w:bookmarkEnd w:id="2332"/>
          </w:p>
        </w:tc>
        <w:tc>
          <w:tcPr>
            <w:tcW w:w="1054" w:type="dxa"/>
            <w:noWrap w:val="0"/>
            <w:vAlign w:val="center"/>
          </w:tcPr>
          <w:p>
            <w:pPr>
              <w:jc w:val="center"/>
              <w:rPr>
                <w:rFonts w:hint="eastAsia" w:ascii="宋体" w:hAnsi="宋体"/>
                <w:color w:val="auto"/>
                <w:szCs w:val="21"/>
              </w:rPr>
            </w:pPr>
            <w:bookmarkStart w:id="2333" w:name="_Toc221951547"/>
            <w:r>
              <w:rPr>
                <w:rFonts w:hint="eastAsia" w:ascii="宋体" w:hAnsi="宋体" w:cs="宋体"/>
                <w:color w:val="auto"/>
                <w:kern w:val="0"/>
                <w:szCs w:val="21"/>
              </w:rPr>
              <w:t>材料费</w:t>
            </w:r>
            <w:bookmarkEnd w:id="2333"/>
          </w:p>
        </w:tc>
        <w:tc>
          <w:tcPr>
            <w:tcW w:w="1054" w:type="dxa"/>
            <w:noWrap w:val="0"/>
            <w:vAlign w:val="center"/>
          </w:tcPr>
          <w:p>
            <w:pPr>
              <w:jc w:val="center"/>
              <w:rPr>
                <w:rFonts w:hint="eastAsia" w:ascii="宋体" w:hAnsi="宋体" w:cs="宋体"/>
                <w:color w:val="auto"/>
                <w:kern w:val="0"/>
                <w:szCs w:val="21"/>
              </w:rPr>
            </w:pPr>
            <w:bookmarkStart w:id="2334" w:name="_Toc221951548"/>
            <w:r>
              <w:rPr>
                <w:rFonts w:hint="eastAsia" w:ascii="宋体" w:hAnsi="宋体" w:cs="宋体"/>
                <w:color w:val="auto"/>
                <w:kern w:val="0"/>
                <w:szCs w:val="21"/>
              </w:rPr>
              <w:t>机械</w:t>
            </w:r>
            <w:bookmarkEnd w:id="2334"/>
          </w:p>
          <w:p>
            <w:pPr>
              <w:jc w:val="center"/>
              <w:rPr>
                <w:rFonts w:hint="eastAsia" w:ascii="宋体" w:hAnsi="宋体" w:cs="宋体"/>
                <w:color w:val="auto"/>
                <w:kern w:val="0"/>
                <w:szCs w:val="21"/>
              </w:rPr>
            </w:pPr>
            <w:bookmarkStart w:id="2335" w:name="_Toc221951549"/>
            <w:r>
              <w:rPr>
                <w:rFonts w:hint="eastAsia" w:ascii="宋体" w:hAnsi="宋体" w:cs="宋体"/>
                <w:color w:val="auto"/>
                <w:kern w:val="0"/>
                <w:szCs w:val="21"/>
              </w:rPr>
              <w:t>使用费</w:t>
            </w:r>
            <w:bookmarkEnd w:id="2335"/>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s="宋体"/>
                <w:color w:val="auto"/>
                <w:kern w:val="0"/>
                <w:szCs w:val="21"/>
              </w:rPr>
            </w:pPr>
          </w:p>
        </w:tc>
        <w:tc>
          <w:tcPr>
            <w:tcW w:w="1054" w:type="dxa"/>
            <w:noWrap w:val="0"/>
            <w:vAlign w:val="center"/>
          </w:tcPr>
          <w:p>
            <w:pPr>
              <w:jc w:val="center"/>
              <w:rPr>
                <w:rFonts w:hint="eastAsia" w:ascii="宋体" w:hAnsi="宋体" w:cs="宋体"/>
                <w:color w:val="auto"/>
                <w:kern w:val="0"/>
                <w:szCs w:val="21"/>
              </w:rPr>
            </w:pPr>
          </w:p>
        </w:tc>
        <w:tc>
          <w:tcPr>
            <w:tcW w:w="1055" w:type="dxa"/>
            <w:noWrap w:val="0"/>
            <w:vAlign w:val="center"/>
          </w:tcPr>
          <w:p>
            <w:pPr>
              <w:jc w:val="center"/>
              <w:rPr>
                <w:rFonts w:hint="eastAsia" w:ascii="宋体" w:hAnsi="宋体" w:cs="宋体"/>
                <w:color w:val="auto"/>
                <w:kern w:val="0"/>
                <w:szCs w:val="21"/>
              </w:rPr>
            </w:pPr>
            <w:bookmarkStart w:id="2336" w:name="_Toc221951550"/>
            <w:r>
              <w:rPr>
                <w:rFonts w:hint="eastAsia" w:ascii="宋体" w:hAnsi="宋体" w:cs="宋体"/>
                <w:color w:val="auto"/>
                <w:kern w:val="0"/>
                <w:szCs w:val="21"/>
              </w:rPr>
              <w:t>合计</w:t>
            </w:r>
            <w:bookmarkEnd w:id="2336"/>
          </w:p>
        </w:tc>
        <w:tc>
          <w:tcPr>
            <w:tcW w:w="1243" w:type="dxa"/>
            <w:noWrap w:val="0"/>
            <w:vAlign w:val="center"/>
          </w:tcPr>
          <w:p>
            <w:pPr>
              <w:jc w:val="center"/>
              <w:rPr>
                <w:rFonts w:hint="eastAsia" w:ascii="宋体" w:hAnsi="宋体"/>
                <w:color w:val="auto"/>
                <w:szCs w:val="21"/>
              </w:rPr>
            </w:pPr>
            <w:bookmarkStart w:id="2337" w:name="_Toc221951551"/>
            <w:r>
              <w:rPr>
                <w:rFonts w:hint="eastAsia" w:ascii="宋体" w:hAnsi="宋体" w:cs="宋体"/>
                <w:color w:val="auto"/>
                <w:kern w:val="0"/>
                <w:szCs w:val="21"/>
              </w:rPr>
              <w:t>备注</w:t>
            </w:r>
            <w:bookmarkEnd w:id="23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rPr>
                <w:rFonts w:hint="eastAsia" w:ascii="宋体" w:hAnsi="宋体"/>
                <w:color w:val="auto"/>
                <w:szCs w:val="21"/>
              </w:rPr>
            </w:pPr>
          </w:p>
        </w:tc>
        <w:tc>
          <w:tcPr>
            <w:tcW w:w="1054" w:type="dxa"/>
            <w:noWrap w:val="0"/>
            <w:vAlign w:val="center"/>
          </w:tcPr>
          <w:p>
            <w:pPr>
              <w:rPr>
                <w:rFonts w:hint="eastAsia" w:ascii="宋体" w:hAnsi="宋体"/>
                <w:color w:val="auto"/>
                <w:szCs w:val="21"/>
              </w:rPr>
            </w:pPr>
          </w:p>
        </w:tc>
        <w:tc>
          <w:tcPr>
            <w:tcW w:w="1055" w:type="dxa"/>
            <w:noWrap w:val="0"/>
            <w:vAlign w:val="center"/>
          </w:tcPr>
          <w:p>
            <w:pP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bl>
    <w:p>
      <w:pPr>
        <w:jc w:val="center"/>
        <w:rPr>
          <w:rFonts w:hint="eastAsia" w:ascii="宋体" w:hAnsi="宋体"/>
          <w:color w:val="auto"/>
          <w:sz w:val="24"/>
        </w:rPr>
      </w:pPr>
    </w:p>
    <w:p>
      <w:pPr>
        <w:jc w:val="center"/>
        <w:rPr>
          <w:rFonts w:hint="eastAsia" w:ascii="宋体" w:hAnsi="宋体"/>
          <w:color w:val="auto"/>
          <w:sz w:val="32"/>
        </w:rPr>
      </w:pPr>
    </w:p>
    <w:p>
      <w:pPr>
        <w:spacing w:before="120" w:beforeLines="50" w:after="120" w:afterLines="50" w:line="460" w:lineRule="exact"/>
        <w:jc w:val="center"/>
        <w:outlineLvl w:val="2"/>
        <w:rPr>
          <w:rFonts w:hint="eastAsia" w:ascii="宋体" w:hAnsi="宋体"/>
          <w:color w:val="auto"/>
          <w:sz w:val="28"/>
          <w:szCs w:val="28"/>
        </w:rPr>
      </w:pPr>
      <w:bookmarkStart w:id="2338" w:name="_Toc221951552"/>
      <w:r>
        <w:rPr>
          <w:rFonts w:ascii="宋体" w:hAnsi="宋体"/>
          <w:color w:val="auto"/>
          <w:sz w:val="28"/>
          <w:szCs w:val="28"/>
        </w:rPr>
        <w:br w:type="page"/>
      </w:r>
      <w:bookmarkStart w:id="2339" w:name="_Toc1835"/>
      <w:r>
        <w:rPr>
          <w:rFonts w:hint="eastAsia" w:ascii="宋体" w:hAnsi="宋体"/>
          <w:color w:val="auto"/>
          <w:sz w:val="28"/>
          <w:szCs w:val="28"/>
        </w:rPr>
        <w:t>3.10 投标人生产混凝土配合比材料费表</w:t>
      </w:r>
      <w:bookmarkEnd w:id="2338"/>
      <w:bookmarkEnd w:id="2339"/>
    </w:p>
    <w:p>
      <w:pPr>
        <w:spacing w:line="300" w:lineRule="exact"/>
        <w:jc w:val="center"/>
        <w:rPr>
          <w:rFonts w:hint="eastAsia" w:ascii="宋体" w:hAnsi="宋体"/>
          <w:color w:val="auto"/>
          <w:sz w:val="32"/>
        </w:rPr>
      </w:pPr>
    </w:p>
    <w:p>
      <w:pPr>
        <w:rPr>
          <w:rFonts w:hint="eastAsia" w:ascii="宋体" w:hAnsi="宋体"/>
          <w:color w:val="auto"/>
          <w:szCs w:val="21"/>
        </w:rPr>
      </w:pPr>
      <w:bookmarkStart w:id="2340" w:name="_Toc221951553"/>
      <w:r>
        <w:rPr>
          <w:rFonts w:hint="eastAsia" w:ascii="宋体" w:hAnsi="宋体"/>
          <w:color w:val="auto"/>
          <w:szCs w:val="21"/>
        </w:rPr>
        <w:t>合同编号:</w:t>
      </w:r>
      <w:bookmarkEnd w:id="2340"/>
      <w:r>
        <w:rPr>
          <w:rFonts w:hint="eastAsia" w:ascii="宋体" w:hAnsi="宋体"/>
          <w:color w:val="auto"/>
          <w:szCs w:val="21"/>
        </w:rPr>
        <w:t xml:space="preserve"> </w:t>
      </w:r>
      <w:r>
        <w:rPr>
          <w:rFonts w:hint="eastAsia" w:ascii="宋体" w:hAnsi="宋体"/>
          <w:color w:val="auto"/>
          <w:szCs w:val="21"/>
          <w:u w:val="single"/>
        </w:rPr>
        <w:t xml:space="preserve">                                </w:t>
      </w:r>
      <w:r>
        <w:rPr>
          <w:rFonts w:hint="eastAsia" w:ascii="宋体" w:hAnsi="宋体"/>
          <w:color w:val="auto"/>
          <w:szCs w:val="21"/>
        </w:rPr>
        <w:t xml:space="preserve">             </w:t>
      </w:r>
    </w:p>
    <w:p>
      <w:pPr>
        <w:rPr>
          <w:rFonts w:hint="eastAsia" w:ascii="宋体" w:hAnsi="宋体"/>
          <w:color w:val="auto"/>
          <w:szCs w:val="21"/>
        </w:rPr>
      </w:pPr>
      <w:bookmarkStart w:id="2341" w:name="_Toc221951554"/>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bookmarkEnd w:id="2341"/>
    </w:p>
    <w:p>
      <w:pPr>
        <w:rPr>
          <w:rFonts w:hint="eastAsia" w:ascii="宋体" w:hAnsi="宋体"/>
          <w:color w:val="auto"/>
          <w:szCs w:val="21"/>
        </w:rPr>
      </w:pPr>
    </w:p>
    <w:tbl>
      <w:tblPr>
        <w:tblStyle w:val="38"/>
        <w:tblW w:w="0" w:type="auto"/>
        <w:jc w:val="center"/>
        <w:tblLayout w:type="fixed"/>
        <w:tblCellMar>
          <w:top w:w="0" w:type="dxa"/>
          <w:left w:w="108" w:type="dxa"/>
          <w:bottom w:w="0" w:type="dxa"/>
          <w:right w:w="108" w:type="dxa"/>
        </w:tblCellMar>
      </w:tblPr>
      <w:tblGrid>
        <w:gridCol w:w="739"/>
        <w:gridCol w:w="1080"/>
        <w:gridCol w:w="1260"/>
        <w:gridCol w:w="1260"/>
        <w:gridCol w:w="600"/>
        <w:gridCol w:w="600"/>
        <w:gridCol w:w="600"/>
        <w:gridCol w:w="770"/>
        <w:gridCol w:w="771"/>
        <w:gridCol w:w="771"/>
        <w:gridCol w:w="771"/>
        <w:gridCol w:w="771"/>
        <w:gridCol w:w="771"/>
        <w:gridCol w:w="1054"/>
        <w:gridCol w:w="2222"/>
      </w:tblGrid>
      <w:tr>
        <w:tblPrEx>
          <w:tblCellMar>
            <w:top w:w="0" w:type="dxa"/>
            <w:left w:w="108" w:type="dxa"/>
            <w:bottom w:w="0" w:type="dxa"/>
            <w:right w:w="108" w:type="dxa"/>
          </w:tblCellMar>
        </w:tblPrEx>
        <w:trPr>
          <w:trHeight w:val="567" w:hRule="atLeast"/>
          <w:jc w:val="center"/>
        </w:trPr>
        <w:tc>
          <w:tcPr>
            <w:tcW w:w="739" w:type="dxa"/>
            <w:vMerge w:val="restart"/>
            <w:tcBorders>
              <w:top w:val="single" w:color="auto" w:sz="4" w:space="0"/>
              <w:left w:val="single" w:color="auto" w:sz="4" w:space="0"/>
              <w:right w:val="single" w:color="auto" w:sz="4" w:space="0"/>
            </w:tcBorders>
            <w:noWrap w:val="0"/>
            <w:vAlign w:val="center"/>
          </w:tcPr>
          <w:p>
            <w:pPr>
              <w:jc w:val="center"/>
              <w:rPr>
                <w:rFonts w:ascii="宋体" w:hAnsi="宋体" w:cs="宋体"/>
                <w:color w:val="auto"/>
                <w:kern w:val="0"/>
                <w:szCs w:val="21"/>
              </w:rPr>
            </w:pPr>
            <w:bookmarkStart w:id="2342" w:name="_Toc221951555"/>
            <w:r>
              <w:rPr>
                <w:rFonts w:hint="eastAsia" w:ascii="宋体" w:hAnsi="宋体" w:cs="宋体"/>
                <w:color w:val="auto"/>
                <w:kern w:val="0"/>
                <w:szCs w:val="21"/>
              </w:rPr>
              <w:t>序号</w:t>
            </w:r>
            <w:bookmarkEnd w:id="2342"/>
          </w:p>
        </w:tc>
        <w:tc>
          <w:tcPr>
            <w:tcW w:w="1080" w:type="dxa"/>
            <w:vMerge w:val="restart"/>
            <w:tcBorders>
              <w:top w:val="single" w:color="auto" w:sz="4" w:space="0"/>
              <w:left w:val="nil"/>
              <w:right w:val="single" w:color="auto" w:sz="4" w:space="0"/>
            </w:tcBorders>
            <w:noWrap w:val="0"/>
            <w:vAlign w:val="center"/>
          </w:tcPr>
          <w:p>
            <w:pPr>
              <w:jc w:val="center"/>
              <w:rPr>
                <w:rFonts w:ascii="宋体" w:hAnsi="宋体" w:cs="宋体"/>
                <w:color w:val="auto"/>
                <w:kern w:val="0"/>
                <w:szCs w:val="21"/>
              </w:rPr>
            </w:pPr>
            <w:bookmarkStart w:id="2343" w:name="_Toc221951556"/>
            <w:r>
              <w:rPr>
                <w:rFonts w:hint="eastAsia" w:ascii="宋体" w:hAnsi="宋体" w:cs="宋体"/>
                <w:color w:val="auto"/>
                <w:kern w:val="0"/>
                <w:szCs w:val="21"/>
              </w:rPr>
              <w:t>工程部位</w:t>
            </w:r>
            <w:bookmarkEnd w:id="2343"/>
          </w:p>
        </w:tc>
        <w:tc>
          <w:tcPr>
            <w:tcW w:w="126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bookmarkStart w:id="2344" w:name="_Toc221951557"/>
            <w:r>
              <w:rPr>
                <w:rFonts w:hint="eastAsia" w:ascii="宋体" w:hAnsi="宋体" w:cs="宋体"/>
                <w:color w:val="auto"/>
                <w:kern w:val="0"/>
                <w:szCs w:val="21"/>
              </w:rPr>
              <w:t>混凝土</w:t>
            </w:r>
            <w:bookmarkEnd w:id="2344"/>
          </w:p>
          <w:p>
            <w:pPr>
              <w:widowControl/>
              <w:jc w:val="center"/>
              <w:rPr>
                <w:rFonts w:ascii="宋体" w:hAnsi="宋体" w:cs="宋体"/>
                <w:color w:val="auto"/>
                <w:kern w:val="0"/>
                <w:szCs w:val="21"/>
              </w:rPr>
            </w:pPr>
            <w:bookmarkStart w:id="2345" w:name="_Toc221951558"/>
            <w:r>
              <w:rPr>
                <w:rFonts w:hint="eastAsia" w:ascii="宋体" w:hAnsi="宋体" w:cs="宋体"/>
                <w:color w:val="auto"/>
                <w:kern w:val="0"/>
                <w:szCs w:val="21"/>
              </w:rPr>
              <w:t>强度等级</w:t>
            </w:r>
            <w:bookmarkEnd w:id="2345"/>
          </w:p>
        </w:tc>
        <w:tc>
          <w:tcPr>
            <w:tcW w:w="126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bookmarkStart w:id="2346" w:name="_Toc221951559"/>
            <w:r>
              <w:rPr>
                <w:rFonts w:hint="eastAsia" w:ascii="宋体" w:hAnsi="宋体" w:cs="宋体"/>
                <w:color w:val="auto"/>
                <w:kern w:val="0"/>
                <w:szCs w:val="21"/>
              </w:rPr>
              <w:t>水泥</w:t>
            </w:r>
            <w:bookmarkEnd w:id="2346"/>
          </w:p>
          <w:p>
            <w:pPr>
              <w:widowControl/>
              <w:jc w:val="center"/>
              <w:rPr>
                <w:rFonts w:ascii="宋体" w:hAnsi="宋体" w:cs="宋体"/>
                <w:color w:val="auto"/>
                <w:kern w:val="0"/>
                <w:szCs w:val="21"/>
              </w:rPr>
            </w:pPr>
            <w:bookmarkStart w:id="2347" w:name="_Toc221951560"/>
            <w:r>
              <w:rPr>
                <w:rFonts w:hint="eastAsia" w:ascii="宋体" w:hAnsi="宋体" w:cs="宋体"/>
                <w:color w:val="auto"/>
                <w:kern w:val="0"/>
                <w:szCs w:val="21"/>
              </w:rPr>
              <w:t>强度等级</w:t>
            </w:r>
            <w:bookmarkEnd w:id="2347"/>
          </w:p>
        </w:tc>
        <w:tc>
          <w:tcPr>
            <w:tcW w:w="60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bookmarkStart w:id="2348" w:name="_Toc221951561"/>
            <w:r>
              <w:rPr>
                <w:rFonts w:hint="eastAsia" w:ascii="宋体" w:hAnsi="宋体" w:cs="宋体"/>
                <w:color w:val="auto"/>
                <w:kern w:val="0"/>
                <w:szCs w:val="21"/>
              </w:rPr>
              <w:t>级</w:t>
            </w:r>
            <w:bookmarkEnd w:id="2348"/>
          </w:p>
          <w:p>
            <w:pPr>
              <w:widowControl/>
              <w:jc w:val="center"/>
              <w:rPr>
                <w:rFonts w:hint="eastAsia" w:ascii="宋体" w:hAnsi="宋体" w:cs="宋体"/>
                <w:color w:val="auto"/>
                <w:kern w:val="0"/>
                <w:szCs w:val="21"/>
              </w:rPr>
            </w:pPr>
          </w:p>
          <w:p>
            <w:pPr>
              <w:widowControl/>
              <w:jc w:val="center"/>
              <w:rPr>
                <w:rFonts w:ascii="宋体" w:hAnsi="宋体" w:cs="宋体"/>
                <w:color w:val="auto"/>
                <w:kern w:val="0"/>
                <w:szCs w:val="21"/>
              </w:rPr>
            </w:pPr>
            <w:bookmarkStart w:id="2349" w:name="_Toc221951562"/>
            <w:r>
              <w:rPr>
                <w:rFonts w:hint="eastAsia" w:ascii="宋体" w:hAnsi="宋体" w:cs="宋体"/>
                <w:color w:val="auto"/>
                <w:kern w:val="0"/>
                <w:szCs w:val="21"/>
              </w:rPr>
              <w:t>配</w:t>
            </w:r>
            <w:bookmarkEnd w:id="2349"/>
          </w:p>
        </w:tc>
        <w:tc>
          <w:tcPr>
            <w:tcW w:w="600" w:type="dxa"/>
            <w:vMerge w:val="restart"/>
            <w:tcBorders>
              <w:top w:val="single" w:color="auto" w:sz="4" w:space="0"/>
              <w:left w:val="nil"/>
              <w:right w:val="single" w:color="auto" w:sz="4" w:space="0"/>
            </w:tcBorders>
            <w:noWrap w:val="0"/>
            <w:vAlign w:val="center"/>
          </w:tcPr>
          <w:p>
            <w:pPr>
              <w:jc w:val="center"/>
              <w:rPr>
                <w:rFonts w:hint="eastAsia" w:ascii="宋体" w:hAnsi="宋体" w:cs="宋体"/>
                <w:color w:val="auto"/>
                <w:kern w:val="0"/>
                <w:szCs w:val="21"/>
              </w:rPr>
            </w:pPr>
            <w:bookmarkStart w:id="2350" w:name="_Toc221951563"/>
            <w:r>
              <w:rPr>
                <w:rFonts w:hint="eastAsia" w:ascii="宋体" w:hAnsi="宋体" w:cs="宋体"/>
                <w:color w:val="auto"/>
                <w:kern w:val="0"/>
                <w:szCs w:val="21"/>
              </w:rPr>
              <w:t>水</w:t>
            </w:r>
            <w:bookmarkEnd w:id="2350"/>
          </w:p>
          <w:p>
            <w:pPr>
              <w:jc w:val="center"/>
              <w:rPr>
                <w:rFonts w:hint="eastAsia" w:ascii="宋体" w:hAnsi="宋体" w:cs="宋体"/>
                <w:color w:val="auto"/>
                <w:kern w:val="0"/>
                <w:szCs w:val="21"/>
              </w:rPr>
            </w:pPr>
            <w:bookmarkStart w:id="2351" w:name="_Toc221951564"/>
            <w:r>
              <w:rPr>
                <w:rFonts w:hint="eastAsia" w:ascii="宋体" w:hAnsi="宋体" w:cs="宋体"/>
                <w:color w:val="auto"/>
                <w:kern w:val="0"/>
                <w:szCs w:val="21"/>
              </w:rPr>
              <w:t>灰</w:t>
            </w:r>
            <w:bookmarkEnd w:id="2351"/>
          </w:p>
          <w:p>
            <w:pPr>
              <w:jc w:val="center"/>
              <w:rPr>
                <w:rFonts w:ascii="宋体" w:hAnsi="宋体" w:cs="宋体"/>
                <w:color w:val="auto"/>
                <w:kern w:val="0"/>
                <w:szCs w:val="21"/>
              </w:rPr>
            </w:pPr>
            <w:bookmarkStart w:id="2352" w:name="_Toc221951565"/>
            <w:r>
              <w:rPr>
                <w:rFonts w:hint="eastAsia" w:ascii="宋体" w:hAnsi="宋体" w:cs="宋体"/>
                <w:color w:val="auto"/>
                <w:kern w:val="0"/>
                <w:szCs w:val="21"/>
              </w:rPr>
              <w:t>比</w:t>
            </w:r>
            <w:bookmarkEnd w:id="2352"/>
          </w:p>
        </w:tc>
        <w:tc>
          <w:tcPr>
            <w:tcW w:w="600" w:type="dxa"/>
            <w:vMerge w:val="restart"/>
            <w:tcBorders>
              <w:top w:val="single" w:color="auto" w:sz="4" w:space="0"/>
              <w:left w:val="nil"/>
              <w:right w:val="single" w:color="auto" w:sz="4" w:space="0"/>
            </w:tcBorders>
            <w:noWrap w:val="0"/>
            <w:vAlign w:val="center"/>
          </w:tcPr>
          <w:p>
            <w:pPr>
              <w:jc w:val="center"/>
              <w:rPr>
                <w:rFonts w:hint="eastAsia" w:ascii="宋体" w:hAnsi="宋体" w:cs="宋体"/>
                <w:color w:val="auto"/>
                <w:kern w:val="0"/>
                <w:szCs w:val="21"/>
              </w:rPr>
            </w:pPr>
            <w:bookmarkStart w:id="2353" w:name="_Toc221951566"/>
            <w:r>
              <w:rPr>
                <w:rFonts w:hint="eastAsia" w:ascii="宋体" w:hAnsi="宋体" w:cs="宋体"/>
                <w:color w:val="auto"/>
                <w:kern w:val="0"/>
                <w:szCs w:val="21"/>
              </w:rPr>
              <w:t>坍</w:t>
            </w:r>
            <w:bookmarkEnd w:id="2353"/>
          </w:p>
          <w:p>
            <w:pPr>
              <w:jc w:val="center"/>
              <w:rPr>
                <w:rFonts w:hint="eastAsia" w:ascii="宋体" w:hAnsi="宋体" w:cs="宋体"/>
                <w:color w:val="auto"/>
                <w:kern w:val="0"/>
                <w:szCs w:val="21"/>
              </w:rPr>
            </w:pPr>
            <w:bookmarkStart w:id="2354" w:name="_Toc221951567"/>
            <w:r>
              <w:rPr>
                <w:rFonts w:hint="eastAsia" w:ascii="宋体" w:hAnsi="宋体" w:cs="宋体"/>
                <w:color w:val="auto"/>
                <w:kern w:val="0"/>
                <w:szCs w:val="21"/>
              </w:rPr>
              <w:t>落</w:t>
            </w:r>
            <w:bookmarkEnd w:id="2354"/>
          </w:p>
          <w:p>
            <w:pPr>
              <w:jc w:val="center"/>
              <w:rPr>
                <w:rFonts w:ascii="宋体" w:hAnsi="宋体" w:cs="宋体"/>
                <w:color w:val="auto"/>
                <w:kern w:val="0"/>
                <w:szCs w:val="21"/>
              </w:rPr>
            </w:pPr>
            <w:bookmarkStart w:id="2355" w:name="_Toc221951568"/>
            <w:r>
              <w:rPr>
                <w:rFonts w:hint="eastAsia" w:ascii="宋体" w:hAnsi="宋体" w:cs="宋体"/>
                <w:color w:val="auto"/>
                <w:kern w:val="0"/>
                <w:szCs w:val="21"/>
              </w:rPr>
              <w:t>度</w:t>
            </w:r>
            <w:bookmarkEnd w:id="2355"/>
          </w:p>
        </w:tc>
        <w:tc>
          <w:tcPr>
            <w:tcW w:w="4625"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bookmarkStart w:id="2356" w:name="_Toc221951569"/>
            <w:r>
              <w:rPr>
                <w:rFonts w:hint="eastAsia" w:ascii="宋体" w:hAnsi="宋体" w:cs="宋体"/>
                <w:color w:val="auto"/>
                <w:kern w:val="0"/>
                <w:szCs w:val="21"/>
              </w:rPr>
              <w:t>预算材料量(kg/m</w:t>
            </w:r>
            <w:r>
              <w:rPr>
                <w:rFonts w:hint="eastAsia" w:ascii="宋体" w:hAnsi="宋体" w:cs="宋体"/>
                <w:color w:val="auto"/>
                <w:kern w:val="0"/>
                <w:szCs w:val="21"/>
                <w:vertAlign w:val="superscript"/>
              </w:rPr>
              <w:t>3</w:t>
            </w:r>
            <w:r>
              <w:rPr>
                <w:rFonts w:hint="eastAsia" w:ascii="宋体" w:hAnsi="宋体" w:cs="宋体"/>
                <w:color w:val="auto"/>
                <w:kern w:val="0"/>
                <w:szCs w:val="21"/>
              </w:rPr>
              <w:t>)</w:t>
            </w:r>
            <w:bookmarkEnd w:id="2356"/>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rPr>
            </w:pPr>
            <w:bookmarkStart w:id="2357" w:name="_Toc221951570"/>
            <w:r>
              <w:rPr>
                <w:rFonts w:hint="eastAsia" w:ascii="宋体" w:hAnsi="宋体" w:cs="宋体"/>
                <w:color w:val="auto"/>
                <w:kern w:val="0"/>
                <w:szCs w:val="21"/>
              </w:rPr>
              <w:t>单 价</w:t>
            </w:r>
            <w:bookmarkEnd w:id="2357"/>
          </w:p>
          <w:p>
            <w:pPr>
              <w:widowControl/>
              <w:jc w:val="center"/>
              <w:rPr>
                <w:rFonts w:ascii="宋体" w:hAnsi="宋体" w:cs="宋体"/>
                <w:color w:val="auto"/>
                <w:kern w:val="0"/>
                <w:szCs w:val="21"/>
              </w:rPr>
            </w:pPr>
            <w:bookmarkStart w:id="2358" w:name="_Toc221951571"/>
            <w:r>
              <w:rPr>
                <w:rFonts w:hint="eastAsia" w:ascii="宋体" w:hAnsi="宋体" w:cs="宋体"/>
                <w:color w:val="auto"/>
                <w:kern w:val="0"/>
                <w:szCs w:val="21"/>
              </w:rPr>
              <w:t>(元/m</w:t>
            </w:r>
            <w:r>
              <w:rPr>
                <w:rFonts w:hint="eastAsia" w:ascii="宋体" w:hAnsi="宋体" w:cs="宋体"/>
                <w:color w:val="auto"/>
                <w:kern w:val="0"/>
                <w:szCs w:val="21"/>
                <w:vertAlign w:val="superscript"/>
              </w:rPr>
              <w:t>3</w:t>
            </w:r>
            <w:r>
              <w:rPr>
                <w:rFonts w:hint="eastAsia" w:ascii="宋体" w:hAnsi="宋体" w:cs="宋体"/>
                <w:color w:val="auto"/>
                <w:kern w:val="0"/>
                <w:szCs w:val="21"/>
              </w:rPr>
              <w:t>)</w:t>
            </w:r>
            <w:bookmarkEnd w:id="2358"/>
          </w:p>
        </w:tc>
        <w:tc>
          <w:tcPr>
            <w:tcW w:w="2222" w:type="dxa"/>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Cs w:val="21"/>
              </w:rPr>
            </w:pPr>
            <w:bookmarkStart w:id="2359" w:name="_Toc221951572"/>
            <w:r>
              <w:rPr>
                <w:rFonts w:hint="eastAsia" w:ascii="宋体" w:hAnsi="宋体" w:cs="宋体"/>
                <w:color w:val="auto"/>
                <w:kern w:val="0"/>
                <w:szCs w:val="21"/>
              </w:rPr>
              <w:t>备注</w:t>
            </w:r>
            <w:bookmarkEnd w:id="2359"/>
          </w:p>
        </w:tc>
      </w:tr>
      <w:tr>
        <w:tblPrEx>
          <w:tblCellMar>
            <w:top w:w="0" w:type="dxa"/>
            <w:left w:w="108" w:type="dxa"/>
            <w:bottom w:w="0" w:type="dxa"/>
            <w:right w:w="108" w:type="dxa"/>
          </w:tblCellMar>
        </w:tblPrEx>
        <w:trPr>
          <w:trHeight w:val="567" w:hRule="atLeast"/>
          <w:jc w:val="center"/>
        </w:trPr>
        <w:tc>
          <w:tcPr>
            <w:tcW w:w="739"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1080" w:type="dxa"/>
            <w:vMerge w:val="continue"/>
            <w:tcBorders>
              <w:left w:val="nil"/>
              <w:bottom w:val="single" w:color="auto" w:sz="4" w:space="0"/>
              <w:right w:val="single" w:color="auto" w:sz="4" w:space="0"/>
            </w:tcBorders>
            <w:noWrap w:val="0"/>
            <w:vAlign w:val="center"/>
          </w:tcPr>
          <w:p>
            <w:pPr>
              <w:widowControl/>
              <w:rPr>
                <w:rFonts w:ascii="宋体" w:hAnsi="宋体" w:cs="宋体"/>
                <w:color w:val="auto"/>
                <w:kern w:val="0"/>
                <w:szCs w:val="21"/>
              </w:rPr>
            </w:pPr>
          </w:p>
        </w:tc>
        <w:tc>
          <w:tcPr>
            <w:tcW w:w="1260" w:type="dxa"/>
            <w:vMerge w:val="continue"/>
            <w:tcBorders>
              <w:left w:val="nil"/>
              <w:bottom w:val="single" w:color="auto" w:sz="4" w:space="0"/>
              <w:right w:val="single" w:color="auto" w:sz="4" w:space="0"/>
            </w:tcBorders>
            <w:noWrap w:val="0"/>
            <w:vAlign w:val="center"/>
          </w:tcPr>
          <w:p>
            <w:pPr>
              <w:widowControl/>
              <w:rPr>
                <w:rFonts w:ascii="宋体" w:hAnsi="宋体" w:cs="宋体"/>
                <w:color w:val="auto"/>
                <w:kern w:val="0"/>
                <w:szCs w:val="21"/>
              </w:rPr>
            </w:pPr>
          </w:p>
        </w:tc>
        <w:tc>
          <w:tcPr>
            <w:tcW w:w="126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bookmarkStart w:id="2360" w:name="_Toc221951573"/>
            <w:r>
              <w:rPr>
                <w:rFonts w:hint="eastAsia" w:ascii="宋体" w:hAnsi="宋体" w:cs="宋体"/>
                <w:color w:val="auto"/>
                <w:kern w:val="0"/>
                <w:szCs w:val="21"/>
              </w:rPr>
              <w:t>水泥</w:t>
            </w:r>
            <w:bookmarkEnd w:id="2360"/>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bookmarkStart w:id="2361" w:name="_Toc221951574"/>
            <w:r>
              <w:rPr>
                <w:rFonts w:hint="eastAsia" w:ascii="宋体" w:hAnsi="宋体" w:cs="宋体"/>
                <w:color w:val="auto"/>
                <w:kern w:val="0"/>
                <w:szCs w:val="21"/>
              </w:rPr>
              <w:t>砂</w:t>
            </w:r>
            <w:bookmarkEnd w:id="2361"/>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bookmarkStart w:id="2362" w:name="_Toc221951575"/>
            <w:r>
              <w:rPr>
                <w:rFonts w:hint="eastAsia" w:ascii="宋体" w:hAnsi="宋体" w:cs="宋体"/>
                <w:color w:val="auto"/>
                <w:kern w:val="0"/>
                <w:szCs w:val="21"/>
              </w:rPr>
              <w:t>石</w:t>
            </w:r>
            <w:bookmarkEnd w:id="2362"/>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22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bl>
    <w:p>
      <w:pPr>
        <w:spacing w:before="120" w:beforeLines="50" w:after="120" w:afterLines="50" w:line="460" w:lineRule="exact"/>
        <w:jc w:val="center"/>
        <w:rPr>
          <w:rFonts w:ascii="宋体" w:hAnsi="宋体"/>
          <w:color w:val="auto"/>
          <w:sz w:val="28"/>
        </w:rPr>
      </w:pPr>
    </w:p>
    <w:p>
      <w:pPr>
        <w:spacing w:before="120" w:beforeLines="50" w:after="120" w:afterLines="50" w:line="460" w:lineRule="exact"/>
        <w:jc w:val="center"/>
        <w:outlineLvl w:val="2"/>
        <w:rPr>
          <w:rFonts w:ascii="宋体" w:hAnsi="宋体"/>
          <w:color w:val="auto"/>
          <w:sz w:val="28"/>
        </w:rPr>
        <w:sectPr>
          <w:pgSz w:w="16838" w:h="11906" w:orient="landscape"/>
          <w:pgMar w:top="1418" w:right="1418" w:bottom="1469" w:left="1418" w:header="851" w:footer="992" w:gutter="0"/>
          <w:pgNumType w:fmt="decimal"/>
          <w:cols w:space="720" w:num="1"/>
          <w:docGrid w:linePitch="312" w:charSpace="0"/>
        </w:sectPr>
      </w:pPr>
    </w:p>
    <w:p>
      <w:pPr>
        <w:spacing w:before="120" w:beforeLines="50" w:after="120" w:afterLines="50" w:line="460" w:lineRule="exact"/>
        <w:jc w:val="center"/>
        <w:outlineLvl w:val="2"/>
        <w:rPr>
          <w:rFonts w:hint="eastAsia" w:ascii="宋体" w:hAnsi="宋体"/>
          <w:color w:val="auto"/>
          <w:sz w:val="28"/>
          <w:szCs w:val="28"/>
        </w:rPr>
      </w:pPr>
      <w:bookmarkStart w:id="2363" w:name="_Toc16008"/>
      <w:bookmarkStart w:id="2364" w:name="_Toc221951576"/>
      <w:r>
        <w:rPr>
          <w:rFonts w:hint="eastAsia" w:ascii="宋体" w:hAnsi="宋体"/>
          <w:color w:val="auto"/>
          <w:sz w:val="28"/>
          <w:szCs w:val="28"/>
        </w:rPr>
        <w:t>3.11 招标人供应材料价格汇总表</w:t>
      </w:r>
      <w:bookmarkEnd w:id="2363"/>
      <w:bookmarkEnd w:id="2364"/>
    </w:p>
    <w:p>
      <w:pPr>
        <w:spacing w:line="300" w:lineRule="exact"/>
        <w:jc w:val="center"/>
        <w:rPr>
          <w:rFonts w:hint="eastAsia" w:ascii="宋体" w:hAnsi="宋体"/>
          <w:color w:val="auto"/>
          <w:sz w:val="32"/>
        </w:rPr>
      </w:pPr>
    </w:p>
    <w:p>
      <w:pPr>
        <w:rPr>
          <w:rFonts w:hint="eastAsia" w:ascii="宋体" w:hAnsi="宋体"/>
          <w:color w:val="auto"/>
          <w:szCs w:val="21"/>
          <w:u w:val="single"/>
        </w:rPr>
      </w:pPr>
      <w:bookmarkStart w:id="2365" w:name="_Toc221951577"/>
      <w:r>
        <w:rPr>
          <w:rFonts w:hint="eastAsia" w:ascii="宋体" w:hAnsi="宋体"/>
          <w:color w:val="auto"/>
          <w:szCs w:val="21"/>
        </w:rPr>
        <w:t>合同编号:</w:t>
      </w:r>
      <w:bookmarkEnd w:id="2365"/>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3155"/>
        <w:gridCol w:w="1214"/>
        <w:gridCol w:w="1260"/>
        <w:gridCol w:w="1440"/>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Cs w:val="21"/>
              </w:rPr>
            </w:pPr>
            <w:bookmarkStart w:id="2366" w:name="_Toc221951579"/>
            <w:r>
              <w:rPr>
                <w:rFonts w:hint="eastAsia" w:ascii="宋体" w:hAnsi="宋体"/>
                <w:color w:val="auto"/>
                <w:szCs w:val="21"/>
              </w:rPr>
              <w:t>序号</w:t>
            </w:r>
            <w:bookmarkEnd w:id="2366"/>
          </w:p>
        </w:tc>
        <w:tc>
          <w:tcPr>
            <w:tcW w:w="3155" w:type="dxa"/>
            <w:noWrap w:val="0"/>
            <w:vAlign w:val="center"/>
          </w:tcPr>
          <w:p>
            <w:pPr>
              <w:jc w:val="center"/>
              <w:rPr>
                <w:rFonts w:hint="eastAsia" w:ascii="宋体" w:hAnsi="宋体"/>
                <w:color w:val="auto"/>
                <w:szCs w:val="21"/>
              </w:rPr>
            </w:pPr>
            <w:bookmarkStart w:id="2367" w:name="_Toc221951580"/>
            <w:r>
              <w:rPr>
                <w:rFonts w:hint="eastAsia" w:ascii="宋体" w:hAnsi="宋体"/>
                <w:color w:val="auto"/>
                <w:szCs w:val="21"/>
              </w:rPr>
              <w:t>材料名称</w:t>
            </w:r>
            <w:bookmarkEnd w:id="2367"/>
          </w:p>
        </w:tc>
        <w:tc>
          <w:tcPr>
            <w:tcW w:w="1214" w:type="dxa"/>
            <w:noWrap w:val="0"/>
            <w:vAlign w:val="center"/>
          </w:tcPr>
          <w:p>
            <w:pPr>
              <w:jc w:val="center"/>
              <w:rPr>
                <w:rFonts w:hint="eastAsia" w:ascii="宋体" w:hAnsi="宋体"/>
                <w:color w:val="auto"/>
                <w:szCs w:val="21"/>
              </w:rPr>
            </w:pPr>
            <w:bookmarkStart w:id="2368" w:name="_Toc221951581"/>
            <w:r>
              <w:rPr>
                <w:rFonts w:hint="eastAsia" w:ascii="宋体" w:hAnsi="宋体"/>
                <w:color w:val="auto"/>
                <w:szCs w:val="21"/>
              </w:rPr>
              <w:t>型号规格</w:t>
            </w:r>
            <w:bookmarkEnd w:id="2368"/>
          </w:p>
        </w:tc>
        <w:tc>
          <w:tcPr>
            <w:tcW w:w="1260" w:type="dxa"/>
            <w:noWrap w:val="0"/>
            <w:vAlign w:val="center"/>
          </w:tcPr>
          <w:p>
            <w:pPr>
              <w:jc w:val="center"/>
              <w:rPr>
                <w:rFonts w:hint="eastAsia" w:ascii="宋体" w:hAnsi="宋体"/>
                <w:color w:val="auto"/>
                <w:szCs w:val="21"/>
              </w:rPr>
            </w:pPr>
            <w:bookmarkStart w:id="2369" w:name="_Toc221951582"/>
            <w:r>
              <w:rPr>
                <w:rFonts w:hint="eastAsia" w:ascii="宋体" w:hAnsi="宋体"/>
                <w:color w:val="auto"/>
                <w:szCs w:val="21"/>
              </w:rPr>
              <w:t>计量单位</w:t>
            </w:r>
            <w:bookmarkEnd w:id="2369"/>
          </w:p>
        </w:tc>
        <w:tc>
          <w:tcPr>
            <w:tcW w:w="1440" w:type="dxa"/>
            <w:noWrap w:val="0"/>
            <w:vAlign w:val="center"/>
          </w:tcPr>
          <w:p>
            <w:pPr>
              <w:jc w:val="center"/>
              <w:rPr>
                <w:rFonts w:hint="eastAsia" w:ascii="宋体" w:hAnsi="宋体"/>
                <w:color w:val="auto"/>
                <w:szCs w:val="21"/>
              </w:rPr>
            </w:pPr>
            <w:bookmarkStart w:id="2370" w:name="_Toc221951583"/>
            <w:r>
              <w:rPr>
                <w:rFonts w:hint="eastAsia" w:ascii="宋体" w:hAnsi="宋体"/>
                <w:color w:val="auto"/>
                <w:szCs w:val="21"/>
              </w:rPr>
              <w:t>供应价格(元)</w:t>
            </w:r>
            <w:bookmarkEnd w:id="2370"/>
          </w:p>
        </w:tc>
        <w:tc>
          <w:tcPr>
            <w:tcW w:w="1344" w:type="dxa"/>
            <w:noWrap w:val="0"/>
            <w:vAlign w:val="center"/>
          </w:tcPr>
          <w:p>
            <w:pPr>
              <w:jc w:val="center"/>
              <w:rPr>
                <w:rFonts w:hint="eastAsia" w:ascii="宋体" w:hAnsi="宋体"/>
                <w:color w:val="auto"/>
                <w:szCs w:val="21"/>
              </w:rPr>
            </w:pPr>
            <w:bookmarkStart w:id="2371" w:name="_Toc221951584"/>
            <w:r>
              <w:rPr>
                <w:rFonts w:hint="eastAsia" w:ascii="宋体" w:hAnsi="宋体"/>
                <w:color w:val="auto"/>
                <w:szCs w:val="21"/>
              </w:rPr>
              <w:t>预算价格(元)</w:t>
            </w:r>
            <w:bookmarkEnd w:id="23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bl>
    <w:p>
      <w:pPr>
        <w:spacing w:line="420" w:lineRule="exact"/>
        <w:ind w:firstLine="4578"/>
        <w:rPr>
          <w:rFonts w:ascii="宋体" w:hAnsi="宋体"/>
          <w:color w:val="auto"/>
          <w:sz w:val="24"/>
        </w:rPr>
        <w:sectPr>
          <w:pgSz w:w="11906" w:h="16838"/>
          <w:pgMar w:top="1418" w:right="1469" w:bottom="1418" w:left="1418" w:header="851" w:footer="992" w:gutter="0"/>
          <w:pgNumType w:fmt="decimal"/>
          <w:cols w:space="720" w:num="1"/>
          <w:docGrid w:linePitch="312" w:charSpace="0"/>
        </w:sectPr>
      </w:pPr>
    </w:p>
    <w:p>
      <w:pPr>
        <w:spacing w:before="120" w:beforeLines="50" w:after="120" w:afterLines="50" w:line="460" w:lineRule="exact"/>
        <w:jc w:val="center"/>
        <w:outlineLvl w:val="2"/>
        <w:rPr>
          <w:rFonts w:hint="eastAsia" w:ascii="宋体" w:hAnsi="宋体"/>
          <w:color w:val="auto"/>
          <w:sz w:val="28"/>
          <w:szCs w:val="28"/>
        </w:rPr>
      </w:pPr>
      <w:bookmarkStart w:id="2372" w:name="_Toc9157"/>
      <w:bookmarkStart w:id="2373" w:name="_Toc221951585"/>
      <w:r>
        <w:rPr>
          <w:rFonts w:hint="eastAsia" w:ascii="宋体" w:hAnsi="宋体"/>
          <w:color w:val="auto"/>
          <w:sz w:val="28"/>
          <w:szCs w:val="28"/>
        </w:rPr>
        <w:t>3.12 投标人自行采购主要材料预算价格汇总表</w:t>
      </w:r>
      <w:bookmarkEnd w:id="2372"/>
      <w:bookmarkEnd w:id="2373"/>
    </w:p>
    <w:p>
      <w:pPr>
        <w:spacing w:line="300" w:lineRule="exact"/>
        <w:jc w:val="center"/>
        <w:rPr>
          <w:rFonts w:hint="eastAsia" w:ascii="宋体" w:hAnsi="宋体"/>
          <w:color w:val="auto"/>
          <w:sz w:val="32"/>
        </w:rPr>
      </w:pPr>
    </w:p>
    <w:p>
      <w:pPr>
        <w:rPr>
          <w:rFonts w:hint="eastAsia"/>
          <w:color w:val="auto"/>
        </w:rPr>
      </w:pPr>
      <w:bookmarkStart w:id="2374" w:name="_Toc221951586"/>
      <w:r>
        <w:rPr>
          <w:rFonts w:hint="eastAsia" w:ascii="宋体" w:hAnsi="宋体"/>
          <w:color w:val="auto"/>
          <w:szCs w:val="21"/>
        </w:rPr>
        <w:t>合同编号:</w:t>
      </w:r>
      <w:bookmarkEnd w:id="2374"/>
      <w:r>
        <w:rPr>
          <w:rFonts w:hint="eastAsia" w:ascii="宋体" w:hAnsi="宋体"/>
          <w:color w:val="auto"/>
          <w:szCs w:val="21"/>
          <w:u w:val="single"/>
        </w:rPr>
        <w:t xml:space="preserve">                   </w:t>
      </w:r>
    </w:p>
    <w:p>
      <w:pPr>
        <w:rPr>
          <w:rFonts w:hint="eastAsia"/>
          <w:color w:val="auto"/>
        </w:rPr>
      </w:pPr>
      <w:bookmarkStart w:id="2375" w:name="_Toc221951587"/>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bookmarkEnd w:id="2375"/>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492"/>
        <w:gridCol w:w="1089"/>
        <w:gridCol w:w="1128"/>
        <w:gridCol w:w="1348"/>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Cs w:val="21"/>
              </w:rPr>
            </w:pPr>
            <w:bookmarkStart w:id="2376" w:name="_Toc221951588"/>
            <w:r>
              <w:rPr>
                <w:rFonts w:hint="eastAsia" w:ascii="宋体" w:hAnsi="宋体"/>
                <w:color w:val="auto"/>
                <w:szCs w:val="21"/>
              </w:rPr>
              <w:t>序号</w:t>
            </w:r>
            <w:bookmarkEnd w:id="2376"/>
          </w:p>
        </w:tc>
        <w:tc>
          <w:tcPr>
            <w:tcW w:w="3492" w:type="dxa"/>
            <w:noWrap w:val="0"/>
            <w:vAlign w:val="center"/>
          </w:tcPr>
          <w:p>
            <w:pPr>
              <w:jc w:val="center"/>
              <w:rPr>
                <w:rFonts w:hint="eastAsia" w:ascii="宋体" w:hAnsi="宋体"/>
                <w:color w:val="auto"/>
                <w:szCs w:val="21"/>
              </w:rPr>
            </w:pPr>
            <w:bookmarkStart w:id="2377" w:name="_Toc221951589"/>
            <w:r>
              <w:rPr>
                <w:rFonts w:hint="eastAsia" w:ascii="宋体" w:hAnsi="宋体"/>
                <w:color w:val="auto"/>
                <w:szCs w:val="21"/>
              </w:rPr>
              <w:t>材料名称</w:t>
            </w:r>
            <w:bookmarkEnd w:id="2377"/>
          </w:p>
        </w:tc>
        <w:tc>
          <w:tcPr>
            <w:tcW w:w="1089" w:type="dxa"/>
            <w:noWrap w:val="0"/>
            <w:vAlign w:val="center"/>
          </w:tcPr>
          <w:p>
            <w:pPr>
              <w:jc w:val="center"/>
              <w:rPr>
                <w:rFonts w:hint="eastAsia" w:ascii="宋体" w:hAnsi="宋体"/>
                <w:color w:val="auto"/>
                <w:szCs w:val="21"/>
              </w:rPr>
            </w:pPr>
            <w:bookmarkStart w:id="2378" w:name="_Toc221951590"/>
            <w:r>
              <w:rPr>
                <w:rFonts w:hint="eastAsia" w:ascii="宋体" w:hAnsi="宋体"/>
                <w:color w:val="auto"/>
                <w:szCs w:val="21"/>
              </w:rPr>
              <w:t>型号规格</w:t>
            </w:r>
            <w:bookmarkEnd w:id="2378"/>
          </w:p>
        </w:tc>
        <w:tc>
          <w:tcPr>
            <w:tcW w:w="1128" w:type="dxa"/>
            <w:noWrap w:val="0"/>
            <w:vAlign w:val="center"/>
          </w:tcPr>
          <w:p>
            <w:pPr>
              <w:jc w:val="center"/>
              <w:rPr>
                <w:rFonts w:hint="eastAsia" w:ascii="宋体" w:hAnsi="宋体"/>
                <w:color w:val="auto"/>
                <w:szCs w:val="21"/>
              </w:rPr>
            </w:pPr>
            <w:bookmarkStart w:id="2379" w:name="_Toc221951591"/>
            <w:r>
              <w:rPr>
                <w:rFonts w:hint="eastAsia" w:ascii="宋体" w:hAnsi="宋体"/>
                <w:color w:val="auto"/>
                <w:szCs w:val="21"/>
              </w:rPr>
              <w:t>计量单位</w:t>
            </w:r>
            <w:bookmarkEnd w:id="2379"/>
          </w:p>
        </w:tc>
        <w:tc>
          <w:tcPr>
            <w:tcW w:w="1348" w:type="dxa"/>
            <w:noWrap w:val="0"/>
            <w:vAlign w:val="center"/>
          </w:tcPr>
          <w:p>
            <w:pPr>
              <w:jc w:val="center"/>
              <w:rPr>
                <w:rFonts w:hint="eastAsia" w:ascii="宋体" w:hAnsi="宋体"/>
                <w:color w:val="auto"/>
                <w:szCs w:val="21"/>
              </w:rPr>
            </w:pPr>
            <w:bookmarkStart w:id="2380" w:name="_Toc221951592"/>
            <w:r>
              <w:rPr>
                <w:rFonts w:hint="eastAsia" w:ascii="宋体" w:hAnsi="宋体"/>
                <w:color w:val="auto"/>
                <w:szCs w:val="21"/>
              </w:rPr>
              <w:t>预算价格(元)</w:t>
            </w:r>
            <w:bookmarkEnd w:id="2380"/>
          </w:p>
        </w:tc>
        <w:tc>
          <w:tcPr>
            <w:tcW w:w="1352" w:type="dxa"/>
            <w:noWrap w:val="0"/>
            <w:vAlign w:val="center"/>
          </w:tcPr>
          <w:p>
            <w:pPr>
              <w:jc w:val="center"/>
              <w:rPr>
                <w:rFonts w:hint="eastAsia" w:ascii="宋体" w:hAnsi="宋体"/>
                <w:color w:val="auto"/>
                <w:szCs w:val="21"/>
              </w:rPr>
            </w:pPr>
            <w:bookmarkStart w:id="2381" w:name="_Toc221951593"/>
            <w:r>
              <w:rPr>
                <w:rFonts w:hint="eastAsia" w:ascii="宋体" w:hAnsi="宋体"/>
                <w:color w:val="auto"/>
                <w:szCs w:val="21"/>
              </w:rPr>
              <w:t>备注</w:t>
            </w:r>
            <w:bookmarkEnd w:id="23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bl>
    <w:p>
      <w:pPr>
        <w:spacing w:line="300" w:lineRule="exact"/>
        <w:rPr>
          <w:rFonts w:hint="eastAsia" w:ascii="宋体" w:hAnsi="宋体"/>
          <w:color w:val="auto"/>
          <w:sz w:val="28"/>
        </w:rPr>
      </w:pPr>
    </w:p>
    <w:p>
      <w:pPr>
        <w:spacing w:line="420" w:lineRule="exact"/>
        <w:ind w:firstLine="4680" w:firstLineChars="1950"/>
        <w:rPr>
          <w:rFonts w:ascii="宋体" w:hAnsi="宋体"/>
          <w:color w:val="auto"/>
          <w:sz w:val="24"/>
        </w:rPr>
        <w:sectPr>
          <w:pgSz w:w="11906" w:h="16838"/>
          <w:pgMar w:top="1418" w:right="1469" w:bottom="1418" w:left="1418" w:header="851" w:footer="992" w:gutter="0"/>
          <w:pgNumType w:fmt="decimal"/>
          <w:cols w:space="720" w:num="1"/>
          <w:docGrid w:linePitch="312" w:charSpace="0"/>
        </w:sectPr>
      </w:pPr>
    </w:p>
    <w:p>
      <w:pPr>
        <w:spacing w:before="120" w:beforeLines="50" w:after="120" w:afterLines="50" w:line="460" w:lineRule="exact"/>
        <w:jc w:val="center"/>
        <w:outlineLvl w:val="2"/>
        <w:rPr>
          <w:rFonts w:hint="eastAsia" w:ascii="宋体" w:hAnsi="宋体"/>
          <w:color w:val="auto"/>
          <w:sz w:val="28"/>
          <w:szCs w:val="28"/>
        </w:rPr>
      </w:pPr>
      <w:bookmarkStart w:id="2382" w:name="_Toc2691"/>
      <w:bookmarkStart w:id="2383" w:name="_Toc221951594"/>
      <w:r>
        <w:rPr>
          <w:rFonts w:hint="eastAsia" w:ascii="宋体" w:hAnsi="宋体"/>
          <w:color w:val="auto"/>
          <w:sz w:val="28"/>
          <w:szCs w:val="28"/>
        </w:rPr>
        <w:t>3.13 招标人提供施工机械台时(班)费汇总表</w:t>
      </w:r>
      <w:bookmarkEnd w:id="2382"/>
      <w:bookmarkEnd w:id="2383"/>
    </w:p>
    <w:p>
      <w:pPr>
        <w:spacing w:line="300" w:lineRule="exact"/>
        <w:jc w:val="center"/>
        <w:rPr>
          <w:rFonts w:hint="eastAsia" w:ascii="宋体" w:hAnsi="宋体"/>
          <w:color w:val="auto"/>
          <w:sz w:val="32"/>
        </w:rPr>
      </w:pPr>
    </w:p>
    <w:p>
      <w:pPr>
        <w:rPr>
          <w:rFonts w:hint="eastAsia"/>
          <w:color w:val="auto"/>
          <w:u w:val="single"/>
        </w:rPr>
      </w:pPr>
      <w:bookmarkStart w:id="2384" w:name="_Toc221951595"/>
      <w:r>
        <w:rPr>
          <w:rFonts w:hint="eastAsia" w:ascii="宋体" w:hAnsi="宋体"/>
          <w:color w:val="auto"/>
          <w:szCs w:val="21"/>
        </w:rPr>
        <w:t>合同编号:</w:t>
      </w:r>
      <w:bookmarkEnd w:id="2384"/>
      <w:r>
        <w:rPr>
          <w:rFonts w:hint="eastAsia" w:ascii="宋体" w:hAnsi="宋体"/>
          <w:color w:val="auto"/>
          <w:szCs w:val="21"/>
          <w:u w:val="single"/>
        </w:rPr>
        <w:t xml:space="preserve">                                   </w:t>
      </w:r>
    </w:p>
    <w:p>
      <w:pPr>
        <w:rPr>
          <w:rFonts w:hint="eastAsia" w:ascii="宋体" w:hAnsi="宋体"/>
          <w:color w:val="auto"/>
          <w:szCs w:val="21"/>
        </w:rPr>
      </w:pPr>
      <w:bookmarkStart w:id="2385" w:name="_Toc221951596"/>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ascii="宋体" w:hAnsi="宋体"/>
          <w:color w:val="auto"/>
          <w:szCs w:val="21"/>
        </w:rPr>
        <w:t xml:space="preserve">       </w:t>
      </w:r>
      <w:r>
        <w:rPr>
          <w:rFonts w:hint="eastAsia" w:ascii="宋体" w:hAnsi="宋体"/>
          <w:bCs/>
          <w:color w:val="auto"/>
          <w:szCs w:val="21"/>
        </w:rPr>
        <w:t>单位：元／</w:t>
      </w:r>
      <w:r>
        <w:rPr>
          <w:rFonts w:hint="eastAsia" w:ascii="宋体" w:hAnsi="宋体"/>
          <w:color w:val="auto"/>
          <w:szCs w:val="21"/>
        </w:rPr>
        <w:t>台时(班)</w:t>
      </w:r>
      <w:bookmarkEnd w:id="2385"/>
    </w:p>
    <w:p>
      <w:pPr>
        <w:rPr>
          <w:rFonts w:hint="eastAsia" w:ascii="宋体" w:hAnsi="宋体"/>
          <w:bCs/>
          <w:color w:val="auto"/>
          <w:szCs w:val="21"/>
        </w:rPr>
      </w:pP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9"/>
        <w:gridCol w:w="1789"/>
        <w:gridCol w:w="1317"/>
        <w:gridCol w:w="1666"/>
        <w:gridCol w:w="995"/>
        <w:gridCol w:w="995"/>
        <w:gridCol w:w="995"/>
        <w:gridCol w:w="995"/>
        <w:gridCol w:w="995"/>
        <w:gridCol w:w="711"/>
        <w:gridCol w:w="711"/>
        <w:gridCol w:w="711"/>
        <w:gridCol w:w="711"/>
        <w:gridCol w:w="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9" w:type="pct"/>
            <w:vMerge w:val="restart"/>
            <w:noWrap w:val="0"/>
            <w:vAlign w:val="center"/>
          </w:tcPr>
          <w:p>
            <w:pPr>
              <w:jc w:val="center"/>
              <w:rPr>
                <w:rFonts w:ascii="宋体" w:hAnsi="宋体"/>
                <w:bCs/>
                <w:color w:val="auto"/>
                <w:szCs w:val="21"/>
              </w:rPr>
            </w:pPr>
            <w:bookmarkStart w:id="2386" w:name="_Toc221951597"/>
            <w:r>
              <w:rPr>
                <w:rFonts w:hint="eastAsia" w:ascii="宋体" w:hAnsi="宋体"/>
                <w:bCs/>
                <w:color w:val="auto"/>
                <w:szCs w:val="21"/>
              </w:rPr>
              <w:t>序号</w:t>
            </w:r>
            <w:bookmarkEnd w:id="2386"/>
          </w:p>
        </w:tc>
        <w:tc>
          <w:tcPr>
            <w:tcW w:w="624" w:type="pct"/>
            <w:vMerge w:val="restart"/>
            <w:noWrap w:val="0"/>
            <w:vAlign w:val="center"/>
          </w:tcPr>
          <w:p>
            <w:pPr>
              <w:jc w:val="center"/>
              <w:rPr>
                <w:rFonts w:hint="eastAsia" w:ascii="宋体" w:hAnsi="宋体"/>
                <w:bCs/>
                <w:color w:val="auto"/>
                <w:szCs w:val="21"/>
              </w:rPr>
            </w:pPr>
            <w:bookmarkStart w:id="2387" w:name="_Toc221951598"/>
            <w:r>
              <w:rPr>
                <w:rFonts w:hint="eastAsia" w:ascii="宋体" w:hAnsi="宋体"/>
                <w:bCs/>
                <w:color w:val="auto"/>
                <w:szCs w:val="21"/>
              </w:rPr>
              <w:t>机械名称</w:t>
            </w:r>
            <w:bookmarkEnd w:id="2387"/>
          </w:p>
        </w:tc>
        <w:tc>
          <w:tcPr>
            <w:tcW w:w="463" w:type="pct"/>
            <w:vMerge w:val="restart"/>
            <w:noWrap w:val="0"/>
            <w:vAlign w:val="center"/>
          </w:tcPr>
          <w:p>
            <w:pPr>
              <w:jc w:val="center"/>
              <w:rPr>
                <w:rFonts w:ascii="宋体" w:hAnsi="宋体"/>
                <w:bCs/>
                <w:color w:val="auto"/>
                <w:szCs w:val="21"/>
              </w:rPr>
            </w:pPr>
            <w:bookmarkStart w:id="2388" w:name="_Toc221951599"/>
            <w:r>
              <w:rPr>
                <w:rFonts w:hint="eastAsia" w:ascii="宋体" w:hAnsi="宋体"/>
                <w:bCs/>
                <w:color w:val="auto"/>
                <w:szCs w:val="21"/>
              </w:rPr>
              <w:t>型号规格</w:t>
            </w:r>
            <w:bookmarkEnd w:id="2388"/>
          </w:p>
        </w:tc>
        <w:tc>
          <w:tcPr>
            <w:tcW w:w="586" w:type="pct"/>
            <w:vMerge w:val="restart"/>
            <w:noWrap w:val="0"/>
            <w:vAlign w:val="center"/>
          </w:tcPr>
          <w:p>
            <w:pPr>
              <w:jc w:val="center"/>
              <w:rPr>
                <w:rFonts w:hint="eastAsia" w:ascii="宋体" w:hAnsi="宋体"/>
                <w:bCs/>
                <w:color w:val="auto"/>
                <w:szCs w:val="21"/>
              </w:rPr>
            </w:pPr>
            <w:bookmarkStart w:id="2389" w:name="_Toc221951600"/>
            <w:r>
              <w:rPr>
                <w:rFonts w:hint="eastAsia" w:ascii="宋体" w:hAnsi="宋体"/>
                <w:bCs/>
                <w:color w:val="auto"/>
                <w:szCs w:val="21"/>
              </w:rPr>
              <w:t>招标人收取</w:t>
            </w:r>
            <w:bookmarkEnd w:id="2389"/>
          </w:p>
          <w:p>
            <w:pPr>
              <w:jc w:val="center"/>
              <w:rPr>
                <w:rFonts w:hint="eastAsia" w:ascii="宋体" w:hAnsi="宋体"/>
                <w:bCs/>
                <w:color w:val="auto"/>
                <w:szCs w:val="21"/>
              </w:rPr>
            </w:pPr>
            <w:bookmarkStart w:id="2390" w:name="_Toc221951601"/>
            <w:r>
              <w:rPr>
                <w:rFonts w:hint="eastAsia" w:ascii="宋体" w:hAnsi="宋体"/>
                <w:bCs/>
                <w:color w:val="auto"/>
                <w:szCs w:val="21"/>
              </w:rPr>
              <w:t>的折旧费</w:t>
            </w:r>
            <w:bookmarkEnd w:id="2390"/>
          </w:p>
        </w:tc>
        <w:tc>
          <w:tcPr>
            <w:tcW w:w="350" w:type="pct"/>
            <w:gridSpan w:val="9"/>
            <w:tcBorders>
              <w:bottom w:val="single" w:color="auto" w:sz="4" w:space="0"/>
            </w:tcBorders>
            <w:noWrap w:val="0"/>
            <w:vAlign w:val="center"/>
          </w:tcPr>
          <w:p>
            <w:pPr>
              <w:jc w:val="center"/>
              <w:rPr>
                <w:rFonts w:ascii="宋体" w:hAnsi="宋体"/>
                <w:color w:val="auto"/>
                <w:szCs w:val="21"/>
              </w:rPr>
            </w:pPr>
            <w:bookmarkStart w:id="2391" w:name="_Toc221951602"/>
            <w:r>
              <w:rPr>
                <w:rFonts w:hint="eastAsia" w:ascii="宋体" w:hAnsi="宋体"/>
                <w:bCs/>
                <w:color w:val="auto"/>
                <w:szCs w:val="21"/>
              </w:rPr>
              <w:t>投标人应计算的费用</w:t>
            </w:r>
            <w:bookmarkEnd w:id="2391"/>
          </w:p>
        </w:tc>
        <w:tc>
          <w:tcPr>
            <w:tcW w:w="438" w:type="pct"/>
            <w:vMerge w:val="restart"/>
            <w:noWrap w:val="0"/>
            <w:vAlign w:val="center"/>
          </w:tcPr>
          <w:p>
            <w:pPr>
              <w:jc w:val="center"/>
              <w:rPr>
                <w:rFonts w:ascii="宋体" w:hAnsi="宋体"/>
                <w:color w:val="auto"/>
                <w:szCs w:val="21"/>
              </w:rPr>
            </w:pPr>
            <w:bookmarkStart w:id="2392" w:name="_Toc221951603"/>
            <w:r>
              <w:rPr>
                <w:rFonts w:hint="eastAsia" w:ascii="宋体" w:hAnsi="宋体"/>
                <w:bCs/>
                <w:color w:val="auto"/>
                <w:szCs w:val="21"/>
              </w:rPr>
              <w:t>合计</w:t>
            </w:r>
            <w:bookmarkEnd w:id="23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9" w:type="pct"/>
            <w:vMerge w:val="continue"/>
            <w:noWrap w:val="0"/>
            <w:vAlign w:val="center"/>
          </w:tcPr>
          <w:p>
            <w:pPr>
              <w:jc w:val="center"/>
              <w:rPr>
                <w:rFonts w:ascii="宋体" w:hAnsi="宋体"/>
                <w:bCs/>
                <w:color w:val="auto"/>
                <w:szCs w:val="21"/>
              </w:rPr>
            </w:pPr>
          </w:p>
        </w:tc>
        <w:tc>
          <w:tcPr>
            <w:tcW w:w="624" w:type="pct"/>
            <w:vMerge w:val="continue"/>
            <w:noWrap w:val="0"/>
            <w:vAlign w:val="top"/>
          </w:tcPr>
          <w:p>
            <w:pPr>
              <w:jc w:val="center"/>
              <w:rPr>
                <w:rFonts w:ascii="宋体" w:hAnsi="宋体"/>
                <w:bCs/>
                <w:color w:val="auto"/>
                <w:szCs w:val="21"/>
              </w:rPr>
            </w:pPr>
          </w:p>
        </w:tc>
        <w:tc>
          <w:tcPr>
            <w:tcW w:w="463" w:type="pct"/>
            <w:vMerge w:val="continue"/>
            <w:noWrap w:val="0"/>
            <w:vAlign w:val="center"/>
          </w:tcPr>
          <w:p>
            <w:pPr>
              <w:jc w:val="center"/>
              <w:rPr>
                <w:rFonts w:ascii="宋体" w:hAnsi="宋体"/>
                <w:bCs/>
                <w:color w:val="auto"/>
                <w:szCs w:val="21"/>
              </w:rPr>
            </w:pPr>
          </w:p>
        </w:tc>
        <w:tc>
          <w:tcPr>
            <w:tcW w:w="586" w:type="pct"/>
            <w:vMerge w:val="continue"/>
            <w:noWrap w:val="0"/>
            <w:vAlign w:val="center"/>
          </w:tcPr>
          <w:p>
            <w:pPr>
              <w:jc w:val="center"/>
              <w:rPr>
                <w:rFonts w:ascii="宋体" w:hAnsi="宋体"/>
                <w:bCs/>
                <w:color w:val="auto"/>
                <w:szCs w:val="21"/>
              </w:rPr>
            </w:pPr>
          </w:p>
        </w:tc>
        <w:tc>
          <w:tcPr>
            <w:tcW w:w="350" w:type="pct"/>
            <w:tcBorders>
              <w:top w:val="single" w:color="auto" w:sz="4" w:space="0"/>
            </w:tcBorders>
            <w:noWrap w:val="0"/>
            <w:vAlign w:val="center"/>
          </w:tcPr>
          <w:p>
            <w:pPr>
              <w:jc w:val="center"/>
              <w:rPr>
                <w:rFonts w:ascii="宋体" w:hAnsi="宋体"/>
                <w:bCs/>
                <w:color w:val="auto"/>
                <w:szCs w:val="21"/>
              </w:rPr>
            </w:pPr>
            <w:bookmarkStart w:id="2393" w:name="_Toc221951604"/>
            <w:r>
              <w:rPr>
                <w:rFonts w:hint="eastAsia" w:ascii="宋体" w:hAnsi="宋体"/>
                <w:bCs/>
                <w:color w:val="auto"/>
                <w:szCs w:val="21"/>
              </w:rPr>
              <w:t>维修费</w:t>
            </w:r>
            <w:bookmarkEnd w:id="2393"/>
          </w:p>
        </w:tc>
        <w:tc>
          <w:tcPr>
            <w:tcW w:w="350" w:type="pct"/>
            <w:tcBorders>
              <w:top w:val="single" w:color="auto" w:sz="4" w:space="0"/>
            </w:tcBorders>
            <w:noWrap w:val="0"/>
            <w:vAlign w:val="center"/>
          </w:tcPr>
          <w:p>
            <w:pPr>
              <w:jc w:val="center"/>
              <w:rPr>
                <w:rFonts w:ascii="宋体" w:hAnsi="宋体"/>
                <w:bCs/>
                <w:color w:val="auto"/>
                <w:szCs w:val="21"/>
              </w:rPr>
            </w:pPr>
            <w:bookmarkStart w:id="2394" w:name="_Toc221951605"/>
            <w:r>
              <w:rPr>
                <w:rFonts w:hint="eastAsia" w:ascii="宋体" w:hAnsi="宋体"/>
                <w:bCs/>
                <w:color w:val="auto"/>
                <w:szCs w:val="21"/>
              </w:rPr>
              <w:t>安拆费</w:t>
            </w:r>
            <w:bookmarkEnd w:id="2394"/>
          </w:p>
        </w:tc>
        <w:tc>
          <w:tcPr>
            <w:tcW w:w="350" w:type="pct"/>
            <w:noWrap w:val="0"/>
            <w:vAlign w:val="center"/>
          </w:tcPr>
          <w:p>
            <w:pPr>
              <w:jc w:val="center"/>
              <w:rPr>
                <w:rFonts w:hint="eastAsia" w:ascii="宋体" w:hAnsi="宋体"/>
                <w:bCs/>
                <w:color w:val="auto"/>
                <w:szCs w:val="21"/>
              </w:rPr>
            </w:pPr>
            <w:bookmarkStart w:id="2395" w:name="_Toc221951606"/>
            <w:r>
              <w:rPr>
                <w:rFonts w:hint="eastAsia" w:ascii="宋体" w:hAnsi="宋体"/>
                <w:bCs/>
                <w:color w:val="auto"/>
                <w:szCs w:val="21"/>
              </w:rPr>
              <w:t>人工</w:t>
            </w:r>
            <w:bookmarkEnd w:id="2395"/>
          </w:p>
        </w:tc>
        <w:tc>
          <w:tcPr>
            <w:tcW w:w="350" w:type="pct"/>
            <w:noWrap w:val="0"/>
            <w:vAlign w:val="center"/>
          </w:tcPr>
          <w:p>
            <w:pPr>
              <w:jc w:val="center"/>
              <w:rPr>
                <w:rFonts w:hint="eastAsia" w:ascii="宋体" w:hAnsi="宋体"/>
                <w:bCs/>
                <w:color w:val="auto"/>
                <w:szCs w:val="21"/>
              </w:rPr>
            </w:pPr>
            <w:bookmarkStart w:id="2396" w:name="_Toc221951607"/>
            <w:r>
              <w:rPr>
                <w:rFonts w:hint="eastAsia" w:ascii="宋体" w:hAnsi="宋体"/>
                <w:bCs/>
                <w:color w:val="auto"/>
                <w:szCs w:val="21"/>
              </w:rPr>
              <w:t>柴油</w:t>
            </w:r>
            <w:bookmarkEnd w:id="2396"/>
          </w:p>
        </w:tc>
        <w:tc>
          <w:tcPr>
            <w:tcW w:w="350" w:type="pct"/>
            <w:noWrap w:val="0"/>
            <w:vAlign w:val="center"/>
          </w:tcPr>
          <w:p>
            <w:pPr>
              <w:jc w:val="center"/>
              <w:rPr>
                <w:rFonts w:hint="eastAsia" w:ascii="宋体" w:hAnsi="宋体"/>
                <w:bCs/>
                <w:color w:val="auto"/>
                <w:szCs w:val="21"/>
              </w:rPr>
            </w:pPr>
            <w:bookmarkStart w:id="2397" w:name="_Toc221951608"/>
            <w:r>
              <w:rPr>
                <w:rFonts w:hint="eastAsia" w:ascii="宋体" w:hAnsi="宋体"/>
                <w:bCs/>
                <w:color w:val="auto"/>
                <w:szCs w:val="21"/>
              </w:rPr>
              <w:t>电</w:t>
            </w:r>
            <w:bookmarkEnd w:id="2397"/>
          </w:p>
        </w:tc>
        <w:tc>
          <w:tcPr>
            <w:tcW w:w="250" w:type="pct"/>
            <w:noWrap w:val="0"/>
            <w:vAlign w:val="center"/>
          </w:tcPr>
          <w:p>
            <w:pPr>
              <w:jc w:val="center"/>
              <w:rPr>
                <w:rFonts w:hint="eastAsia" w:ascii="宋体" w:hAnsi="宋体"/>
                <w:bCs/>
                <w:color w:val="auto"/>
                <w:szCs w:val="21"/>
              </w:rPr>
            </w:pPr>
          </w:p>
        </w:tc>
        <w:tc>
          <w:tcPr>
            <w:tcW w:w="250" w:type="pct"/>
            <w:noWrap w:val="0"/>
            <w:vAlign w:val="center"/>
          </w:tcPr>
          <w:p>
            <w:pPr>
              <w:jc w:val="center"/>
              <w:rPr>
                <w:rFonts w:hint="eastAsia" w:ascii="宋体" w:hAnsi="宋体"/>
                <w:bCs/>
                <w:color w:val="auto"/>
                <w:szCs w:val="21"/>
              </w:rPr>
            </w:pPr>
          </w:p>
        </w:tc>
        <w:tc>
          <w:tcPr>
            <w:tcW w:w="250" w:type="pct"/>
            <w:noWrap w:val="0"/>
            <w:vAlign w:val="center"/>
          </w:tcPr>
          <w:p>
            <w:pPr>
              <w:jc w:val="center"/>
              <w:rPr>
                <w:rFonts w:hint="eastAsia" w:ascii="宋体" w:hAnsi="宋体"/>
                <w:bCs/>
                <w:color w:val="auto"/>
                <w:szCs w:val="21"/>
              </w:rPr>
            </w:pPr>
          </w:p>
        </w:tc>
        <w:tc>
          <w:tcPr>
            <w:tcW w:w="250" w:type="pct"/>
            <w:noWrap w:val="0"/>
            <w:vAlign w:val="center"/>
          </w:tcPr>
          <w:p>
            <w:pPr>
              <w:jc w:val="center"/>
              <w:rPr>
                <w:rFonts w:hint="eastAsia" w:ascii="宋体" w:hAnsi="宋体"/>
                <w:bCs/>
                <w:color w:val="auto"/>
                <w:szCs w:val="21"/>
              </w:rPr>
            </w:pPr>
            <w:bookmarkStart w:id="2398" w:name="_Toc221951609"/>
            <w:r>
              <w:rPr>
                <w:rFonts w:hint="eastAsia" w:ascii="宋体" w:hAnsi="宋体"/>
                <w:bCs/>
                <w:color w:val="auto"/>
                <w:szCs w:val="21"/>
              </w:rPr>
              <w:t>小计</w:t>
            </w:r>
            <w:bookmarkEnd w:id="2398"/>
          </w:p>
        </w:tc>
        <w:tc>
          <w:tcPr>
            <w:tcW w:w="438" w:type="pct"/>
            <w:vMerge w:val="continue"/>
            <w:noWrap w:val="0"/>
            <w:vAlign w:val="top"/>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bCs/>
                <w:color w:val="auto"/>
                <w:szCs w:val="21"/>
              </w:rPr>
            </w:pPr>
          </w:p>
        </w:tc>
        <w:tc>
          <w:tcPr>
            <w:tcW w:w="629" w:type="pct"/>
            <w:noWrap w:val="0"/>
            <w:vAlign w:val="top"/>
          </w:tcPr>
          <w:p>
            <w:pPr>
              <w:jc w:val="center"/>
              <w:rPr>
                <w:rFonts w:ascii="宋体" w:hAnsi="宋体"/>
                <w:bCs/>
                <w:color w:val="auto"/>
                <w:szCs w:val="21"/>
              </w:rPr>
            </w:pPr>
          </w:p>
        </w:tc>
        <w:tc>
          <w:tcPr>
            <w:tcW w:w="463" w:type="pct"/>
            <w:noWrap w:val="0"/>
            <w:vAlign w:val="center"/>
          </w:tcPr>
          <w:p>
            <w:pPr>
              <w:jc w:val="center"/>
              <w:rPr>
                <w:rFonts w:ascii="宋体" w:hAnsi="宋体"/>
                <w:bCs/>
                <w:color w:val="auto"/>
                <w:szCs w:val="21"/>
              </w:rPr>
            </w:pPr>
          </w:p>
        </w:tc>
        <w:tc>
          <w:tcPr>
            <w:tcW w:w="586" w:type="pct"/>
            <w:noWrap w:val="0"/>
            <w:vAlign w:val="center"/>
          </w:tcPr>
          <w:p>
            <w:pPr>
              <w:jc w:val="center"/>
              <w:rPr>
                <w:rFonts w:ascii="宋体" w:hAnsi="宋体"/>
                <w:bCs/>
                <w:color w:val="auto"/>
                <w:szCs w:val="21"/>
              </w:rPr>
            </w:pPr>
          </w:p>
        </w:tc>
        <w:tc>
          <w:tcPr>
            <w:tcW w:w="350" w:type="pct"/>
            <w:noWrap w:val="0"/>
            <w:vAlign w:val="center"/>
          </w:tcPr>
          <w:p>
            <w:pPr>
              <w:jc w:val="center"/>
              <w:rPr>
                <w:rFonts w:ascii="宋体" w:hAnsi="宋体"/>
                <w:bCs/>
                <w:color w:val="auto"/>
                <w:szCs w:val="21"/>
              </w:rPr>
            </w:pPr>
          </w:p>
        </w:tc>
        <w:tc>
          <w:tcPr>
            <w:tcW w:w="350" w:type="pct"/>
            <w:noWrap w:val="0"/>
            <w:vAlign w:val="center"/>
          </w:tcPr>
          <w:p>
            <w:pPr>
              <w:jc w:val="center"/>
              <w:rPr>
                <w:rFonts w:ascii="宋体" w:hAnsi="宋体"/>
                <w:bCs/>
                <w:color w:val="auto"/>
                <w:szCs w:val="21"/>
              </w:rPr>
            </w:pPr>
          </w:p>
        </w:tc>
        <w:tc>
          <w:tcPr>
            <w:tcW w:w="350" w:type="pct"/>
            <w:noWrap w:val="0"/>
            <w:vAlign w:val="center"/>
          </w:tcPr>
          <w:p>
            <w:pPr>
              <w:jc w:val="center"/>
              <w:rPr>
                <w:rFonts w:ascii="宋体" w:hAnsi="宋体"/>
                <w:bCs/>
                <w:color w:val="auto"/>
                <w:szCs w:val="21"/>
              </w:rPr>
            </w:pPr>
          </w:p>
        </w:tc>
        <w:tc>
          <w:tcPr>
            <w:tcW w:w="350" w:type="pct"/>
            <w:noWrap w:val="0"/>
            <w:vAlign w:val="center"/>
          </w:tcPr>
          <w:p>
            <w:pPr>
              <w:jc w:val="center"/>
              <w:rPr>
                <w:rFonts w:ascii="宋体" w:hAnsi="宋体"/>
                <w:bCs/>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08" w:type="pct"/>
            <w:noWrap w:val="0"/>
            <w:vAlign w:val="center"/>
          </w:tcPr>
          <w:p>
            <w:pPr>
              <w:jc w:val="center"/>
              <w:rPr>
                <w:rFonts w:ascii="宋体" w:hAnsi="宋体"/>
                <w:color w:val="auto"/>
                <w:szCs w:val="21"/>
              </w:rPr>
            </w:pPr>
          </w:p>
        </w:tc>
        <w:tc>
          <w:tcPr>
            <w:tcW w:w="629" w:type="pct"/>
            <w:noWrap w:val="0"/>
            <w:vAlign w:val="top"/>
          </w:tcPr>
          <w:p>
            <w:pPr>
              <w:jc w:val="center"/>
              <w:rPr>
                <w:rFonts w:ascii="宋体" w:hAnsi="宋体"/>
                <w:color w:val="auto"/>
                <w:szCs w:val="21"/>
              </w:rPr>
            </w:pPr>
          </w:p>
        </w:tc>
        <w:tc>
          <w:tcPr>
            <w:tcW w:w="463" w:type="pct"/>
            <w:noWrap w:val="0"/>
            <w:vAlign w:val="center"/>
          </w:tcPr>
          <w:p>
            <w:pPr>
              <w:jc w:val="center"/>
              <w:rPr>
                <w:rFonts w:ascii="宋体" w:hAnsi="宋体"/>
                <w:color w:val="auto"/>
                <w:szCs w:val="21"/>
              </w:rPr>
            </w:pPr>
          </w:p>
        </w:tc>
        <w:tc>
          <w:tcPr>
            <w:tcW w:w="586"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3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250" w:type="pct"/>
            <w:noWrap w:val="0"/>
            <w:vAlign w:val="center"/>
          </w:tcPr>
          <w:p>
            <w:pPr>
              <w:jc w:val="center"/>
              <w:rPr>
                <w:rFonts w:ascii="宋体" w:hAnsi="宋体"/>
                <w:color w:val="auto"/>
                <w:szCs w:val="21"/>
              </w:rPr>
            </w:pPr>
          </w:p>
        </w:tc>
        <w:tc>
          <w:tcPr>
            <w:tcW w:w="438" w:type="pct"/>
            <w:noWrap w:val="0"/>
            <w:vAlign w:val="center"/>
          </w:tcPr>
          <w:p>
            <w:pPr>
              <w:jc w:val="center"/>
              <w:rPr>
                <w:rFonts w:ascii="宋体" w:hAnsi="宋体"/>
                <w:color w:val="auto"/>
                <w:szCs w:val="21"/>
              </w:rPr>
            </w:pPr>
          </w:p>
        </w:tc>
      </w:tr>
    </w:tbl>
    <w:p>
      <w:pPr>
        <w:spacing w:line="300" w:lineRule="exact"/>
        <w:ind w:firstLine="3500" w:firstLineChars="1250"/>
        <w:rPr>
          <w:rFonts w:hint="eastAsia" w:ascii="宋体" w:hAnsi="宋体"/>
          <w:color w:val="auto"/>
          <w:sz w:val="28"/>
        </w:rPr>
      </w:pPr>
    </w:p>
    <w:p>
      <w:pPr>
        <w:tabs>
          <w:tab w:val="left" w:pos="-1418"/>
        </w:tabs>
        <w:jc w:val="center"/>
        <w:rPr>
          <w:rFonts w:hint="eastAsia" w:ascii="宋体" w:hAnsi="宋体"/>
          <w:color w:val="auto"/>
          <w:sz w:val="24"/>
        </w:rPr>
      </w:pPr>
    </w:p>
    <w:p>
      <w:pPr>
        <w:tabs>
          <w:tab w:val="left" w:pos="-1418"/>
        </w:tabs>
        <w:jc w:val="center"/>
        <w:rPr>
          <w:rFonts w:hint="eastAsia" w:ascii="宋体" w:hAnsi="宋体"/>
          <w:color w:val="auto"/>
          <w:sz w:val="24"/>
        </w:rPr>
      </w:pPr>
    </w:p>
    <w:p>
      <w:pPr>
        <w:tabs>
          <w:tab w:val="left" w:pos="-1418"/>
        </w:tabs>
        <w:jc w:val="center"/>
        <w:rPr>
          <w:rFonts w:hint="eastAsia" w:ascii="宋体" w:hAnsi="宋体"/>
          <w:color w:val="auto"/>
          <w:sz w:val="24"/>
        </w:rPr>
      </w:pPr>
    </w:p>
    <w:p>
      <w:pPr>
        <w:tabs>
          <w:tab w:val="left" w:pos="-1418"/>
        </w:tabs>
        <w:jc w:val="center"/>
        <w:rPr>
          <w:rFonts w:hint="eastAsia" w:ascii="宋体" w:hAnsi="宋体"/>
          <w:color w:val="auto"/>
          <w:sz w:val="24"/>
        </w:rPr>
      </w:pPr>
    </w:p>
    <w:p>
      <w:pPr>
        <w:spacing w:before="120" w:beforeLines="50" w:after="120" w:afterLines="50" w:line="460" w:lineRule="exact"/>
        <w:jc w:val="center"/>
        <w:outlineLvl w:val="2"/>
        <w:rPr>
          <w:rFonts w:hint="eastAsia" w:ascii="宋体" w:hAnsi="宋体"/>
          <w:color w:val="auto"/>
          <w:sz w:val="28"/>
          <w:szCs w:val="28"/>
        </w:rPr>
      </w:pPr>
      <w:bookmarkStart w:id="2399" w:name="_Toc221951610"/>
      <w:bookmarkStart w:id="2400" w:name="_Toc10648"/>
      <w:r>
        <w:rPr>
          <w:rFonts w:hint="eastAsia" w:ascii="宋体" w:hAnsi="宋体"/>
          <w:color w:val="auto"/>
          <w:sz w:val="28"/>
          <w:szCs w:val="28"/>
        </w:rPr>
        <w:t>3.14 投标人自备施工机械台时(班)费汇总表</w:t>
      </w:r>
      <w:bookmarkEnd w:id="2399"/>
      <w:bookmarkEnd w:id="2400"/>
    </w:p>
    <w:p>
      <w:pPr>
        <w:tabs>
          <w:tab w:val="left" w:pos="-1418"/>
        </w:tabs>
        <w:spacing w:line="300" w:lineRule="exact"/>
        <w:jc w:val="center"/>
        <w:rPr>
          <w:rFonts w:hint="eastAsia" w:ascii="宋体" w:hAnsi="宋体"/>
          <w:color w:val="auto"/>
          <w:sz w:val="32"/>
        </w:rPr>
      </w:pPr>
    </w:p>
    <w:p>
      <w:pPr>
        <w:rPr>
          <w:rFonts w:hint="eastAsia" w:ascii="宋体" w:hAnsi="宋体"/>
          <w:color w:val="auto"/>
          <w:sz w:val="30"/>
          <w:u w:val="single"/>
        </w:rPr>
      </w:pPr>
      <w:bookmarkStart w:id="2401" w:name="_Toc221951611"/>
      <w:r>
        <w:rPr>
          <w:rFonts w:hint="eastAsia" w:ascii="宋体" w:hAnsi="宋体"/>
          <w:color w:val="auto"/>
          <w:szCs w:val="21"/>
        </w:rPr>
        <w:t>合同编号:</w:t>
      </w:r>
      <w:bookmarkEnd w:id="2401"/>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bookmarkStart w:id="2402" w:name="_Toc221951612"/>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bCs/>
          <w:color w:val="auto"/>
        </w:rPr>
        <w:t>单位：元／</w:t>
      </w:r>
      <w:r>
        <w:rPr>
          <w:rFonts w:hint="eastAsia"/>
          <w:color w:val="auto"/>
        </w:rPr>
        <w:t>台时(班)</w:t>
      </w:r>
      <w:bookmarkEnd w:id="2402"/>
    </w:p>
    <w:p>
      <w:pPr>
        <w:rPr>
          <w:bCs/>
          <w:color w:val="auto"/>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2007"/>
        <w:gridCol w:w="1063"/>
        <w:gridCol w:w="846"/>
        <w:gridCol w:w="846"/>
        <w:gridCol w:w="846"/>
        <w:gridCol w:w="846"/>
        <w:gridCol w:w="846"/>
        <w:gridCol w:w="846"/>
        <w:gridCol w:w="846"/>
        <w:gridCol w:w="846"/>
        <w:gridCol w:w="846"/>
        <w:gridCol w:w="846"/>
        <w:gridCol w:w="846"/>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vMerge w:val="restart"/>
            <w:noWrap w:val="0"/>
            <w:vAlign w:val="center"/>
          </w:tcPr>
          <w:p>
            <w:pPr>
              <w:jc w:val="center"/>
              <w:rPr>
                <w:rFonts w:ascii="宋体" w:hAnsi="宋体"/>
                <w:bCs/>
                <w:color w:val="auto"/>
                <w:szCs w:val="21"/>
              </w:rPr>
            </w:pPr>
            <w:bookmarkStart w:id="2403" w:name="_Toc221951613"/>
            <w:r>
              <w:rPr>
                <w:rFonts w:hint="eastAsia" w:ascii="宋体" w:hAnsi="宋体"/>
                <w:bCs/>
                <w:color w:val="auto"/>
                <w:szCs w:val="21"/>
              </w:rPr>
              <w:t>序号</w:t>
            </w:r>
            <w:bookmarkEnd w:id="2403"/>
          </w:p>
        </w:tc>
        <w:tc>
          <w:tcPr>
            <w:tcW w:w="2007" w:type="dxa"/>
            <w:vMerge w:val="restart"/>
            <w:noWrap w:val="0"/>
            <w:vAlign w:val="center"/>
          </w:tcPr>
          <w:p>
            <w:pPr>
              <w:jc w:val="center"/>
              <w:rPr>
                <w:rFonts w:hint="eastAsia" w:ascii="宋体" w:hAnsi="宋体"/>
                <w:bCs/>
                <w:color w:val="auto"/>
                <w:szCs w:val="21"/>
              </w:rPr>
            </w:pPr>
            <w:bookmarkStart w:id="2404" w:name="_Toc221951614"/>
            <w:r>
              <w:rPr>
                <w:rFonts w:hint="eastAsia" w:ascii="宋体" w:hAnsi="宋体"/>
                <w:bCs/>
                <w:color w:val="auto"/>
                <w:szCs w:val="21"/>
              </w:rPr>
              <w:t>机械名称</w:t>
            </w:r>
            <w:bookmarkEnd w:id="2404"/>
          </w:p>
        </w:tc>
        <w:tc>
          <w:tcPr>
            <w:tcW w:w="1063" w:type="dxa"/>
            <w:vMerge w:val="restart"/>
            <w:noWrap w:val="0"/>
            <w:vAlign w:val="center"/>
          </w:tcPr>
          <w:p>
            <w:pPr>
              <w:jc w:val="center"/>
              <w:rPr>
                <w:rFonts w:ascii="宋体" w:hAnsi="宋体"/>
                <w:bCs/>
                <w:color w:val="auto"/>
                <w:szCs w:val="21"/>
              </w:rPr>
            </w:pPr>
            <w:bookmarkStart w:id="2405" w:name="_Toc221951615"/>
            <w:r>
              <w:rPr>
                <w:rFonts w:hint="eastAsia" w:ascii="宋体" w:hAnsi="宋体"/>
                <w:bCs/>
                <w:color w:val="auto"/>
                <w:szCs w:val="21"/>
              </w:rPr>
              <w:t>规格型号</w:t>
            </w:r>
            <w:bookmarkEnd w:id="2405"/>
          </w:p>
        </w:tc>
        <w:tc>
          <w:tcPr>
            <w:tcW w:w="3384" w:type="dxa"/>
            <w:gridSpan w:val="4"/>
            <w:noWrap w:val="0"/>
            <w:vAlign w:val="center"/>
          </w:tcPr>
          <w:p>
            <w:pPr>
              <w:jc w:val="center"/>
              <w:rPr>
                <w:rFonts w:hint="eastAsia" w:ascii="宋体" w:hAnsi="宋体"/>
                <w:bCs/>
                <w:color w:val="auto"/>
                <w:szCs w:val="21"/>
              </w:rPr>
            </w:pPr>
            <w:bookmarkStart w:id="2406" w:name="_Toc221951616"/>
            <w:r>
              <w:rPr>
                <w:rFonts w:hint="eastAsia" w:ascii="宋体" w:hAnsi="宋体"/>
                <w:bCs/>
                <w:color w:val="auto"/>
                <w:szCs w:val="21"/>
              </w:rPr>
              <w:t>一类费用</w:t>
            </w:r>
            <w:bookmarkEnd w:id="2406"/>
          </w:p>
        </w:tc>
        <w:tc>
          <w:tcPr>
            <w:tcW w:w="5922" w:type="dxa"/>
            <w:gridSpan w:val="7"/>
            <w:noWrap w:val="0"/>
            <w:vAlign w:val="center"/>
          </w:tcPr>
          <w:p>
            <w:pPr>
              <w:jc w:val="center"/>
              <w:rPr>
                <w:rFonts w:ascii="宋体" w:hAnsi="宋体"/>
                <w:color w:val="auto"/>
                <w:szCs w:val="21"/>
              </w:rPr>
            </w:pPr>
            <w:bookmarkStart w:id="2407" w:name="_Toc221951617"/>
            <w:r>
              <w:rPr>
                <w:rFonts w:hint="eastAsia" w:ascii="宋体" w:hAnsi="宋体"/>
                <w:bCs/>
                <w:color w:val="auto"/>
                <w:szCs w:val="21"/>
              </w:rPr>
              <w:t>二类费用</w:t>
            </w:r>
            <w:bookmarkEnd w:id="2407"/>
          </w:p>
        </w:tc>
        <w:tc>
          <w:tcPr>
            <w:tcW w:w="989" w:type="dxa"/>
            <w:vMerge w:val="restart"/>
            <w:noWrap w:val="0"/>
            <w:vAlign w:val="center"/>
          </w:tcPr>
          <w:p>
            <w:pPr>
              <w:jc w:val="center"/>
              <w:rPr>
                <w:rFonts w:ascii="宋体" w:hAnsi="宋体"/>
                <w:color w:val="auto"/>
                <w:szCs w:val="21"/>
              </w:rPr>
            </w:pPr>
            <w:bookmarkStart w:id="2408" w:name="_Toc221951618"/>
            <w:r>
              <w:rPr>
                <w:rFonts w:hint="eastAsia" w:ascii="宋体" w:hAnsi="宋体"/>
                <w:bCs/>
                <w:color w:val="auto"/>
                <w:szCs w:val="21"/>
              </w:rPr>
              <w:t>合计</w:t>
            </w:r>
            <w:bookmarkEnd w:id="24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vMerge w:val="continue"/>
            <w:noWrap w:val="0"/>
            <w:vAlign w:val="center"/>
          </w:tcPr>
          <w:p>
            <w:pPr>
              <w:jc w:val="center"/>
              <w:rPr>
                <w:rFonts w:ascii="宋体" w:hAnsi="宋体"/>
                <w:bCs/>
                <w:color w:val="auto"/>
                <w:szCs w:val="21"/>
              </w:rPr>
            </w:pPr>
          </w:p>
        </w:tc>
        <w:tc>
          <w:tcPr>
            <w:tcW w:w="2007" w:type="dxa"/>
            <w:vMerge w:val="continue"/>
            <w:noWrap w:val="0"/>
            <w:vAlign w:val="top"/>
          </w:tcPr>
          <w:p>
            <w:pPr>
              <w:jc w:val="center"/>
              <w:rPr>
                <w:rFonts w:ascii="宋体" w:hAnsi="宋体"/>
                <w:bCs/>
                <w:color w:val="auto"/>
                <w:szCs w:val="21"/>
              </w:rPr>
            </w:pPr>
          </w:p>
        </w:tc>
        <w:tc>
          <w:tcPr>
            <w:tcW w:w="1063" w:type="dxa"/>
            <w:vMerge w:val="continue"/>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bookmarkStart w:id="2409" w:name="_Toc221951619"/>
            <w:r>
              <w:rPr>
                <w:rFonts w:hint="eastAsia" w:ascii="宋体" w:hAnsi="宋体"/>
                <w:bCs/>
                <w:color w:val="auto"/>
                <w:szCs w:val="21"/>
              </w:rPr>
              <w:t>折旧费</w:t>
            </w:r>
            <w:bookmarkEnd w:id="2409"/>
          </w:p>
        </w:tc>
        <w:tc>
          <w:tcPr>
            <w:tcW w:w="846" w:type="dxa"/>
            <w:noWrap w:val="0"/>
            <w:vAlign w:val="center"/>
          </w:tcPr>
          <w:p>
            <w:pPr>
              <w:jc w:val="center"/>
              <w:rPr>
                <w:rFonts w:ascii="宋体" w:hAnsi="宋体"/>
                <w:bCs/>
                <w:color w:val="auto"/>
                <w:szCs w:val="21"/>
              </w:rPr>
            </w:pPr>
            <w:bookmarkStart w:id="2410" w:name="_Toc221951620"/>
            <w:r>
              <w:rPr>
                <w:rFonts w:hint="eastAsia" w:ascii="宋体" w:hAnsi="宋体"/>
                <w:bCs/>
                <w:color w:val="auto"/>
                <w:szCs w:val="21"/>
              </w:rPr>
              <w:t>维修费</w:t>
            </w:r>
            <w:bookmarkEnd w:id="2410"/>
          </w:p>
        </w:tc>
        <w:tc>
          <w:tcPr>
            <w:tcW w:w="846" w:type="dxa"/>
            <w:noWrap w:val="0"/>
            <w:vAlign w:val="center"/>
          </w:tcPr>
          <w:p>
            <w:pPr>
              <w:jc w:val="center"/>
              <w:rPr>
                <w:rFonts w:ascii="宋体" w:hAnsi="宋体"/>
                <w:bCs/>
                <w:color w:val="auto"/>
                <w:szCs w:val="21"/>
              </w:rPr>
            </w:pPr>
            <w:bookmarkStart w:id="2411" w:name="_Toc221951621"/>
            <w:r>
              <w:rPr>
                <w:rFonts w:hint="eastAsia" w:ascii="宋体" w:hAnsi="宋体"/>
                <w:bCs/>
                <w:color w:val="auto"/>
                <w:szCs w:val="21"/>
              </w:rPr>
              <w:t>安拆费</w:t>
            </w:r>
            <w:bookmarkEnd w:id="2411"/>
          </w:p>
        </w:tc>
        <w:tc>
          <w:tcPr>
            <w:tcW w:w="846" w:type="dxa"/>
            <w:noWrap w:val="0"/>
            <w:vAlign w:val="center"/>
          </w:tcPr>
          <w:p>
            <w:pPr>
              <w:jc w:val="center"/>
              <w:rPr>
                <w:rFonts w:ascii="宋体" w:hAnsi="宋体"/>
                <w:bCs/>
                <w:color w:val="auto"/>
                <w:szCs w:val="21"/>
              </w:rPr>
            </w:pPr>
            <w:bookmarkStart w:id="2412" w:name="_Toc221951622"/>
            <w:r>
              <w:rPr>
                <w:rFonts w:hint="eastAsia" w:ascii="宋体" w:hAnsi="宋体"/>
                <w:bCs/>
                <w:color w:val="auto"/>
                <w:szCs w:val="21"/>
              </w:rPr>
              <w:t>小计</w:t>
            </w:r>
            <w:bookmarkEnd w:id="2412"/>
          </w:p>
        </w:tc>
        <w:tc>
          <w:tcPr>
            <w:tcW w:w="846" w:type="dxa"/>
            <w:noWrap w:val="0"/>
            <w:vAlign w:val="center"/>
          </w:tcPr>
          <w:p>
            <w:pPr>
              <w:jc w:val="center"/>
              <w:rPr>
                <w:rFonts w:hint="eastAsia" w:ascii="宋体" w:hAnsi="宋体"/>
                <w:bCs/>
                <w:color w:val="auto"/>
                <w:szCs w:val="21"/>
              </w:rPr>
            </w:pPr>
            <w:bookmarkStart w:id="2413" w:name="_Toc221951623"/>
            <w:r>
              <w:rPr>
                <w:rFonts w:hint="eastAsia" w:ascii="宋体" w:hAnsi="宋体"/>
                <w:bCs/>
                <w:color w:val="auto"/>
                <w:szCs w:val="21"/>
              </w:rPr>
              <w:t>人工</w:t>
            </w:r>
            <w:bookmarkEnd w:id="2413"/>
          </w:p>
        </w:tc>
        <w:tc>
          <w:tcPr>
            <w:tcW w:w="846" w:type="dxa"/>
            <w:noWrap w:val="0"/>
            <w:vAlign w:val="center"/>
          </w:tcPr>
          <w:p>
            <w:pPr>
              <w:jc w:val="center"/>
              <w:rPr>
                <w:rFonts w:hint="eastAsia" w:ascii="宋体" w:hAnsi="宋体"/>
                <w:bCs/>
                <w:color w:val="auto"/>
                <w:szCs w:val="21"/>
              </w:rPr>
            </w:pPr>
            <w:bookmarkStart w:id="2414" w:name="_Toc221951624"/>
            <w:r>
              <w:rPr>
                <w:rFonts w:hint="eastAsia" w:ascii="宋体" w:hAnsi="宋体"/>
                <w:bCs/>
                <w:color w:val="auto"/>
                <w:szCs w:val="21"/>
              </w:rPr>
              <w:t>柴油</w:t>
            </w:r>
            <w:bookmarkEnd w:id="2414"/>
          </w:p>
        </w:tc>
        <w:tc>
          <w:tcPr>
            <w:tcW w:w="846" w:type="dxa"/>
            <w:noWrap w:val="0"/>
            <w:vAlign w:val="center"/>
          </w:tcPr>
          <w:p>
            <w:pPr>
              <w:jc w:val="center"/>
              <w:rPr>
                <w:rFonts w:hint="eastAsia" w:ascii="宋体" w:hAnsi="宋体"/>
                <w:bCs/>
                <w:color w:val="auto"/>
                <w:szCs w:val="21"/>
              </w:rPr>
            </w:pPr>
            <w:bookmarkStart w:id="2415" w:name="_Toc221951625"/>
            <w:r>
              <w:rPr>
                <w:rFonts w:hint="eastAsia" w:ascii="宋体" w:hAnsi="宋体"/>
                <w:bCs/>
                <w:color w:val="auto"/>
                <w:szCs w:val="21"/>
              </w:rPr>
              <w:t>电</w:t>
            </w:r>
            <w:bookmarkEnd w:id="2415"/>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bookmarkStart w:id="2416" w:name="_Toc221951626"/>
            <w:r>
              <w:rPr>
                <w:rFonts w:hint="eastAsia" w:ascii="宋体" w:hAnsi="宋体"/>
                <w:bCs/>
                <w:color w:val="auto"/>
                <w:szCs w:val="21"/>
              </w:rPr>
              <w:t>小计</w:t>
            </w:r>
            <w:bookmarkEnd w:id="2416"/>
          </w:p>
        </w:tc>
        <w:tc>
          <w:tcPr>
            <w:tcW w:w="989" w:type="dxa"/>
            <w:vMerge w:val="continue"/>
            <w:noWrap w:val="0"/>
            <w:vAlign w:val="top"/>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bCs/>
                <w:color w:val="auto"/>
                <w:szCs w:val="21"/>
              </w:rPr>
            </w:pPr>
          </w:p>
        </w:tc>
        <w:tc>
          <w:tcPr>
            <w:tcW w:w="2007" w:type="dxa"/>
            <w:noWrap w:val="0"/>
            <w:vAlign w:val="top"/>
          </w:tcPr>
          <w:p>
            <w:pPr>
              <w:jc w:val="center"/>
              <w:rPr>
                <w:rFonts w:ascii="宋体" w:hAnsi="宋体"/>
                <w:bCs/>
                <w:color w:val="auto"/>
                <w:szCs w:val="21"/>
              </w:rPr>
            </w:pPr>
          </w:p>
        </w:tc>
        <w:tc>
          <w:tcPr>
            <w:tcW w:w="1063"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989" w:type="dxa"/>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bl>
    <w:p>
      <w:pPr>
        <w:spacing w:line="300" w:lineRule="exact"/>
        <w:ind w:firstLine="7840" w:firstLineChars="2800"/>
        <w:rPr>
          <w:rFonts w:hint="eastAsia" w:ascii="宋体" w:hAnsi="宋体"/>
          <w:color w:val="auto"/>
          <w:sz w:val="28"/>
        </w:rPr>
      </w:pPr>
    </w:p>
    <w:p>
      <w:pPr>
        <w:spacing w:line="420" w:lineRule="exact"/>
        <w:ind w:firstLine="9156"/>
        <w:rPr>
          <w:rFonts w:ascii="宋体" w:hAnsi="宋体"/>
          <w:color w:val="auto"/>
          <w:sz w:val="24"/>
        </w:rPr>
        <w:sectPr>
          <w:pgSz w:w="16838" w:h="11906" w:orient="landscape"/>
          <w:pgMar w:top="1418" w:right="1418" w:bottom="1469" w:left="1418" w:header="851" w:footer="992" w:gutter="0"/>
          <w:pgNumType w:fmt="decimal"/>
          <w:cols w:space="720" w:num="1"/>
          <w:docGrid w:linePitch="312" w:charSpace="0"/>
        </w:sectPr>
      </w:pPr>
    </w:p>
    <w:p>
      <w:pPr>
        <w:spacing w:before="120" w:beforeLines="50" w:after="120" w:afterLines="50" w:line="460" w:lineRule="exact"/>
        <w:jc w:val="center"/>
        <w:outlineLvl w:val="2"/>
        <w:rPr>
          <w:rFonts w:hint="eastAsia" w:ascii="宋体" w:hAnsi="宋体"/>
          <w:color w:val="auto"/>
          <w:sz w:val="28"/>
          <w:szCs w:val="28"/>
        </w:rPr>
      </w:pPr>
      <w:bookmarkStart w:id="2417" w:name="_Toc20062"/>
      <w:bookmarkStart w:id="2418" w:name="_Toc221951627"/>
      <w:r>
        <w:rPr>
          <w:rFonts w:hint="eastAsia" w:ascii="宋体" w:hAnsi="宋体"/>
          <w:color w:val="auto"/>
          <w:sz w:val="28"/>
          <w:szCs w:val="28"/>
        </w:rPr>
        <w:t>3.15 总价项目分类分项工程分解表</w:t>
      </w:r>
      <w:bookmarkEnd w:id="2417"/>
    </w:p>
    <w:p>
      <w:pPr>
        <w:rPr>
          <w:rFonts w:hint="eastAsia" w:ascii="宋体" w:hAnsi="宋体"/>
          <w:color w:val="auto"/>
          <w:sz w:val="30"/>
          <w:u w:val="single"/>
        </w:rPr>
      </w:pPr>
      <w:r>
        <w:rPr>
          <w:rFonts w:hint="eastAsia" w:ascii="宋体" w:hAnsi="宋体"/>
          <w:color w:val="auto"/>
          <w:szCs w:val="21"/>
        </w:rPr>
        <w:t xml:space="preserve">合同编号: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rFonts w:hint="eastAsia"/>
          <w:color w:val="auto"/>
        </w:rPr>
      </w:pPr>
    </w:p>
    <w:tbl>
      <w:tblPr>
        <w:tblStyle w:val="38"/>
        <w:tblW w:w="0" w:type="auto"/>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276"/>
        <w:gridCol w:w="1361"/>
        <w:gridCol w:w="1332"/>
        <w:gridCol w:w="1276"/>
        <w:gridCol w:w="992"/>
        <w:gridCol w:w="1134"/>
        <w:gridCol w:w="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800" w:type="dxa"/>
            <w:noWrap w:val="0"/>
            <w:vAlign w:val="center"/>
          </w:tcPr>
          <w:p>
            <w:pPr>
              <w:spacing w:line="0" w:lineRule="atLeast"/>
              <w:ind w:left="91"/>
              <w:jc w:val="center"/>
              <w:rPr>
                <w:rFonts w:hint="eastAsia"/>
                <w:color w:val="auto"/>
              </w:rPr>
            </w:pPr>
            <w:r>
              <w:rPr>
                <w:rFonts w:hint="eastAsia"/>
                <w:color w:val="auto"/>
              </w:rPr>
              <w:t>序号</w:t>
            </w:r>
          </w:p>
        </w:tc>
        <w:tc>
          <w:tcPr>
            <w:tcW w:w="1276" w:type="dxa"/>
            <w:noWrap w:val="0"/>
            <w:vAlign w:val="center"/>
          </w:tcPr>
          <w:p>
            <w:pPr>
              <w:spacing w:line="0" w:lineRule="atLeast"/>
              <w:ind w:left="91"/>
              <w:jc w:val="center"/>
              <w:rPr>
                <w:rFonts w:hint="eastAsia"/>
                <w:color w:val="auto"/>
              </w:rPr>
            </w:pPr>
            <w:r>
              <w:rPr>
                <w:rFonts w:hint="eastAsia"/>
                <w:color w:val="auto"/>
              </w:rPr>
              <w:t>项目编码</w:t>
            </w:r>
          </w:p>
        </w:tc>
        <w:tc>
          <w:tcPr>
            <w:tcW w:w="1361" w:type="dxa"/>
            <w:noWrap w:val="0"/>
            <w:vAlign w:val="center"/>
          </w:tcPr>
          <w:p>
            <w:pPr>
              <w:spacing w:line="0" w:lineRule="atLeast"/>
              <w:ind w:left="91"/>
              <w:jc w:val="center"/>
              <w:rPr>
                <w:rFonts w:hint="eastAsia"/>
                <w:color w:val="auto"/>
              </w:rPr>
            </w:pPr>
            <w:r>
              <w:rPr>
                <w:rFonts w:hint="eastAsia"/>
                <w:color w:val="auto"/>
              </w:rPr>
              <w:t>项目名称</w:t>
            </w:r>
          </w:p>
        </w:tc>
        <w:tc>
          <w:tcPr>
            <w:tcW w:w="1332" w:type="dxa"/>
            <w:noWrap w:val="0"/>
            <w:vAlign w:val="center"/>
          </w:tcPr>
          <w:p>
            <w:pPr>
              <w:spacing w:line="0" w:lineRule="atLeast"/>
              <w:ind w:left="91"/>
              <w:jc w:val="center"/>
              <w:rPr>
                <w:rFonts w:hint="eastAsia"/>
                <w:color w:val="auto"/>
              </w:rPr>
            </w:pPr>
            <w:r>
              <w:rPr>
                <w:rFonts w:hint="eastAsia"/>
                <w:color w:val="auto"/>
              </w:rPr>
              <w:t>计量单位</w:t>
            </w:r>
          </w:p>
        </w:tc>
        <w:tc>
          <w:tcPr>
            <w:tcW w:w="1276" w:type="dxa"/>
            <w:noWrap w:val="0"/>
            <w:vAlign w:val="center"/>
          </w:tcPr>
          <w:p>
            <w:pPr>
              <w:spacing w:line="0" w:lineRule="atLeast"/>
              <w:ind w:left="91"/>
              <w:jc w:val="center"/>
              <w:rPr>
                <w:rFonts w:hint="eastAsia"/>
                <w:color w:val="auto"/>
              </w:rPr>
            </w:pPr>
            <w:r>
              <w:rPr>
                <w:rFonts w:hint="eastAsia"/>
                <w:color w:val="auto"/>
              </w:rPr>
              <w:t>工程数量</w:t>
            </w:r>
          </w:p>
        </w:tc>
        <w:tc>
          <w:tcPr>
            <w:tcW w:w="992" w:type="dxa"/>
            <w:noWrap w:val="0"/>
            <w:vAlign w:val="center"/>
          </w:tcPr>
          <w:p>
            <w:pPr>
              <w:spacing w:line="0" w:lineRule="atLeast"/>
              <w:ind w:left="91"/>
              <w:jc w:val="center"/>
              <w:rPr>
                <w:rFonts w:hint="eastAsia"/>
                <w:color w:val="auto"/>
              </w:rPr>
            </w:pPr>
            <w:r>
              <w:rPr>
                <w:rFonts w:hint="eastAsia"/>
                <w:color w:val="auto"/>
              </w:rPr>
              <w:t>单  价（元）</w:t>
            </w:r>
          </w:p>
        </w:tc>
        <w:tc>
          <w:tcPr>
            <w:tcW w:w="1134" w:type="dxa"/>
            <w:noWrap w:val="0"/>
            <w:vAlign w:val="center"/>
          </w:tcPr>
          <w:p>
            <w:pPr>
              <w:spacing w:line="0" w:lineRule="atLeast"/>
              <w:ind w:left="91"/>
              <w:jc w:val="center"/>
              <w:rPr>
                <w:rFonts w:hint="eastAsia"/>
                <w:color w:val="auto"/>
              </w:rPr>
            </w:pPr>
            <w:r>
              <w:rPr>
                <w:rFonts w:hint="eastAsia"/>
                <w:color w:val="auto"/>
              </w:rPr>
              <w:t>合  价（元）</w:t>
            </w:r>
          </w:p>
        </w:tc>
        <w:tc>
          <w:tcPr>
            <w:tcW w:w="995" w:type="dxa"/>
            <w:noWrap w:val="0"/>
            <w:vAlign w:val="center"/>
          </w:tcPr>
          <w:p>
            <w:pPr>
              <w:spacing w:line="0" w:lineRule="atLeast"/>
              <w:ind w:left="91"/>
              <w:jc w:val="center"/>
              <w:rPr>
                <w:rFonts w:hint="eastAsia"/>
                <w:color w:val="auto"/>
              </w:rPr>
            </w:pPr>
            <w:r>
              <w:rPr>
                <w:rFonts w:hint="eastAsia"/>
                <w:color w:val="auto"/>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995" w:type="dxa"/>
            <w:noWrap w:val="0"/>
            <w:vAlign w:val="top"/>
          </w:tcPr>
          <w:p>
            <w:pPr>
              <w:ind w:left="91"/>
              <w:rPr>
                <w:rFonts w:hint="eastAsia"/>
                <w:color w:val="auto"/>
              </w:rPr>
            </w:pPr>
          </w:p>
        </w:tc>
      </w:tr>
    </w:tbl>
    <w:p>
      <w:pPr>
        <w:spacing w:before="120" w:beforeLines="50"/>
        <w:rPr>
          <w:rFonts w:hint="eastAsia"/>
          <w:color w:val="auto"/>
        </w:rPr>
      </w:pPr>
      <w:r>
        <w:rPr>
          <w:rFonts w:hint="eastAsia"/>
          <w:color w:val="auto"/>
        </w:rPr>
        <w:t>注 项目编码应遵守《水利工程工程量清单计价规范》（GB50501-2007）</w:t>
      </w:r>
    </w:p>
    <w:p>
      <w:pPr>
        <w:rPr>
          <w:rFonts w:hint="eastAsia" w:ascii="宋体" w:hAnsi="宋体"/>
          <w:color w:val="auto"/>
          <w:sz w:val="32"/>
        </w:rPr>
      </w:pPr>
      <w:r>
        <w:rPr>
          <w:rFonts w:hint="eastAsia"/>
          <w:color w:val="auto"/>
        </w:rPr>
        <w:t xml:space="preserve"> </w:t>
      </w:r>
    </w:p>
    <w:p>
      <w:pPr>
        <w:jc w:val="center"/>
        <w:rPr>
          <w:rFonts w:hint="eastAsia" w:ascii="宋体" w:hAnsi="宋体"/>
          <w:color w:val="auto"/>
          <w:sz w:val="32"/>
        </w:rPr>
      </w:pPr>
    </w:p>
    <w:bookmarkEnd w:id="2418"/>
    <w:p>
      <w:pPr>
        <w:spacing w:before="120" w:beforeLines="50" w:after="120" w:afterLines="50" w:line="460" w:lineRule="exact"/>
        <w:jc w:val="center"/>
        <w:outlineLvl w:val="2"/>
        <w:rPr>
          <w:rFonts w:hint="eastAsia" w:ascii="宋体" w:hAnsi="宋体"/>
          <w:color w:val="auto"/>
          <w:sz w:val="28"/>
          <w:szCs w:val="28"/>
        </w:rPr>
      </w:pPr>
      <w:bookmarkStart w:id="2419" w:name="_Toc9773"/>
      <w:r>
        <w:rPr>
          <w:rFonts w:hint="eastAsia" w:ascii="宋体" w:hAnsi="宋体"/>
          <w:color w:val="auto"/>
          <w:sz w:val="28"/>
          <w:szCs w:val="28"/>
        </w:rPr>
        <w:t>3.16 工程单价计算表</w:t>
      </w:r>
      <w:bookmarkEnd w:id="2419"/>
    </w:p>
    <w:p>
      <w:pPr>
        <w:spacing w:before="120" w:beforeLines="50" w:after="120" w:afterLines="50" w:line="460" w:lineRule="exact"/>
        <w:jc w:val="center"/>
        <w:rPr>
          <w:rFonts w:hint="eastAsia" w:ascii="宋体" w:hAnsi="宋体"/>
          <w:color w:val="auto"/>
          <w:sz w:val="28"/>
          <w:szCs w:val="28"/>
        </w:rPr>
      </w:pPr>
      <w:r>
        <w:rPr>
          <w:rFonts w:hint="eastAsia" w:ascii="宋体" w:hAnsi="宋体"/>
          <w:color w:val="auto"/>
          <w:sz w:val="28"/>
          <w:szCs w:val="28"/>
        </w:rPr>
        <w:t>建筑工程单价计算表</w:t>
      </w:r>
    </w:p>
    <w:p>
      <w:pPr>
        <w:jc w:val="center"/>
        <w:rPr>
          <w:rFonts w:hint="eastAsia" w:ascii="宋体" w:hAnsi="宋体"/>
          <w:color w:val="auto"/>
          <w:sz w:val="28"/>
          <w:szCs w:val="28"/>
        </w:rPr>
      </w:pPr>
      <w:r>
        <w:rPr>
          <w:rFonts w:hint="eastAsia" w:ascii="宋体" w:hAnsi="宋体"/>
          <w:color w:val="auto"/>
          <w:sz w:val="28"/>
          <w:szCs w:val="28"/>
          <w:u w:val="single"/>
        </w:rPr>
        <w:t xml:space="preserve">            </w:t>
      </w:r>
      <w:r>
        <w:rPr>
          <w:rFonts w:hint="eastAsia" w:ascii="宋体" w:hAnsi="宋体"/>
          <w:color w:val="auto"/>
          <w:sz w:val="28"/>
          <w:szCs w:val="28"/>
        </w:rPr>
        <w:t>工程</w:t>
      </w:r>
    </w:p>
    <w:p>
      <w:pPr>
        <w:rPr>
          <w:rFonts w:hint="eastAsia" w:ascii="宋体" w:hAnsi="宋体"/>
          <w:color w:val="auto"/>
          <w:szCs w:val="21"/>
        </w:rPr>
      </w:pPr>
      <w:r>
        <w:rPr>
          <w:rFonts w:hint="eastAsia" w:ascii="宋体" w:hAnsi="宋体"/>
          <w:color w:val="auto"/>
          <w:szCs w:val="21"/>
        </w:rPr>
        <w:t>单价编号:                            定额单位：                           单价：</w:t>
      </w:r>
    </w:p>
    <w:tbl>
      <w:tblPr>
        <w:tblStyle w:val="38"/>
        <w:tblW w:w="9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340"/>
        <w:gridCol w:w="1260"/>
        <w:gridCol w:w="1080"/>
        <w:gridCol w:w="1080"/>
        <w:gridCol w:w="1459"/>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7" w:type="dxa"/>
            <w:gridSpan w:val="7"/>
            <w:noWrap w:val="0"/>
            <w:vAlign w:val="center"/>
          </w:tcPr>
          <w:p>
            <w:pPr>
              <w:rPr>
                <w:rFonts w:hint="eastAsia" w:ascii="宋体" w:hAnsi="宋体"/>
                <w:color w:val="auto"/>
                <w:szCs w:val="21"/>
              </w:rPr>
            </w:pPr>
            <w:r>
              <w:rPr>
                <w:rFonts w:hint="eastAsia" w:ascii="宋体" w:hAnsi="宋体"/>
                <w:color w:val="auto"/>
                <w:szCs w:val="21"/>
              </w:rPr>
              <w:t>施工方法：</w:t>
            </w:r>
          </w:p>
          <w:p>
            <w:pPr>
              <w:rPr>
                <w:rFonts w:hint="eastAsia" w:ascii="宋体" w:hAnsi="宋体"/>
                <w:color w:val="auto"/>
                <w:szCs w:val="21"/>
              </w:rPr>
            </w:pPr>
          </w:p>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2340" w:type="dxa"/>
            <w:noWrap w:val="0"/>
            <w:vAlign w:val="center"/>
          </w:tcPr>
          <w:p>
            <w:pPr>
              <w:jc w:val="center"/>
              <w:rPr>
                <w:rFonts w:hint="eastAsia" w:ascii="宋体" w:hAnsi="宋体"/>
                <w:color w:val="auto"/>
                <w:szCs w:val="21"/>
              </w:rPr>
            </w:pPr>
            <w:r>
              <w:rPr>
                <w:rFonts w:hint="eastAsia" w:ascii="宋体" w:hAnsi="宋体"/>
                <w:color w:val="auto"/>
                <w:szCs w:val="21"/>
              </w:rPr>
              <w:t>名称</w:t>
            </w:r>
          </w:p>
        </w:tc>
        <w:tc>
          <w:tcPr>
            <w:tcW w:w="1260" w:type="dxa"/>
            <w:noWrap w:val="0"/>
            <w:vAlign w:val="center"/>
          </w:tcPr>
          <w:p>
            <w:pPr>
              <w:jc w:val="center"/>
              <w:rPr>
                <w:rFonts w:hint="eastAsia" w:ascii="宋体" w:hAnsi="宋体"/>
                <w:color w:val="auto"/>
                <w:szCs w:val="21"/>
              </w:rPr>
            </w:pPr>
            <w:r>
              <w:rPr>
                <w:rFonts w:hint="eastAsia" w:ascii="宋体" w:hAnsi="宋体"/>
                <w:color w:val="auto"/>
                <w:szCs w:val="21"/>
              </w:rPr>
              <w:t>规格型号</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数量</w:t>
            </w:r>
          </w:p>
        </w:tc>
        <w:tc>
          <w:tcPr>
            <w:tcW w:w="1459" w:type="dxa"/>
            <w:noWrap w:val="0"/>
            <w:vAlign w:val="center"/>
          </w:tcPr>
          <w:p>
            <w:pPr>
              <w:jc w:val="center"/>
              <w:rPr>
                <w:rFonts w:hint="eastAsia" w:ascii="宋体" w:hAnsi="宋体"/>
                <w:color w:val="auto"/>
                <w:szCs w:val="21"/>
              </w:rPr>
            </w:pPr>
            <w:r>
              <w:rPr>
                <w:rFonts w:hint="eastAsia" w:ascii="宋体" w:hAnsi="宋体"/>
                <w:color w:val="auto"/>
                <w:szCs w:val="21"/>
              </w:rPr>
              <w:t>单价(元)</w:t>
            </w:r>
          </w:p>
        </w:tc>
        <w:tc>
          <w:tcPr>
            <w:tcW w:w="789" w:type="dxa"/>
            <w:noWrap w:val="0"/>
            <w:vAlign w:val="center"/>
          </w:tcPr>
          <w:p>
            <w:pPr>
              <w:jc w:val="center"/>
              <w:rPr>
                <w:rFonts w:hint="eastAsia" w:ascii="宋体" w:hAnsi="宋体"/>
                <w:color w:val="auto"/>
                <w:szCs w:val="21"/>
              </w:rPr>
            </w:pPr>
            <w:r>
              <w:rPr>
                <w:rFonts w:hint="eastAsia" w:ascii="宋体" w:hAnsi="宋体"/>
                <w:color w:val="auto"/>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w:t>
            </w:r>
          </w:p>
        </w:tc>
        <w:tc>
          <w:tcPr>
            <w:tcW w:w="2340" w:type="dxa"/>
            <w:noWrap w:val="0"/>
            <w:vAlign w:val="center"/>
          </w:tcPr>
          <w:p>
            <w:pPr>
              <w:rPr>
                <w:rFonts w:hint="eastAsia" w:ascii="宋体" w:hAnsi="宋体"/>
                <w:color w:val="auto"/>
                <w:szCs w:val="21"/>
              </w:rPr>
            </w:pPr>
            <w:r>
              <w:rPr>
                <w:rFonts w:hint="eastAsia" w:ascii="宋体" w:hAnsi="宋体"/>
                <w:color w:val="auto"/>
                <w:szCs w:val="21"/>
              </w:rPr>
              <w:t>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w:t>
            </w:r>
          </w:p>
        </w:tc>
        <w:tc>
          <w:tcPr>
            <w:tcW w:w="2340" w:type="dxa"/>
            <w:noWrap w:val="0"/>
            <w:vAlign w:val="center"/>
          </w:tcPr>
          <w:p>
            <w:pPr>
              <w:rPr>
                <w:rFonts w:hint="eastAsia" w:ascii="宋体" w:hAnsi="宋体"/>
                <w:color w:val="auto"/>
                <w:szCs w:val="21"/>
              </w:rPr>
            </w:pPr>
            <w:r>
              <w:rPr>
                <w:rFonts w:hint="eastAsia" w:ascii="宋体" w:hAnsi="宋体"/>
                <w:color w:val="auto"/>
                <w:szCs w:val="21"/>
              </w:rPr>
              <w:t>基本直接费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1.1.1</w:t>
            </w:r>
          </w:p>
        </w:tc>
        <w:tc>
          <w:tcPr>
            <w:tcW w:w="2340" w:type="dxa"/>
            <w:noWrap w:val="0"/>
            <w:vAlign w:val="center"/>
          </w:tcPr>
          <w:p>
            <w:pPr>
              <w:rPr>
                <w:rFonts w:hint="eastAsia" w:ascii="宋体" w:hAnsi="宋体"/>
                <w:color w:val="auto"/>
                <w:szCs w:val="21"/>
              </w:rPr>
            </w:pPr>
            <w:r>
              <w:rPr>
                <w:rFonts w:hint="eastAsia" w:ascii="宋体" w:hAnsi="宋体"/>
                <w:color w:val="auto"/>
                <w:szCs w:val="21"/>
              </w:rPr>
              <w:t>人工费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1.1.2</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1.1.3</w:t>
            </w:r>
          </w:p>
        </w:tc>
        <w:tc>
          <w:tcPr>
            <w:tcW w:w="2340" w:type="dxa"/>
            <w:noWrap w:val="0"/>
            <w:vAlign w:val="center"/>
          </w:tcPr>
          <w:p>
            <w:pPr>
              <w:rPr>
                <w:rFonts w:hint="eastAsia" w:ascii="宋体" w:hAnsi="宋体"/>
                <w:color w:val="auto"/>
                <w:szCs w:val="21"/>
              </w:rPr>
            </w:pPr>
            <w:r>
              <w:rPr>
                <w:rFonts w:hint="eastAsia" w:ascii="宋体" w:hAnsi="宋体"/>
                <w:color w:val="auto"/>
                <w:szCs w:val="21"/>
              </w:rPr>
              <w:t>机械使用费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1.2</w:t>
            </w:r>
          </w:p>
        </w:tc>
        <w:tc>
          <w:tcPr>
            <w:tcW w:w="2340" w:type="dxa"/>
            <w:noWrap w:val="0"/>
            <w:vAlign w:val="center"/>
          </w:tcPr>
          <w:p>
            <w:pPr>
              <w:rPr>
                <w:rFonts w:hint="eastAsia" w:ascii="宋体" w:hAnsi="宋体"/>
                <w:color w:val="auto"/>
                <w:szCs w:val="21"/>
              </w:rPr>
            </w:pPr>
            <w:r>
              <w:rPr>
                <w:rFonts w:hint="eastAsia" w:ascii="宋体" w:hAnsi="宋体"/>
                <w:color w:val="auto"/>
                <w:szCs w:val="21"/>
              </w:rPr>
              <w:t>其他直接费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2</w:t>
            </w:r>
          </w:p>
        </w:tc>
        <w:tc>
          <w:tcPr>
            <w:tcW w:w="2340" w:type="dxa"/>
            <w:noWrap w:val="0"/>
            <w:vAlign w:val="center"/>
          </w:tcPr>
          <w:p>
            <w:pPr>
              <w:rPr>
                <w:rFonts w:hint="eastAsia" w:ascii="宋体" w:hAnsi="宋体"/>
                <w:color w:val="auto"/>
                <w:szCs w:val="21"/>
              </w:rPr>
            </w:pPr>
            <w:r>
              <w:rPr>
                <w:rFonts w:hint="eastAsia" w:ascii="宋体" w:hAnsi="宋体"/>
                <w:color w:val="auto"/>
                <w:szCs w:val="21"/>
              </w:rPr>
              <w:t>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3</w:t>
            </w:r>
          </w:p>
        </w:tc>
        <w:tc>
          <w:tcPr>
            <w:tcW w:w="2340" w:type="dxa"/>
            <w:noWrap w:val="0"/>
            <w:vAlign w:val="center"/>
          </w:tcPr>
          <w:p>
            <w:pPr>
              <w:rPr>
                <w:rFonts w:hint="eastAsia" w:ascii="宋体" w:hAnsi="宋体"/>
                <w:color w:val="auto"/>
                <w:szCs w:val="21"/>
              </w:rPr>
            </w:pPr>
            <w:r>
              <w:rPr>
                <w:rFonts w:hint="eastAsia" w:ascii="宋体" w:hAnsi="宋体"/>
                <w:color w:val="auto"/>
                <w:szCs w:val="21"/>
              </w:rPr>
              <w:t>企业利润</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4</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材料补差</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5</w:t>
            </w:r>
          </w:p>
        </w:tc>
        <w:tc>
          <w:tcPr>
            <w:tcW w:w="2340" w:type="dxa"/>
            <w:noWrap w:val="0"/>
            <w:vAlign w:val="center"/>
          </w:tcPr>
          <w:p>
            <w:pPr>
              <w:rPr>
                <w:rFonts w:hint="eastAsia" w:ascii="宋体" w:hAnsi="宋体"/>
                <w:color w:val="auto"/>
                <w:szCs w:val="21"/>
              </w:rPr>
            </w:pPr>
            <w:r>
              <w:rPr>
                <w:rFonts w:hint="eastAsia" w:ascii="宋体" w:hAnsi="宋体"/>
                <w:color w:val="auto"/>
                <w:szCs w:val="21"/>
              </w:rPr>
              <w:t>税金</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r>
              <w:rPr>
                <w:rFonts w:hint="eastAsia" w:ascii="宋体" w:hAnsi="宋体"/>
                <w:color w:val="auto"/>
                <w:szCs w:val="21"/>
              </w:rPr>
              <w:t>合计</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bl>
    <w:p>
      <w:pPr>
        <w:rPr>
          <w:rFonts w:ascii="宋体" w:hAnsi="宋体"/>
          <w:color w:val="auto"/>
          <w:sz w:val="28"/>
        </w:rPr>
      </w:pPr>
    </w:p>
    <w:p>
      <w:pPr>
        <w:spacing w:before="120" w:beforeLines="50" w:after="120" w:afterLines="50" w:line="460" w:lineRule="exact"/>
        <w:jc w:val="center"/>
        <w:rPr>
          <w:rFonts w:hint="eastAsia" w:ascii="宋体" w:hAnsi="宋体"/>
          <w:color w:val="auto"/>
          <w:sz w:val="32"/>
        </w:rPr>
      </w:pPr>
      <w:r>
        <w:rPr>
          <w:rFonts w:ascii="宋体" w:hAnsi="宋体"/>
          <w:color w:val="auto"/>
          <w:sz w:val="28"/>
        </w:rPr>
        <w:br w:type="page"/>
      </w:r>
      <w:r>
        <w:rPr>
          <w:rFonts w:hint="eastAsia" w:ascii="宋体" w:hAnsi="宋体"/>
          <w:color w:val="auto"/>
          <w:sz w:val="28"/>
          <w:szCs w:val="28"/>
        </w:rPr>
        <w:t>安装工程单价计算表</w:t>
      </w:r>
    </w:p>
    <w:p>
      <w:pPr>
        <w:jc w:val="center"/>
        <w:rPr>
          <w:rFonts w:hint="eastAsia" w:ascii="宋体" w:hAnsi="宋体"/>
          <w:color w:val="auto"/>
          <w:sz w:val="28"/>
          <w:szCs w:val="28"/>
        </w:rPr>
      </w:pPr>
      <w:r>
        <w:rPr>
          <w:rFonts w:hint="eastAsia" w:ascii="宋体" w:hAnsi="宋体"/>
          <w:color w:val="auto"/>
          <w:sz w:val="28"/>
          <w:szCs w:val="28"/>
          <w:u w:val="single"/>
        </w:rPr>
        <w:t xml:space="preserve">            </w:t>
      </w:r>
      <w:r>
        <w:rPr>
          <w:rFonts w:hint="eastAsia" w:ascii="宋体" w:hAnsi="宋体"/>
          <w:color w:val="auto"/>
          <w:sz w:val="28"/>
          <w:szCs w:val="28"/>
        </w:rPr>
        <w:t>工程</w:t>
      </w:r>
    </w:p>
    <w:p>
      <w:pPr>
        <w:rPr>
          <w:rFonts w:hint="eastAsia" w:ascii="宋体" w:hAnsi="宋体"/>
          <w:color w:val="auto"/>
          <w:szCs w:val="21"/>
        </w:rPr>
      </w:pPr>
      <w:r>
        <w:rPr>
          <w:rFonts w:hint="eastAsia" w:ascii="宋体" w:hAnsi="宋体"/>
          <w:color w:val="auto"/>
          <w:szCs w:val="21"/>
        </w:rPr>
        <w:t>单价编号:                            定额单位：                           单价：</w:t>
      </w:r>
    </w:p>
    <w:tbl>
      <w:tblPr>
        <w:tblStyle w:val="38"/>
        <w:tblW w:w="9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340"/>
        <w:gridCol w:w="1260"/>
        <w:gridCol w:w="1080"/>
        <w:gridCol w:w="1080"/>
        <w:gridCol w:w="1459"/>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7" w:type="dxa"/>
            <w:gridSpan w:val="7"/>
            <w:noWrap w:val="0"/>
            <w:vAlign w:val="center"/>
          </w:tcPr>
          <w:p>
            <w:pPr>
              <w:rPr>
                <w:rFonts w:hint="eastAsia" w:ascii="宋体" w:hAnsi="宋体"/>
                <w:color w:val="auto"/>
                <w:szCs w:val="21"/>
              </w:rPr>
            </w:pPr>
            <w:r>
              <w:rPr>
                <w:rFonts w:hint="eastAsia" w:ascii="宋体" w:hAnsi="宋体"/>
                <w:color w:val="auto"/>
                <w:szCs w:val="21"/>
              </w:rPr>
              <w:t>施工方法：</w:t>
            </w:r>
          </w:p>
          <w:p>
            <w:pPr>
              <w:rPr>
                <w:rFonts w:hint="eastAsia" w:ascii="宋体" w:hAnsi="宋体"/>
                <w:color w:val="auto"/>
                <w:szCs w:val="21"/>
              </w:rPr>
            </w:pPr>
          </w:p>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2340" w:type="dxa"/>
            <w:noWrap w:val="0"/>
            <w:vAlign w:val="center"/>
          </w:tcPr>
          <w:p>
            <w:pPr>
              <w:jc w:val="center"/>
              <w:rPr>
                <w:rFonts w:hint="eastAsia" w:ascii="宋体" w:hAnsi="宋体"/>
                <w:color w:val="auto"/>
                <w:szCs w:val="21"/>
              </w:rPr>
            </w:pPr>
            <w:r>
              <w:rPr>
                <w:rFonts w:hint="eastAsia" w:ascii="宋体" w:hAnsi="宋体"/>
                <w:color w:val="auto"/>
                <w:szCs w:val="21"/>
              </w:rPr>
              <w:t>名称</w:t>
            </w:r>
          </w:p>
        </w:tc>
        <w:tc>
          <w:tcPr>
            <w:tcW w:w="1260" w:type="dxa"/>
            <w:noWrap w:val="0"/>
            <w:vAlign w:val="center"/>
          </w:tcPr>
          <w:p>
            <w:pPr>
              <w:jc w:val="center"/>
              <w:rPr>
                <w:rFonts w:hint="eastAsia" w:ascii="宋体" w:hAnsi="宋体"/>
                <w:color w:val="auto"/>
                <w:szCs w:val="21"/>
              </w:rPr>
            </w:pPr>
            <w:r>
              <w:rPr>
                <w:rFonts w:hint="eastAsia" w:ascii="宋体" w:hAnsi="宋体"/>
                <w:color w:val="auto"/>
                <w:szCs w:val="21"/>
              </w:rPr>
              <w:t>规格型号</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数量</w:t>
            </w:r>
          </w:p>
        </w:tc>
        <w:tc>
          <w:tcPr>
            <w:tcW w:w="1459" w:type="dxa"/>
            <w:noWrap w:val="0"/>
            <w:vAlign w:val="center"/>
          </w:tcPr>
          <w:p>
            <w:pPr>
              <w:jc w:val="center"/>
              <w:rPr>
                <w:rFonts w:hint="eastAsia" w:ascii="宋体" w:hAnsi="宋体"/>
                <w:color w:val="auto"/>
                <w:szCs w:val="21"/>
              </w:rPr>
            </w:pPr>
            <w:r>
              <w:rPr>
                <w:rFonts w:hint="eastAsia" w:ascii="宋体" w:hAnsi="宋体"/>
                <w:color w:val="auto"/>
                <w:szCs w:val="21"/>
              </w:rPr>
              <w:t>单价(元)</w:t>
            </w:r>
          </w:p>
        </w:tc>
        <w:tc>
          <w:tcPr>
            <w:tcW w:w="789" w:type="dxa"/>
            <w:noWrap w:val="0"/>
            <w:vAlign w:val="center"/>
          </w:tcPr>
          <w:p>
            <w:pPr>
              <w:jc w:val="center"/>
              <w:rPr>
                <w:rFonts w:hint="eastAsia" w:ascii="宋体" w:hAnsi="宋体"/>
                <w:color w:val="auto"/>
                <w:szCs w:val="21"/>
              </w:rPr>
            </w:pPr>
            <w:r>
              <w:rPr>
                <w:rFonts w:hint="eastAsia" w:ascii="宋体" w:hAnsi="宋体"/>
                <w:color w:val="auto"/>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w:t>
            </w:r>
          </w:p>
        </w:tc>
        <w:tc>
          <w:tcPr>
            <w:tcW w:w="2340" w:type="dxa"/>
            <w:noWrap w:val="0"/>
            <w:vAlign w:val="center"/>
          </w:tcPr>
          <w:p>
            <w:pPr>
              <w:rPr>
                <w:rFonts w:hint="eastAsia" w:ascii="宋体" w:hAnsi="宋体"/>
                <w:color w:val="auto"/>
                <w:szCs w:val="21"/>
              </w:rPr>
            </w:pPr>
            <w:r>
              <w:rPr>
                <w:rFonts w:hint="eastAsia" w:ascii="宋体" w:hAnsi="宋体"/>
                <w:color w:val="auto"/>
                <w:szCs w:val="21"/>
              </w:rPr>
              <w:t>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w:t>
            </w:r>
          </w:p>
        </w:tc>
        <w:tc>
          <w:tcPr>
            <w:tcW w:w="2340" w:type="dxa"/>
            <w:noWrap w:val="0"/>
            <w:vAlign w:val="center"/>
          </w:tcPr>
          <w:p>
            <w:pPr>
              <w:rPr>
                <w:rFonts w:hint="eastAsia" w:ascii="宋体" w:hAnsi="宋体"/>
                <w:color w:val="auto"/>
                <w:szCs w:val="21"/>
              </w:rPr>
            </w:pPr>
            <w:r>
              <w:rPr>
                <w:rFonts w:hint="eastAsia" w:ascii="宋体" w:hAnsi="宋体"/>
                <w:color w:val="auto"/>
                <w:szCs w:val="21"/>
              </w:rPr>
              <w:t>基本直接费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1.1.1</w:t>
            </w:r>
          </w:p>
        </w:tc>
        <w:tc>
          <w:tcPr>
            <w:tcW w:w="2340" w:type="dxa"/>
            <w:noWrap w:val="0"/>
            <w:vAlign w:val="center"/>
          </w:tcPr>
          <w:p>
            <w:pPr>
              <w:rPr>
                <w:rFonts w:hint="eastAsia" w:ascii="宋体" w:hAnsi="宋体"/>
                <w:color w:val="auto"/>
                <w:szCs w:val="21"/>
              </w:rPr>
            </w:pPr>
            <w:r>
              <w:rPr>
                <w:rFonts w:hint="eastAsia" w:ascii="宋体" w:hAnsi="宋体"/>
                <w:color w:val="auto"/>
                <w:szCs w:val="21"/>
              </w:rPr>
              <w:t>人工费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1.1.2</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1.1.3</w:t>
            </w:r>
          </w:p>
        </w:tc>
        <w:tc>
          <w:tcPr>
            <w:tcW w:w="2340" w:type="dxa"/>
            <w:noWrap w:val="0"/>
            <w:vAlign w:val="center"/>
          </w:tcPr>
          <w:p>
            <w:pPr>
              <w:rPr>
                <w:rFonts w:hint="eastAsia" w:ascii="宋体" w:hAnsi="宋体"/>
                <w:color w:val="auto"/>
                <w:szCs w:val="21"/>
              </w:rPr>
            </w:pPr>
            <w:r>
              <w:rPr>
                <w:rFonts w:hint="eastAsia" w:ascii="宋体" w:hAnsi="宋体"/>
                <w:color w:val="auto"/>
                <w:szCs w:val="21"/>
              </w:rPr>
              <w:t>机械使用费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1.2</w:t>
            </w:r>
          </w:p>
        </w:tc>
        <w:tc>
          <w:tcPr>
            <w:tcW w:w="2340" w:type="dxa"/>
            <w:noWrap w:val="0"/>
            <w:vAlign w:val="center"/>
          </w:tcPr>
          <w:p>
            <w:pPr>
              <w:rPr>
                <w:rFonts w:hint="eastAsia" w:ascii="宋体" w:hAnsi="宋体"/>
                <w:color w:val="auto"/>
                <w:szCs w:val="21"/>
              </w:rPr>
            </w:pPr>
            <w:r>
              <w:rPr>
                <w:rFonts w:hint="eastAsia" w:ascii="宋体" w:hAnsi="宋体"/>
                <w:color w:val="auto"/>
                <w:szCs w:val="21"/>
              </w:rPr>
              <w:t>其他直接费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2</w:t>
            </w:r>
          </w:p>
        </w:tc>
        <w:tc>
          <w:tcPr>
            <w:tcW w:w="2340" w:type="dxa"/>
            <w:noWrap w:val="0"/>
            <w:vAlign w:val="center"/>
          </w:tcPr>
          <w:p>
            <w:pPr>
              <w:rPr>
                <w:rFonts w:hint="eastAsia" w:ascii="宋体" w:hAnsi="宋体"/>
                <w:color w:val="auto"/>
                <w:szCs w:val="21"/>
              </w:rPr>
            </w:pPr>
            <w:r>
              <w:rPr>
                <w:rFonts w:hint="eastAsia" w:ascii="宋体" w:hAnsi="宋体"/>
                <w:color w:val="auto"/>
                <w:szCs w:val="21"/>
              </w:rPr>
              <w:t>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3</w:t>
            </w:r>
          </w:p>
        </w:tc>
        <w:tc>
          <w:tcPr>
            <w:tcW w:w="2340" w:type="dxa"/>
            <w:noWrap w:val="0"/>
            <w:vAlign w:val="center"/>
          </w:tcPr>
          <w:p>
            <w:pPr>
              <w:rPr>
                <w:rFonts w:hint="eastAsia" w:ascii="宋体" w:hAnsi="宋体"/>
                <w:color w:val="auto"/>
                <w:szCs w:val="21"/>
              </w:rPr>
            </w:pPr>
            <w:r>
              <w:rPr>
                <w:rFonts w:hint="eastAsia" w:ascii="宋体" w:hAnsi="宋体"/>
                <w:color w:val="auto"/>
                <w:szCs w:val="21"/>
              </w:rPr>
              <w:t>企业利润</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4</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材料补差</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5</w:t>
            </w:r>
          </w:p>
        </w:tc>
        <w:tc>
          <w:tcPr>
            <w:tcW w:w="2340" w:type="dxa"/>
            <w:noWrap w:val="0"/>
            <w:vAlign w:val="center"/>
          </w:tcPr>
          <w:p>
            <w:pPr>
              <w:rPr>
                <w:rFonts w:hint="eastAsia" w:ascii="宋体" w:hAnsi="宋体"/>
                <w:color w:val="auto"/>
                <w:szCs w:val="21"/>
              </w:rPr>
            </w:pPr>
            <w:r>
              <w:rPr>
                <w:rFonts w:hint="eastAsia" w:ascii="宋体" w:hAnsi="宋体"/>
                <w:color w:val="auto"/>
                <w:szCs w:val="21"/>
              </w:rPr>
              <w:t>未计价装置性材料费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6</w:t>
            </w:r>
          </w:p>
        </w:tc>
        <w:tc>
          <w:tcPr>
            <w:tcW w:w="2340" w:type="dxa"/>
            <w:noWrap w:val="0"/>
            <w:vAlign w:val="center"/>
          </w:tcPr>
          <w:p>
            <w:pPr>
              <w:rPr>
                <w:rFonts w:hint="eastAsia" w:ascii="宋体" w:hAnsi="宋体"/>
                <w:color w:val="auto"/>
                <w:szCs w:val="21"/>
              </w:rPr>
            </w:pPr>
            <w:r>
              <w:rPr>
                <w:rFonts w:hint="eastAsia" w:ascii="宋体" w:hAnsi="宋体"/>
                <w:color w:val="auto"/>
                <w:szCs w:val="21"/>
              </w:rPr>
              <w:t>税金</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r>
              <w:rPr>
                <w:rFonts w:hint="eastAsia" w:ascii="宋体" w:hAnsi="宋体"/>
                <w:color w:val="auto"/>
                <w:szCs w:val="21"/>
              </w:rPr>
              <w:t>合计</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bl>
    <w:p>
      <w:pPr>
        <w:rPr>
          <w:rFonts w:hint="eastAsia" w:ascii="宋体" w:hAnsi="宋体"/>
          <w:color w:val="auto"/>
          <w:sz w:val="28"/>
        </w:rPr>
        <w:sectPr>
          <w:footerReference r:id="rId12" w:type="default"/>
          <w:footerReference r:id="rId13" w:type="even"/>
          <w:pgSz w:w="11906" w:h="16838"/>
          <w:pgMar w:top="1418" w:right="1469" w:bottom="1418" w:left="1418" w:header="851" w:footer="992" w:gutter="0"/>
          <w:pgNumType w:fmt="decimal"/>
          <w:cols w:space="720" w:num="1"/>
          <w:docGrid w:linePitch="312" w:charSpace="0"/>
        </w:sectPr>
      </w:pPr>
    </w:p>
    <w:p>
      <w:pPr>
        <w:spacing w:before="156" w:beforeLines="50" w:after="156" w:afterLines="50" w:line="460" w:lineRule="exact"/>
        <w:jc w:val="center"/>
        <w:outlineLvl w:val="2"/>
        <w:rPr>
          <w:rFonts w:hint="eastAsia" w:ascii="宋体" w:hAnsi="宋体"/>
          <w:color w:val="auto"/>
          <w:sz w:val="28"/>
          <w:szCs w:val="28"/>
        </w:rPr>
      </w:pPr>
      <w:bookmarkStart w:id="2420" w:name="_Toc10190"/>
      <w:r>
        <w:rPr>
          <w:rFonts w:hint="eastAsia" w:ascii="宋体" w:hAnsi="宋体"/>
          <w:color w:val="auto"/>
          <w:sz w:val="28"/>
          <w:szCs w:val="28"/>
        </w:rPr>
        <w:t>3.17 人工费单价汇总表</w:t>
      </w:r>
      <w:bookmarkEnd w:id="2420"/>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rFonts w:hint="eastAsia"/>
          <w:color w:val="auto"/>
        </w:rPr>
      </w:pPr>
    </w:p>
    <w:tbl>
      <w:tblPr>
        <w:tblStyle w:val="38"/>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2189"/>
        <w:gridCol w:w="1716"/>
        <w:gridCol w:w="1765"/>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center"/>
          </w:tcPr>
          <w:p>
            <w:pPr>
              <w:spacing w:line="0" w:lineRule="atLeast"/>
              <w:ind w:left="108"/>
              <w:jc w:val="center"/>
              <w:rPr>
                <w:rFonts w:hint="eastAsia"/>
                <w:color w:val="auto"/>
              </w:rPr>
            </w:pPr>
            <w:r>
              <w:rPr>
                <w:rFonts w:hint="eastAsia"/>
                <w:color w:val="auto"/>
              </w:rPr>
              <w:t>序   号</w:t>
            </w:r>
          </w:p>
        </w:tc>
        <w:tc>
          <w:tcPr>
            <w:tcW w:w="2189" w:type="dxa"/>
            <w:noWrap w:val="0"/>
            <w:vAlign w:val="center"/>
          </w:tcPr>
          <w:p>
            <w:pPr>
              <w:spacing w:line="0" w:lineRule="atLeast"/>
              <w:ind w:left="108"/>
              <w:jc w:val="center"/>
              <w:rPr>
                <w:rFonts w:hint="eastAsia"/>
                <w:color w:val="auto"/>
              </w:rPr>
            </w:pPr>
            <w:r>
              <w:rPr>
                <w:rFonts w:hint="eastAsia"/>
                <w:color w:val="auto"/>
              </w:rPr>
              <w:t>工        种</w:t>
            </w:r>
          </w:p>
        </w:tc>
        <w:tc>
          <w:tcPr>
            <w:tcW w:w="1716" w:type="dxa"/>
            <w:noWrap w:val="0"/>
            <w:vAlign w:val="center"/>
          </w:tcPr>
          <w:p>
            <w:pPr>
              <w:spacing w:line="0" w:lineRule="atLeast"/>
              <w:ind w:left="108"/>
              <w:jc w:val="center"/>
              <w:rPr>
                <w:rFonts w:hint="eastAsia"/>
                <w:color w:val="auto"/>
              </w:rPr>
            </w:pPr>
            <w:r>
              <w:rPr>
                <w:rFonts w:hint="eastAsia"/>
                <w:color w:val="auto"/>
              </w:rPr>
              <w:t>单     位</w:t>
            </w:r>
          </w:p>
        </w:tc>
        <w:tc>
          <w:tcPr>
            <w:tcW w:w="1765" w:type="dxa"/>
            <w:noWrap w:val="0"/>
            <w:vAlign w:val="center"/>
          </w:tcPr>
          <w:p>
            <w:pPr>
              <w:spacing w:line="0" w:lineRule="atLeast"/>
              <w:ind w:left="108"/>
              <w:jc w:val="center"/>
              <w:rPr>
                <w:rFonts w:hint="eastAsia"/>
                <w:color w:val="auto"/>
              </w:rPr>
            </w:pPr>
            <w:r>
              <w:rPr>
                <w:rFonts w:hint="eastAsia"/>
                <w:color w:val="auto"/>
              </w:rPr>
              <w:t>单    价</w:t>
            </w:r>
          </w:p>
          <w:p>
            <w:pPr>
              <w:spacing w:line="0" w:lineRule="atLeast"/>
              <w:ind w:left="108"/>
              <w:jc w:val="center"/>
              <w:rPr>
                <w:rFonts w:hint="eastAsia"/>
                <w:color w:val="auto"/>
              </w:rPr>
            </w:pPr>
            <w:r>
              <w:rPr>
                <w:rFonts w:hint="eastAsia"/>
                <w:color w:val="auto"/>
              </w:rPr>
              <w:t>（元）</w:t>
            </w:r>
          </w:p>
        </w:tc>
        <w:tc>
          <w:tcPr>
            <w:tcW w:w="1418" w:type="dxa"/>
            <w:noWrap w:val="0"/>
            <w:vAlign w:val="center"/>
          </w:tcPr>
          <w:p>
            <w:pPr>
              <w:spacing w:line="0" w:lineRule="atLeast"/>
              <w:jc w:val="center"/>
              <w:rPr>
                <w:rFonts w:hint="eastAsia"/>
                <w:color w:val="auto"/>
              </w:rPr>
            </w:pPr>
            <w:r>
              <w:rPr>
                <w:rFonts w:hint="eastAsia"/>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bl>
    <w:p>
      <w:pPr>
        <w:rPr>
          <w:rFonts w:hint="eastAsia" w:ascii="黑体" w:hAnsi="黑体" w:eastAsia="黑体"/>
          <w:bCs/>
          <w:color w:val="auto"/>
          <w:sz w:val="32"/>
        </w:rPr>
      </w:pPr>
      <w:bookmarkStart w:id="2421" w:name="_Toc222029558"/>
      <w:bookmarkStart w:id="2422" w:name="_Toc222032727"/>
      <w:bookmarkStart w:id="2423" w:name="_Toc168476316"/>
      <w:bookmarkStart w:id="2424" w:name="_Toc221951909"/>
      <w:bookmarkStart w:id="2425" w:name="_Toc229305417"/>
      <w:bookmarkStart w:id="2426" w:name="_Toc222033909"/>
      <w:bookmarkStart w:id="2427" w:name="_Toc222031060"/>
      <w:bookmarkStart w:id="2428" w:name="_Toc168475913"/>
      <w:bookmarkStart w:id="2429" w:name="_Toc144974855"/>
    </w:p>
    <w:p>
      <w:pPr>
        <w:rPr>
          <w:rFonts w:hint="eastAsia" w:ascii="黑体" w:hAnsi="黑体" w:eastAsia="黑体"/>
          <w:bCs/>
          <w:color w:val="auto"/>
          <w:sz w:val="32"/>
        </w:rPr>
      </w:pPr>
    </w:p>
    <w:p>
      <w:pPr>
        <w:pStyle w:val="2"/>
        <w:spacing w:before="120" w:after="120" w:line="400" w:lineRule="exact"/>
        <w:rPr>
          <w:rFonts w:ascii="黑体" w:hAnsi="黑体" w:eastAsia="黑体"/>
          <w:b w:val="0"/>
          <w:bCs w:val="0"/>
          <w:color w:val="auto"/>
          <w:sz w:val="32"/>
        </w:rPr>
      </w:pPr>
      <w:bookmarkStart w:id="2430" w:name="_Toc13678"/>
      <w:bookmarkStart w:id="2431" w:name="_Toc491089786"/>
      <w:r>
        <w:rPr>
          <w:rFonts w:hint="eastAsia" w:ascii="黑体" w:hAnsi="黑体" w:eastAsia="黑体"/>
          <w:b w:val="0"/>
          <w:bCs w:val="0"/>
          <w:color w:val="auto"/>
          <w:sz w:val="32"/>
        </w:rPr>
        <w:t>第五章  工程量清单</w:t>
      </w:r>
      <w:bookmarkEnd w:id="2430"/>
      <w:bookmarkEnd w:id="2431"/>
    </w:p>
    <w:p>
      <w:pPr>
        <w:rPr>
          <w:rFonts w:hint="eastAsia"/>
          <w:color w:val="auto"/>
        </w:rPr>
      </w:pPr>
    </w:p>
    <w:p>
      <w:pPr>
        <w:pStyle w:val="80"/>
        <w:spacing w:before="120" w:after="156" w:afterLines="50"/>
        <w:rPr>
          <w:color w:val="auto"/>
        </w:rPr>
      </w:pPr>
      <w:bookmarkStart w:id="2432" w:name="第05章工程量清单投标01"/>
      <w:bookmarkEnd w:id="2432"/>
      <w:bookmarkStart w:id="2433" w:name="_Toc491089787"/>
      <w:bookmarkStart w:id="2434" w:name="_Toc3067"/>
      <w:r>
        <w:rPr>
          <w:rFonts w:hint="eastAsia"/>
          <w:color w:val="auto"/>
        </w:rPr>
        <w:t>1. 工程量清单说明</w:t>
      </w:r>
      <w:bookmarkEnd w:id="2433"/>
      <w:bookmarkEnd w:id="2434"/>
    </w:p>
    <w:p>
      <w:pPr>
        <w:spacing w:line="400" w:lineRule="exact"/>
        <w:ind w:firstLine="424" w:firstLineChars="202"/>
        <w:rPr>
          <w:color w:val="auto"/>
        </w:rPr>
      </w:pPr>
      <w:r>
        <w:rPr>
          <w:rFonts w:hint="eastAsia"/>
          <w:color w:val="auto"/>
        </w:rPr>
        <w:t>　1.1　工程量清单应与招标文件中的投标人须知、通用合同条款、专用合同条款、技术</w:t>
      </w:r>
      <w:bookmarkStart w:id="2435" w:name="_Hlt268365717"/>
      <w:bookmarkEnd w:id="2435"/>
      <w:r>
        <w:rPr>
          <w:rFonts w:hint="eastAsia"/>
          <w:color w:val="auto"/>
        </w:rPr>
        <w:t>标准和要求(合同技术条款)、图纸等一起阅读和理解。</w:t>
      </w:r>
    </w:p>
    <w:p>
      <w:pPr>
        <w:spacing w:line="400" w:lineRule="exact"/>
        <w:ind w:firstLine="424" w:firstLineChars="202"/>
        <w:rPr>
          <w:color w:val="auto"/>
        </w:rPr>
      </w:pPr>
      <w:r>
        <w:rPr>
          <w:rFonts w:hint="eastAsia"/>
          <w:color w:val="auto"/>
        </w:rPr>
        <w:t>　1.2　工程量清单仅是投标人投标报价的共同基础。除另有约定外，工程量清单中的工程量是根据招标设计图纸计算的用于投标报价的估算工程量，不作为最终结算工程量。最终结算工程量是承包人实际完成并符合技术标准和要求(合同技术条款)规定，按施工图纸计算的有效工程量。</w:t>
      </w:r>
    </w:p>
    <w:p>
      <w:pPr>
        <w:spacing w:line="400" w:lineRule="exact"/>
        <w:ind w:firstLine="424" w:firstLineChars="202"/>
        <w:rPr>
          <w:color w:val="auto"/>
        </w:rPr>
      </w:pPr>
      <w:r>
        <w:rPr>
          <w:rFonts w:hint="eastAsia"/>
          <w:color w:val="auto"/>
        </w:rPr>
        <w:t>　1.3　工程量清单中各项目的工作内容和要求应符合相关技术标准和要求(合同技术条款)的规定。</w:t>
      </w:r>
    </w:p>
    <w:p>
      <w:pPr>
        <w:spacing w:line="400" w:lineRule="exact"/>
        <w:ind w:firstLine="424" w:firstLineChars="202"/>
        <w:rPr>
          <w:color w:val="auto"/>
        </w:rPr>
      </w:pPr>
      <w:r>
        <w:rPr>
          <w:rFonts w:hint="eastAsia"/>
          <w:color w:val="auto"/>
        </w:rPr>
        <w:t>　1.4　工程价款的支付遵循合同条款的约定。</w:t>
      </w:r>
    </w:p>
    <w:p>
      <w:pPr>
        <w:pStyle w:val="80"/>
        <w:spacing w:before="120" w:after="156" w:afterLines="50"/>
        <w:rPr>
          <w:color w:val="auto"/>
        </w:rPr>
      </w:pPr>
      <w:bookmarkStart w:id="2436" w:name="第05章工程量清单投标02"/>
      <w:bookmarkEnd w:id="2436"/>
      <w:bookmarkStart w:id="2437" w:name="_Toc491089788"/>
      <w:bookmarkStart w:id="2438" w:name="_Toc9532"/>
      <w:r>
        <w:rPr>
          <w:rFonts w:hint="eastAsia"/>
          <w:color w:val="auto"/>
        </w:rPr>
        <w:t>2. 投标报价说明</w:t>
      </w:r>
      <w:bookmarkEnd w:id="2437"/>
      <w:bookmarkEnd w:id="2438"/>
    </w:p>
    <w:p>
      <w:pPr>
        <w:pStyle w:val="4"/>
        <w:rPr>
          <w:b w:val="0"/>
          <w:color w:val="auto"/>
        </w:rPr>
      </w:pPr>
      <w:r>
        <w:rPr>
          <w:rFonts w:hint="eastAsia"/>
          <w:b w:val="0"/>
          <w:color w:val="auto"/>
        </w:rPr>
        <w:t>　</w:t>
      </w:r>
      <w:bookmarkStart w:id="2439" w:name="_Toc28973"/>
      <w:bookmarkStart w:id="2440" w:name="_Toc491089789"/>
      <w:r>
        <w:rPr>
          <w:rFonts w:hint="eastAsia"/>
          <w:b w:val="0"/>
          <w:color w:val="auto"/>
        </w:rPr>
        <w:t>2.1 工程量清单报价表组成</w:t>
      </w:r>
      <w:bookmarkEnd w:id="2439"/>
      <w:bookmarkEnd w:id="2440"/>
    </w:p>
    <w:p>
      <w:pPr>
        <w:spacing w:line="400" w:lineRule="exact"/>
        <w:ind w:firstLine="210" w:firstLineChars="100"/>
        <w:rPr>
          <w:color w:val="auto"/>
        </w:rPr>
      </w:pPr>
      <w:r>
        <w:rPr>
          <w:rFonts w:hint="eastAsia"/>
          <w:color w:val="auto"/>
        </w:rPr>
        <w:t>　　工程量清单报价表由以下表格组成：</w:t>
      </w:r>
    </w:p>
    <w:p>
      <w:pPr>
        <w:numPr>
          <w:ilvl w:val="0"/>
          <w:numId w:val="10"/>
        </w:numPr>
        <w:spacing w:line="400" w:lineRule="exact"/>
        <w:ind w:firstLine="210" w:firstLineChars="100"/>
        <w:rPr>
          <w:color w:val="auto"/>
        </w:rPr>
      </w:pPr>
      <w:r>
        <w:rPr>
          <w:rFonts w:hint="eastAsia"/>
          <w:color w:val="auto"/>
        </w:rPr>
        <w:t>投标总价；</w:t>
      </w:r>
    </w:p>
    <w:p>
      <w:pPr>
        <w:numPr>
          <w:ilvl w:val="0"/>
          <w:numId w:val="10"/>
        </w:numPr>
        <w:spacing w:line="400" w:lineRule="exact"/>
        <w:ind w:firstLine="210" w:firstLineChars="100"/>
        <w:rPr>
          <w:color w:val="auto"/>
        </w:rPr>
      </w:pPr>
      <w:r>
        <w:rPr>
          <w:rFonts w:hint="eastAsia"/>
          <w:color w:val="auto"/>
        </w:rPr>
        <w:t>工程项目总价表；</w:t>
      </w:r>
    </w:p>
    <w:p>
      <w:pPr>
        <w:numPr>
          <w:ilvl w:val="0"/>
          <w:numId w:val="10"/>
        </w:numPr>
        <w:spacing w:line="400" w:lineRule="exact"/>
        <w:ind w:firstLine="210" w:firstLineChars="100"/>
        <w:rPr>
          <w:color w:val="auto"/>
        </w:rPr>
      </w:pPr>
      <w:r>
        <w:rPr>
          <w:rFonts w:hint="eastAsia"/>
          <w:color w:val="auto"/>
        </w:rPr>
        <w:t>分组工程量清单报价表；</w:t>
      </w:r>
    </w:p>
    <w:p>
      <w:pPr>
        <w:numPr>
          <w:ilvl w:val="0"/>
          <w:numId w:val="10"/>
        </w:numPr>
        <w:spacing w:line="400" w:lineRule="exact"/>
        <w:ind w:firstLine="210" w:firstLineChars="100"/>
        <w:rPr>
          <w:color w:val="auto"/>
        </w:rPr>
      </w:pPr>
      <w:r>
        <w:rPr>
          <w:rFonts w:hint="eastAsia"/>
          <w:color w:val="auto"/>
        </w:rPr>
        <w:t>计日工项目报价表；</w:t>
      </w:r>
    </w:p>
    <w:p>
      <w:pPr>
        <w:numPr>
          <w:ilvl w:val="0"/>
          <w:numId w:val="10"/>
        </w:numPr>
        <w:spacing w:line="400" w:lineRule="exact"/>
        <w:ind w:firstLine="210" w:firstLineChars="100"/>
        <w:rPr>
          <w:color w:val="auto"/>
        </w:rPr>
      </w:pPr>
      <w:r>
        <w:rPr>
          <w:rFonts w:hint="eastAsia"/>
          <w:color w:val="auto"/>
        </w:rPr>
        <w:t>工程单价汇总表；</w:t>
      </w:r>
    </w:p>
    <w:p>
      <w:pPr>
        <w:numPr>
          <w:ilvl w:val="0"/>
          <w:numId w:val="10"/>
        </w:numPr>
        <w:spacing w:line="400" w:lineRule="exact"/>
        <w:ind w:firstLine="210" w:firstLineChars="100"/>
        <w:rPr>
          <w:color w:val="auto"/>
        </w:rPr>
      </w:pPr>
      <w:r>
        <w:rPr>
          <w:rFonts w:hint="eastAsia"/>
          <w:color w:val="auto"/>
        </w:rPr>
        <w:t>工程单价费(税)率汇总表；</w:t>
      </w:r>
    </w:p>
    <w:p>
      <w:pPr>
        <w:numPr>
          <w:ilvl w:val="0"/>
          <w:numId w:val="10"/>
        </w:numPr>
        <w:spacing w:line="400" w:lineRule="exact"/>
        <w:ind w:firstLine="210" w:firstLineChars="100"/>
        <w:rPr>
          <w:color w:val="auto"/>
        </w:rPr>
      </w:pPr>
      <w:r>
        <w:rPr>
          <w:rFonts w:hint="eastAsia"/>
          <w:color w:val="auto"/>
        </w:rPr>
        <w:t>投标人生产电、风、水、砂石基础单价汇总表；</w:t>
      </w:r>
    </w:p>
    <w:p>
      <w:pPr>
        <w:numPr>
          <w:ilvl w:val="0"/>
          <w:numId w:val="10"/>
        </w:numPr>
        <w:spacing w:line="400" w:lineRule="exact"/>
        <w:ind w:firstLine="210" w:firstLineChars="100"/>
        <w:rPr>
          <w:color w:val="auto"/>
        </w:rPr>
      </w:pPr>
      <w:r>
        <w:rPr>
          <w:rFonts w:hint="eastAsia"/>
          <w:color w:val="auto"/>
        </w:rPr>
        <w:t>投标人生产混凝土配合比材料费表；</w:t>
      </w:r>
    </w:p>
    <w:p>
      <w:pPr>
        <w:numPr>
          <w:ilvl w:val="0"/>
          <w:numId w:val="10"/>
        </w:numPr>
        <w:spacing w:line="400" w:lineRule="exact"/>
        <w:ind w:firstLine="210" w:firstLineChars="100"/>
        <w:rPr>
          <w:color w:val="auto"/>
        </w:rPr>
      </w:pPr>
      <w:r>
        <w:rPr>
          <w:rFonts w:hint="eastAsia"/>
          <w:color w:val="auto"/>
        </w:rPr>
        <w:t>招标人供应材料价格汇总表(若招标人提供)；</w:t>
      </w:r>
    </w:p>
    <w:p>
      <w:pPr>
        <w:numPr>
          <w:ilvl w:val="0"/>
          <w:numId w:val="10"/>
        </w:numPr>
        <w:spacing w:line="400" w:lineRule="exact"/>
        <w:ind w:firstLine="210" w:firstLineChars="100"/>
        <w:rPr>
          <w:color w:val="auto"/>
        </w:rPr>
      </w:pPr>
      <w:r>
        <w:rPr>
          <w:rFonts w:hint="eastAsia"/>
          <w:color w:val="auto"/>
        </w:rPr>
        <w:t>投标人自行采购主要材料预算价格汇总表；</w:t>
      </w:r>
    </w:p>
    <w:p>
      <w:pPr>
        <w:numPr>
          <w:ilvl w:val="0"/>
          <w:numId w:val="10"/>
        </w:numPr>
        <w:spacing w:line="400" w:lineRule="exact"/>
        <w:ind w:firstLine="210" w:firstLineChars="100"/>
        <w:rPr>
          <w:color w:val="auto"/>
        </w:rPr>
      </w:pPr>
      <w:r>
        <w:rPr>
          <w:rFonts w:hint="eastAsia"/>
          <w:color w:val="auto"/>
        </w:rPr>
        <w:t>招标人提供施工机械台时(班)费汇总表(若招标人提供)；</w:t>
      </w:r>
    </w:p>
    <w:p>
      <w:pPr>
        <w:numPr>
          <w:ilvl w:val="0"/>
          <w:numId w:val="10"/>
        </w:numPr>
        <w:spacing w:line="400" w:lineRule="exact"/>
        <w:ind w:firstLine="210" w:firstLineChars="100"/>
        <w:rPr>
          <w:color w:val="auto"/>
        </w:rPr>
      </w:pPr>
      <w:r>
        <w:rPr>
          <w:rFonts w:hint="eastAsia"/>
          <w:color w:val="auto"/>
        </w:rPr>
        <w:t>投标人自备施工机械台时(班)费汇总表；</w:t>
      </w:r>
    </w:p>
    <w:p>
      <w:pPr>
        <w:numPr>
          <w:ilvl w:val="0"/>
          <w:numId w:val="10"/>
        </w:numPr>
        <w:spacing w:line="400" w:lineRule="exact"/>
        <w:ind w:firstLine="210" w:firstLineChars="100"/>
        <w:rPr>
          <w:color w:val="auto"/>
        </w:rPr>
      </w:pPr>
      <w:r>
        <w:rPr>
          <w:rFonts w:hint="eastAsia"/>
          <w:color w:val="auto"/>
        </w:rPr>
        <w:t>总价项目分解表；</w:t>
      </w:r>
    </w:p>
    <w:p>
      <w:pPr>
        <w:numPr>
          <w:ilvl w:val="0"/>
          <w:numId w:val="10"/>
        </w:numPr>
        <w:spacing w:line="400" w:lineRule="exact"/>
        <w:ind w:firstLine="210" w:firstLineChars="100"/>
        <w:rPr>
          <w:color w:val="auto"/>
        </w:rPr>
      </w:pPr>
      <w:r>
        <w:rPr>
          <w:rFonts w:hint="eastAsia"/>
          <w:color w:val="auto"/>
        </w:rPr>
        <w:t>工程单价计算表；</w:t>
      </w:r>
    </w:p>
    <w:p>
      <w:pPr>
        <w:numPr>
          <w:ilvl w:val="0"/>
          <w:numId w:val="10"/>
        </w:numPr>
        <w:spacing w:line="400" w:lineRule="exact"/>
        <w:ind w:firstLine="210" w:firstLineChars="100"/>
        <w:rPr>
          <w:color w:val="auto"/>
        </w:rPr>
      </w:pPr>
      <w:r>
        <w:rPr>
          <w:rFonts w:hint="eastAsia"/>
          <w:color w:val="auto"/>
        </w:rPr>
        <w:t>人工费单价汇总表。</w:t>
      </w:r>
    </w:p>
    <w:p>
      <w:pPr>
        <w:pStyle w:val="4"/>
        <w:rPr>
          <w:b w:val="0"/>
          <w:color w:val="auto"/>
        </w:rPr>
      </w:pPr>
      <w:r>
        <w:rPr>
          <w:rFonts w:hint="eastAsia"/>
          <w:b w:val="0"/>
          <w:color w:val="auto"/>
        </w:rPr>
        <w:t>　</w:t>
      </w:r>
      <w:bookmarkStart w:id="2441" w:name="_Toc491089790"/>
      <w:bookmarkStart w:id="2442" w:name="_Toc15084"/>
      <w:r>
        <w:rPr>
          <w:rFonts w:hint="eastAsia"/>
          <w:b w:val="0"/>
          <w:color w:val="auto"/>
        </w:rPr>
        <w:t>2.2 工程量清单报价表填写规定</w:t>
      </w:r>
      <w:bookmarkEnd w:id="2441"/>
      <w:bookmarkEnd w:id="2442"/>
    </w:p>
    <w:p>
      <w:pPr>
        <w:numPr>
          <w:ilvl w:val="0"/>
          <w:numId w:val="11"/>
        </w:numPr>
        <w:spacing w:line="400" w:lineRule="exact"/>
        <w:rPr>
          <w:color w:val="auto"/>
        </w:rPr>
      </w:pPr>
      <w:r>
        <w:rPr>
          <w:rFonts w:hint="eastAsia"/>
          <w:color w:val="auto"/>
        </w:rPr>
        <w:t>除招标文件另有规定外，投标人不得随意增加、删除或涂改招标文件工程量清单中的任何内容。工程量清单中列明的所有需要填写的单价和合价，投标人均应填写；未填写的单价和合价，视为已包括在工程量清单的其它单价和合价中。</w:t>
      </w:r>
    </w:p>
    <w:p>
      <w:pPr>
        <w:numPr>
          <w:ilvl w:val="0"/>
          <w:numId w:val="11"/>
        </w:numPr>
        <w:spacing w:line="400" w:lineRule="exact"/>
        <w:rPr>
          <w:color w:val="auto"/>
        </w:rPr>
      </w:pPr>
      <w:r>
        <w:rPr>
          <w:rFonts w:hint="eastAsia"/>
          <w:color w:val="auto"/>
        </w:rPr>
        <w:t>工程量清单中的工程单价是完成工程量清单中一个质量合格的规定计量单位项目所需的直接工程费、间接费、企业利润和税金，并考虑到风险因素。投标人应根据规定的工程单价组成内容确定工程单价。除另有规定外，对有效工程量以外的超挖、超填工程量，施工附加量，加工、运输损耗量等，所消耗的人工、材料和机械费用，均应摊入相应有效工程量的工程单价内。</w:t>
      </w:r>
    </w:p>
    <w:p>
      <w:pPr>
        <w:numPr>
          <w:ilvl w:val="0"/>
          <w:numId w:val="11"/>
        </w:numPr>
        <w:spacing w:line="400" w:lineRule="exact"/>
        <w:rPr>
          <w:color w:val="auto"/>
        </w:rPr>
      </w:pPr>
      <w:r>
        <w:rPr>
          <w:rFonts w:hint="eastAsia"/>
          <w:color w:val="auto"/>
        </w:rPr>
        <w:t>投标金额(价格)均应以人民币表示。</w:t>
      </w:r>
    </w:p>
    <w:p>
      <w:pPr>
        <w:numPr>
          <w:ilvl w:val="0"/>
          <w:numId w:val="11"/>
        </w:numPr>
        <w:spacing w:line="400" w:lineRule="exact"/>
        <w:rPr>
          <w:color w:val="auto"/>
        </w:rPr>
      </w:pPr>
      <w:r>
        <w:rPr>
          <w:rFonts w:hint="eastAsia"/>
          <w:color w:val="auto"/>
        </w:rPr>
        <w:t>投标总价应按工程项目总价表合计金额填写。</w:t>
      </w:r>
    </w:p>
    <w:p>
      <w:pPr>
        <w:numPr>
          <w:ilvl w:val="0"/>
          <w:numId w:val="11"/>
        </w:numPr>
        <w:spacing w:line="400" w:lineRule="exact"/>
        <w:rPr>
          <w:color w:val="auto"/>
        </w:rPr>
      </w:pPr>
      <w:r>
        <w:rPr>
          <w:rFonts w:hint="eastAsia"/>
          <w:color w:val="auto"/>
        </w:rPr>
        <w:t>工程项目总价表中组号和工程项目名称按招标文件工程量清单中的相应内容填写，并按分组工程量清单报价表中相应项目合计金额填写。暂列金额按招标文件工程项目总价表中的相应内容填写。</w:t>
      </w:r>
    </w:p>
    <w:p>
      <w:pPr>
        <w:numPr>
          <w:ilvl w:val="0"/>
          <w:numId w:val="11"/>
        </w:numPr>
        <w:spacing w:line="400" w:lineRule="exact"/>
        <w:rPr>
          <w:color w:val="auto"/>
        </w:rPr>
      </w:pPr>
      <w:r>
        <w:rPr>
          <w:rFonts w:hint="eastAsia"/>
          <w:color w:val="auto"/>
        </w:rPr>
        <w:t>分组工程量清单报价表中的序号、项目名称、计量单位、工程数量，按招标文件分组工程量清单报价表的相应内容填写，并填写相应项目的单价和合价。</w:t>
      </w:r>
    </w:p>
    <w:p>
      <w:pPr>
        <w:numPr>
          <w:ilvl w:val="0"/>
          <w:numId w:val="11"/>
        </w:numPr>
        <w:spacing w:line="400" w:lineRule="exact"/>
        <w:rPr>
          <w:color w:val="auto"/>
        </w:rPr>
      </w:pPr>
      <w:r>
        <w:rPr>
          <w:rFonts w:hint="eastAsia"/>
          <w:color w:val="auto"/>
        </w:rPr>
        <w:t>计日工项目报价表的序号、人工、材料、机械的名称、型号规格以及计量单位，按招标文件计日工项目清单报价表中的相应内容填写，并填写相应项目单价。</w:t>
      </w:r>
    </w:p>
    <w:p>
      <w:pPr>
        <w:numPr>
          <w:ilvl w:val="0"/>
          <w:numId w:val="11"/>
        </w:numPr>
        <w:spacing w:line="400" w:lineRule="exact"/>
        <w:rPr>
          <w:color w:val="auto"/>
        </w:rPr>
      </w:pPr>
      <w:r>
        <w:rPr>
          <w:rFonts w:hint="eastAsia"/>
          <w:color w:val="auto"/>
        </w:rPr>
        <w:t>辅助表格填写</w:t>
      </w:r>
    </w:p>
    <w:p>
      <w:pPr>
        <w:spacing w:line="400" w:lineRule="exact"/>
        <w:ind w:firstLine="735" w:firstLineChars="350"/>
        <w:rPr>
          <w:color w:val="auto"/>
        </w:rPr>
      </w:pPr>
      <w:r>
        <w:rPr>
          <w:rFonts w:hint="eastAsia"/>
          <w:color w:val="auto"/>
        </w:rPr>
        <w:t>1)工程单价汇总表，按工程单价计算表中的相应内容、价格(费率)填写；</w:t>
      </w:r>
    </w:p>
    <w:p>
      <w:pPr>
        <w:spacing w:line="400" w:lineRule="exact"/>
        <w:ind w:firstLine="735" w:firstLineChars="350"/>
        <w:rPr>
          <w:color w:val="auto"/>
        </w:rPr>
      </w:pPr>
      <w:r>
        <w:rPr>
          <w:rFonts w:hint="eastAsia"/>
          <w:color w:val="auto"/>
        </w:rPr>
        <w:t>2)工程单价费(税)率汇总表，按工程单价计算表中的相应内容、费(税)率填写；</w:t>
      </w:r>
    </w:p>
    <w:p>
      <w:pPr>
        <w:spacing w:line="400" w:lineRule="exact"/>
        <w:ind w:firstLine="735" w:firstLineChars="350"/>
        <w:rPr>
          <w:color w:val="auto"/>
        </w:rPr>
      </w:pPr>
      <w:r>
        <w:rPr>
          <w:rFonts w:hint="eastAsia"/>
          <w:color w:val="auto"/>
        </w:rPr>
        <w:t>3)投标人生产电、风、水、砂石基础单价汇总表，按基础单价分析计算成果的相应内容、价格填写，并附相应基础单价的分析计算书；</w:t>
      </w:r>
    </w:p>
    <w:p>
      <w:pPr>
        <w:spacing w:line="400" w:lineRule="exact"/>
        <w:ind w:firstLine="735" w:firstLineChars="350"/>
        <w:rPr>
          <w:color w:val="auto"/>
        </w:rPr>
      </w:pPr>
      <w:r>
        <w:rPr>
          <w:rFonts w:hint="eastAsia"/>
          <w:color w:val="auto"/>
        </w:rPr>
        <w:t>4)投标人生产混凝土配合比材料费表，按表中工程部位、混凝土强度等级(附抗渗、抗冻等级)、水泥强度等级、级配、水灰比、相应材料用量和单价填写，填写的单价必须与工程单价计算表中采用的相应混凝土材料单价一致；</w:t>
      </w:r>
    </w:p>
    <w:p>
      <w:pPr>
        <w:spacing w:line="400" w:lineRule="exact"/>
        <w:ind w:firstLine="735" w:firstLineChars="350"/>
        <w:rPr>
          <w:color w:val="auto"/>
        </w:rPr>
      </w:pPr>
      <w:r>
        <w:rPr>
          <w:rFonts w:hint="eastAsia"/>
          <w:color w:val="auto"/>
        </w:rPr>
        <w:t>5)招标人供应材料价格汇总表，按招标人供应的材料名称、型号规格、计量单位和供应价格填写，并填写经分析计算后的相应材料预算价格，填写的预算价格必须与工程单价计算表中采用的相应材料预算价格一致(若招标人提供)；</w:t>
      </w:r>
    </w:p>
    <w:p>
      <w:pPr>
        <w:spacing w:line="400" w:lineRule="exact"/>
        <w:ind w:firstLine="735" w:firstLineChars="350"/>
        <w:rPr>
          <w:color w:val="auto"/>
        </w:rPr>
      </w:pPr>
      <w:r>
        <w:rPr>
          <w:rFonts w:hint="eastAsia"/>
          <w:color w:val="auto"/>
        </w:rPr>
        <w:t>6)投标人自行采购主要材料预算价格汇总表，按表中的序号、材料名称、型号规格、计量单位和填写的预算价格，填写的预算价格必须与工程单价计算表中采用的相应材料预算价格一致；</w:t>
      </w:r>
    </w:p>
    <w:p>
      <w:pPr>
        <w:spacing w:line="400" w:lineRule="exact"/>
        <w:ind w:firstLine="735" w:firstLineChars="350"/>
        <w:rPr>
          <w:color w:val="auto"/>
        </w:rPr>
      </w:pPr>
      <w:r>
        <w:rPr>
          <w:rFonts w:hint="eastAsia"/>
          <w:color w:val="auto"/>
        </w:rPr>
        <w:t>7)招标人提供施工机械台时(班)费汇总表，按招标人提供的机械名称、型号规格和招标人收取的台时(班)折旧费填写；投标人填写的台时(班)费用合计金额必须与工程单价计算表中相应的施工机械台时(班)费单价一致(若招标人提供)；</w:t>
      </w:r>
    </w:p>
    <w:p>
      <w:pPr>
        <w:spacing w:line="400" w:lineRule="exact"/>
        <w:ind w:firstLine="735" w:firstLineChars="350"/>
        <w:rPr>
          <w:color w:val="auto"/>
        </w:rPr>
      </w:pPr>
      <w:r>
        <w:rPr>
          <w:rFonts w:hint="eastAsia"/>
          <w:color w:val="auto"/>
        </w:rPr>
        <w:t>8)投标人自备施工机械台时(班)费汇总表，按表中的序号、机械名称、型号规格、一类费用和二类费用填写，填写的台时(班)费合计金额必须与工程单价计算表中相应的施工机械台时(班)费单价一致；</w:t>
      </w:r>
    </w:p>
    <w:p>
      <w:pPr>
        <w:spacing w:line="400" w:lineRule="exact"/>
        <w:ind w:firstLine="735" w:firstLineChars="350"/>
        <w:rPr>
          <w:color w:val="auto"/>
        </w:rPr>
      </w:pPr>
      <w:r>
        <w:rPr>
          <w:rFonts w:hint="eastAsia"/>
          <w:color w:val="auto"/>
        </w:rPr>
        <w:t>9)投标人应对工程量清单中的总价项目编制总价项目分解表，每个总价项目一份，项目编号和名称应与工程量清单一致；</w:t>
      </w:r>
    </w:p>
    <w:p>
      <w:pPr>
        <w:spacing w:line="400" w:lineRule="exact"/>
        <w:ind w:firstLine="735" w:firstLineChars="350"/>
        <w:rPr>
          <w:rFonts w:hint="eastAsia"/>
          <w:color w:val="auto"/>
        </w:rPr>
      </w:pPr>
      <w:r>
        <w:rPr>
          <w:rFonts w:hint="eastAsia"/>
          <w:color w:val="auto"/>
        </w:rPr>
        <w:t>10)投标金额大于或等于投标总标价万分之五的工程项目，必须编报工程单价计算表。工程单价计算表，按表中的施工方法、序号、名称、型号规格、计量单位、数量、单价、合价填写，填写的人工、材料和机械等基础价格，必须与人工费单价汇总表、基础材料单价汇总表、主要材料预算价格汇总表及施工机械台时(班)费汇总表中的单价相一致，填写的其它直接费、现场经费、间接费、企业利润和税金等费(税)率必须与工程单价费(税)率汇总表中的费(税)率相一致；</w:t>
      </w:r>
    </w:p>
    <w:p>
      <w:pPr>
        <w:spacing w:line="400" w:lineRule="exact"/>
        <w:ind w:firstLine="735" w:firstLineChars="350"/>
        <w:rPr>
          <w:rFonts w:hint="eastAsia"/>
          <w:color w:val="auto"/>
        </w:rPr>
      </w:pPr>
      <w:r>
        <w:rPr>
          <w:rFonts w:hint="eastAsia"/>
          <w:color w:val="auto"/>
        </w:rPr>
        <w:t>11)人工费单价汇总表应按人工费单价计算表的内容、价格填写，并附相应的人工费单价计算表。</w:t>
      </w:r>
    </w:p>
    <w:p>
      <w:pPr>
        <w:numPr>
          <w:ilvl w:val="0"/>
          <w:numId w:val="11"/>
        </w:numPr>
        <w:spacing w:line="400" w:lineRule="exact"/>
        <w:rPr>
          <w:rFonts w:hint="eastAsia"/>
          <w:color w:val="auto"/>
        </w:rPr>
      </w:pPr>
      <w:r>
        <w:rPr>
          <w:rFonts w:hint="eastAsia"/>
          <w:color w:val="auto"/>
        </w:rPr>
        <w:t>投标限价说明：本次招标，投标总价超过最高投标限价，或分组报价超过其限价（如有）的，</w:t>
      </w:r>
      <w:r>
        <w:rPr>
          <w:color w:val="auto"/>
        </w:rPr>
        <w:t>其投标</w:t>
      </w:r>
      <w:r>
        <w:rPr>
          <w:rFonts w:hint="eastAsia"/>
          <w:color w:val="auto"/>
        </w:rPr>
        <w:t>将被否决</w:t>
      </w:r>
      <w:r>
        <w:rPr>
          <w:color w:val="auto"/>
        </w:rPr>
        <w:t>。</w:t>
      </w:r>
    </w:p>
    <w:p>
      <w:pPr>
        <w:numPr>
          <w:ilvl w:val="0"/>
          <w:numId w:val="11"/>
        </w:numPr>
        <w:spacing w:line="400" w:lineRule="exact"/>
        <w:rPr>
          <w:rFonts w:hint="eastAsia"/>
          <w:color w:val="auto"/>
        </w:rPr>
      </w:pPr>
      <w:r>
        <w:rPr>
          <w:rFonts w:hint="eastAsia"/>
          <w:color w:val="auto"/>
        </w:rPr>
        <w:t>其他说明：</w:t>
      </w:r>
      <w:r>
        <w:rPr>
          <w:rFonts w:hint="eastAsia"/>
          <w:color w:val="auto"/>
          <w:u w:val="single"/>
        </w:rPr>
        <w:t xml:space="preserve">                                    </w:t>
      </w:r>
      <w:r>
        <w:rPr>
          <w:rFonts w:hint="eastAsia"/>
          <w:color w:val="auto"/>
        </w:rPr>
        <w:t>。</w:t>
      </w:r>
    </w:p>
    <w:p>
      <w:pPr>
        <w:spacing w:line="460" w:lineRule="exact"/>
        <w:jc w:val="left"/>
        <w:outlineLvl w:val="1"/>
        <w:rPr>
          <w:rFonts w:hint="eastAsia" w:eastAsia="黑体" w:cs="宋体"/>
          <w:color w:val="auto"/>
          <w:sz w:val="28"/>
          <w:szCs w:val="20"/>
        </w:rPr>
      </w:pPr>
      <w:r>
        <w:rPr>
          <w:color w:val="auto"/>
        </w:rPr>
        <w:br w:type="page"/>
      </w:r>
      <w:bookmarkStart w:id="2443" w:name="_Toc20817"/>
      <w:r>
        <w:rPr>
          <w:rFonts w:hint="eastAsia" w:eastAsia="黑体" w:cs="宋体"/>
          <w:color w:val="auto"/>
          <w:sz w:val="28"/>
          <w:szCs w:val="20"/>
        </w:rPr>
        <w:t>3. 投标报价</w:t>
      </w:r>
      <w:bookmarkEnd w:id="2443"/>
    </w:p>
    <w:p>
      <w:pPr>
        <w:spacing w:line="460" w:lineRule="exact"/>
        <w:jc w:val="left"/>
        <w:outlineLvl w:val="2"/>
        <w:rPr>
          <w:rFonts w:hint="eastAsia" w:ascii="宋体" w:hAnsi="宋体"/>
          <w:color w:val="auto"/>
          <w:sz w:val="28"/>
          <w:szCs w:val="28"/>
        </w:rPr>
      </w:pPr>
      <w:bookmarkStart w:id="2444" w:name="_Toc18517"/>
      <w:r>
        <w:rPr>
          <w:rFonts w:hint="eastAsia" w:ascii="宋体" w:hAnsi="宋体"/>
          <w:color w:val="auto"/>
          <w:sz w:val="28"/>
          <w:szCs w:val="28"/>
        </w:rPr>
        <w:t>3.1 投标总价</w:t>
      </w:r>
      <w:bookmarkEnd w:id="2444"/>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spacing w:line="460" w:lineRule="exact"/>
        <w:ind w:firstLine="960" w:firstLineChars="300"/>
        <w:rPr>
          <w:rFonts w:hint="eastAsia" w:ascii="宋体" w:hAnsi="宋体"/>
          <w:color w:val="auto"/>
          <w:sz w:val="32"/>
          <w:szCs w:val="32"/>
        </w:rPr>
      </w:pPr>
      <w:r>
        <w:rPr>
          <w:rFonts w:ascii="宋体" w:hAnsi="宋体"/>
          <w:color w:val="auto"/>
          <w:sz w:val="32"/>
          <w:szCs w:val="32"/>
          <w:u w:val="single"/>
        </w:rPr>
        <w:t xml:space="preserve">          </w:t>
      </w:r>
      <w:r>
        <w:rPr>
          <w:rFonts w:ascii="宋体" w:hAnsi="宋体"/>
          <w:color w:val="auto"/>
          <w:sz w:val="32"/>
          <w:szCs w:val="32"/>
        </w:rPr>
        <w:t>（项目名称）</w:t>
      </w:r>
      <w:r>
        <w:rPr>
          <w:rFonts w:ascii="宋体" w:hAnsi="宋体"/>
          <w:color w:val="auto"/>
          <w:sz w:val="32"/>
          <w:szCs w:val="32"/>
          <w:u w:val="single"/>
        </w:rPr>
        <w:t xml:space="preserve">          </w:t>
      </w:r>
      <w:r>
        <w:rPr>
          <w:rFonts w:hint="eastAsia" w:ascii="宋体" w:hAnsi="宋体"/>
          <w:color w:val="auto"/>
          <w:sz w:val="32"/>
          <w:szCs w:val="32"/>
        </w:rPr>
        <w:t>（</w:t>
      </w:r>
      <w:r>
        <w:rPr>
          <w:rFonts w:ascii="宋体" w:hAnsi="宋体"/>
          <w:color w:val="auto"/>
          <w:sz w:val="32"/>
          <w:szCs w:val="32"/>
        </w:rPr>
        <w:t>标段</w:t>
      </w:r>
      <w:r>
        <w:rPr>
          <w:rFonts w:hint="eastAsia" w:ascii="宋体" w:hAnsi="宋体"/>
          <w:color w:val="auto"/>
          <w:sz w:val="32"/>
          <w:szCs w:val="32"/>
        </w:rPr>
        <w:t>名称）</w:t>
      </w:r>
    </w:p>
    <w:p>
      <w:pPr>
        <w:spacing w:line="380" w:lineRule="exact"/>
        <w:ind w:firstLine="640" w:firstLineChars="200"/>
        <w:rPr>
          <w:rFonts w:hint="eastAsia" w:ascii="宋体" w:hAnsi="宋体"/>
          <w:color w:val="auto"/>
          <w:sz w:val="32"/>
          <w:szCs w:val="32"/>
        </w:rPr>
      </w:pPr>
    </w:p>
    <w:p>
      <w:pPr>
        <w:spacing w:line="600" w:lineRule="exact"/>
        <w:rPr>
          <w:rFonts w:hint="eastAsia" w:ascii="宋体" w:hAnsi="宋体"/>
          <w:color w:val="auto"/>
          <w:sz w:val="28"/>
          <w:szCs w:val="28"/>
        </w:rPr>
      </w:pPr>
    </w:p>
    <w:p>
      <w:pPr>
        <w:spacing w:line="600" w:lineRule="exact"/>
        <w:ind w:firstLine="560" w:firstLineChars="200"/>
        <w:rPr>
          <w:rFonts w:hint="eastAsia" w:ascii="宋体" w:hAnsi="宋体"/>
          <w:color w:val="auto"/>
          <w:sz w:val="28"/>
          <w:szCs w:val="28"/>
        </w:rPr>
      </w:pPr>
    </w:p>
    <w:p>
      <w:pPr>
        <w:spacing w:line="600" w:lineRule="exact"/>
        <w:ind w:firstLine="560" w:firstLineChars="200"/>
        <w:jc w:val="center"/>
        <w:rPr>
          <w:rFonts w:hint="eastAsia" w:ascii="宋体" w:hAnsi="宋体"/>
          <w:color w:val="auto"/>
          <w:sz w:val="28"/>
          <w:szCs w:val="28"/>
        </w:rPr>
      </w:pPr>
      <w:r>
        <w:rPr>
          <w:rFonts w:hint="eastAsia" w:ascii="宋体" w:hAnsi="宋体"/>
          <w:color w:val="auto"/>
          <w:sz w:val="28"/>
          <w:szCs w:val="28"/>
        </w:rPr>
        <w:t>投标总价(大写) ：</w:t>
      </w:r>
      <w:r>
        <w:rPr>
          <w:rFonts w:hint="eastAsia" w:ascii="宋体" w:hAnsi="宋体"/>
          <w:color w:val="auto"/>
          <w:sz w:val="28"/>
          <w:szCs w:val="28"/>
          <w:u w:val="single"/>
        </w:rPr>
        <w:t xml:space="preserve">            </w:t>
      </w:r>
      <w:r>
        <w:rPr>
          <w:rFonts w:hint="eastAsia" w:ascii="宋体" w:hAnsi="宋体"/>
          <w:color w:val="auto"/>
          <w:sz w:val="28"/>
          <w:szCs w:val="28"/>
        </w:rPr>
        <w:t>元</w:t>
      </w:r>
    </w:p>
    <w:p>
      <w:pPr>
        <w:spacing w:line="600" w:lineRule="exact"/>
        <w:ind w:firstLine="560" w:firstLineChars="200"/>
        <w:jc w:val="center"/>
        <w:rPr>
          <w:rFonts w:hint="eastAsia" w:ascii="宋体" w:hAnsi="宋体"/>
          <w:color w:val="auto"/>
          <w:sz w:val="28"/>
          <w:szCs w:val="28"/>
        </w:rPr>
      </w:pPr>
      <w:r>
        <w:rPr>
          <w:rFonts w:hint="eastAsia" w:ascii="宋体" w:hAnsi="宋体"/>
          <w:color w:val="auto"/>
          <w:sz w:val="28"/>
          <w:szCs w:val="28"/>
        </w:rPr>
        <w:t xml:space="preserve">       (小写) ：￥</w:t>
      </w:r>
      <w:r>
        <w:rPr>
          <w:rFonts w:hint="eastAsia" w:ascii="宋体" w:hAnsi="宋体"/>
          <w:color w:val="auto"/>
          <w:sz w:val="28"/>
          <w:szCs w:val="28"/>
          <w:u w:val="single"/>
        </w:rPr>
        <w:t xml:space="preserve">            </w:t>
      </w:r>
      <w:r>
        <w:rPr>
          <w:rFonts w:hint="eastAsia" w:ascii="宋体" w:hAnsi="宋体"/>
          <w:color w:val="auto"/>
          <w:sz w:val="28"/>
          <w:szCs w:val="28"/>
        </w:rPr>
        <w:t>元</w:t>
      </w:r>
    </w:p>
    <w:p>
      <w:pPr>
        <w:spacing w:line="600" w:lineRule="exact"/>
        <w:ind w:firstLine="1260" w:firstLineChars="450"/>
        <w:rPr>
          <w:rFonts w:hint="eastAsia" w:ascii="宋体" w:hAnsi="宋体"/>
          <w:color w:val="auto"/>
          <w:sz w:val="28"/>
          <w:szCs w:val="28"/>
        </w:rPr>
      </w:pPr>
    </w:p>
    <w:p>
      <w:pPr>
        <w:spacing w:line="600" w:lineRule="exact"/>
        <w:jc w:val="center"/>
        <w:rPr>
          <w:rFonts w:hint="eastAsia" w:ascii="宋体" w:hAnsi="宋体"/>
          <w:color w:val="auto"/>
          <w:sz w:val="28"/>
          <w:szCs w:val="28"/>
        </w:rPr>
      </w:pPr>
    </w:p>
    <w:p>
      <w:pPr>
        <w:spacing w:line="600" w:lineRule="exact"/>
        <w:ind w:firstLine="1200" w:firstLineChars="500"/>
        <w:rPr>
          <w:rFonts w:hint="eastAsia" w:ascii="宋体" w:hAnsi="宋体"/>
          <w:color w:val="auto"/>
          <w:sz w:val="24"/>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line="600" w:lineRule="exact"/>
        <w:rPr>
          <w:rFonts w:hint="eastAsia" w:ascii="宋体" w:hAnsi="宋体"/>
          <w:color w:val="auto"/>
          <w:sz w:val="24"/>
        </w:rPr>
      </w:pPr>
    </w:p>
    <w:p>
      <w:pPr>
        <w:spacing w:line="540" w:lineRule="exact"/>
        <w:ind w:firstLine="840" w:firstLineChars="300"/>
        <w:rPr>
          <w:rFonts w:hint="eastAsia" w:ascii="宋体" w:hAnsi="宋体"/>
          <w:color w:val="auto"/>
          <w:sz w:val="28"/>
          <w:szCs w:val="28"/>
        </w:rPr>
      </w:pPr>
    </w:p>
    <w:p>
      <w:pPr>
        <w:rPr>
          <w:rFonts w:hint="eastAsia" w:ascii="宋体" w:hAnsi="宋体"/>
          <w:color w:val="auto"/>
          <w:szCs w:val="21"/>
        </w:rPr>
      </w:pPr>
    </w:p>
    <w:p>
      <w:pPr>
        <w:spacing w:after="156" w:afterLines="50"/>
        <w:jc w:val="center"/>
        <w:outlineLvl w:val="2"/>
        <w:rPr>
          <w:rFonts w:ascii="宋体" w:hAnsi="宋体"/>
          <w:color w:val="auto"/>
          <w:sz w:val="28"/>
          <w:szCs w:val="28"/>
        </w:rPr>
      </w:pPr>
      <w:r>
        <w:rPr>
          <w:rFonts w:ascii="宋体" w:hAnsi="宋体"/>
          <w:color w:val="auto"/>
          <w:sz w:val="28"/>
          <w:szCs w:val="28"/>
        </w:rPr>
        <w:br w:type="page"/>
      </w:r>
      <w:bookmarkStart w:id="2445" w:name="_Toc31876"/>
      <w:r>
        <w:rPr>
          <w:rFonts w:hint="eastAsia" w:ascii="宋体" w:hAnsi="宋体"/>
          <w:color w:val="auto"/>
          <w:sz w:val="28"/>
          <w:szCs w:val="28"/>
        </w:rPr>
        <w:t>3.2 工程项目总价表</w:t>
      </w:r>
      <w:bookmarkEnd w:id="2445"/>
    </w:p>
    <w:p>
      <w:pPr>
        <w:rPr>
          <w:rFonts w:hint="eastAsia"/>
          <w:color w:val="auto"/>
        </w:rPr>
      </w:pPr>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color w:val="auto"/>
        </w:rPr>
      </w:pPr>
    </w:p>
    <w:tbl>
      <w:tblPr>
        <w:tblStyle w:val="3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80"/>
        <w:gridCol w:w="2409"/>
        <w:gridCol w:w="2426"/>
        <w:gridCol w:w="22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r>
              <w:rPr>
                <w:rFonts w:hint="eastAsia"/>
                <w:color w:val="auto"/>
              </w:rPr>
              <w:t>组号</w:t>
            </w:r>
          </w:p>
        </w:tc>
        <w:tc>
          <w:tcPr>
            <w:tcW w:w="1289" w:type="pct"/>
            <w:noWrap w:val="0"/>
            <w:vAlign w:val="center"/>
          </w:tcPr>
          <w:p>
            <w:pPr>
              <w:jc w:val="center"/>
              <w:rPr>
                <w:rFonts w:hint="eastAsia"/>
                <w:color w:val="auto"/>
              </w:rPr>
            </w:pPr>
            <w:r>
              <w:rPr>
                <w:rFonts w:hint="eastAsia"/>
                <w:color w:val="auto"/>
              </w:rPr>
              <w:t>项目分组名称</w:t>
            </w:r>
          </w:p>
        </w:tc>
        <w:tc>
          <w:tcPr>
            <w:tcW w:w="1298" w:type="pct"/>
            <w:noWrap w:val="0"/>
            <w:vAlign w:val="center"/>
          </w:tcPr>
          <w:p>
            <w:pPr>
              <w:jc w:val="center"/>
              <w:rPr>
                <w:rFonts w:hint="eastAsia"/>
                <w:color w:val="auto"/>
              </w:rPr>
            </w:pPr>
            <w:r>
              <w:rPr>
                <w:rFonts w:hint="eastAsia"/>
                <w:color w:val="auto"/>
              </w:rPr>
              <w:t>金额(元)</w:t>
            </w:r>
          </w:p>
        </w:tc>
        <w:tc>
          <w:tcPr>
            <w:tcW w:w="1192" w:type="pct"/>
            <w:noWrap w:val="0"/>
            <w:vAlign w:val="center"/>
          </w:tcPr>
          <w:p>
            <w:pPr>
              <w:jc w:val="center"/>
              <w:rPr>
                <w:color w:val="auto"/>
              </w:rPr>
            </w:pPr>
            <w:r>
              <w:rPr>
                <w:rFonts w:hint="eastAsia"/>
                <w:color w:val="auto"/>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4" w:hRule="atLeast"/>
        </w:trPr>
        <w:tc>
          <w:tcPr>
            <w:tcW w:w="1220" w:type="pct"/>
            <w:noWrap w:val="0"/>
            <w:vAlign w:val="center"/>
          </w:tcPr>
          <w:p>
            <w:pPr>
              <w:jc w:val="center"/>
              <w:rPr>
                <w:rFonts w:hint="eastAsia"/>
                <w:color w:val="auto"/>
              </w:rPr>
            </w:pPr>
          </w:p>
        </w:tc>
        <w:tc>
          <w:tcPr>
            <w:tcW w:w="1289" w:type="pct"/>
            <w:noWrap w:val="0"/>
            <w:vAlign w:val="center"/>
          </w:tcPr>
          <w:p>
            <w:pPr>
              <w:jc w:val="center"/>
              <w:rPr>
                <w:rFonts w:hint="eastAsia"/>
                <w:color w:val="auto"/>
              </w:rPr>
            </w:pPr>
            <w:r>
              <w:rPr>
                <w:rFonts w:hint="eastAsia"/>
                <w:color w:val="auto"/>
              </w:rPr>
              <w:t>合计(A)</w:t>
            </w:r>
          </w:p>
        </w:tc>
        <w:tc>
          <w:tcPr>
            <w:tcW w:w="1298" w:type="pct"/>
            <w:noWrap w:val="0"/>
            <w:vAlign w:val="center"/>
          </w:tcPr>
          <w:p>
            <w:pPr>
              <w:jc w:val="center"/>
              <w:rPr>
                <w:rFonts w:hint="eastAsia"/>
                <w:color w:val="auto"/>
              </w:rPr>
            </w:pPr>
          </w:p>
        </w:tc>
        <w:tc>
          <w:tcPr>
            <w:tcW w:w="1192" w:type="pct"/>
            <w:noWrap w:val="0"/>
            <w:vAlign w:val="center"/>
          </w:tcPr>
          <w:p>
            <w:pPr>
              <w:jc w:val="center"/>
              <w:rPr>
                <w:rFonts w:hint="eastAsia"/>
                <w:color w:val="auto"/>
              </w:rPr>
            </w:pPr>
          </w:p>
        </w:tc>
      </w:tr>
    </w:tbl>
    <w:p>
      <w:pPr>
        <w:rPr>
          <w:rFonts w:hint="eastAsia"/>
          <w:color w:val="auto"/>
        </w:rPr>
      </w:pPr>
    </w:p>
    <w:p>
      <w:pPr>
        <w:rPr>
          <w:color w:val="auto"/>
        </w:rPr>
      </w:pPr>
      <w:r>
        <w:rPr>
          <w:rFonts w:hint="eastAsia"/>
          <w:color w:val="auto"/>
        </w:rPr>
        <w:t>　　暂列金额(B)　</w:t>
      </w:r>
      <w:r>
        <w:rPr>
          <w:rFonts w:hint="eastAsia"/>
          <w:color w:val="auto"/>
          <w:u w:val="single"/>
        </w:rPr>
        <w:t>(由招标人填入)</w:t>
      </w:r>
    </w:p>
    <w:p>
      <w:pPr>
        <w:ind w:firstLine="405"/>
        <w:rPr>
          <w:rFonts w:hint="eastAsia"/>
          <w:color w:val="auto"/>
          <w:u w:val="single"/>
        </w:rPr>
      </w:pPr>
      <w:r>
        <w:rPr>
          <w:rFonts w:hint="eastAsia"/>
          <w:color w:val="auto"/>
        </w:rPr>
        <w:t>投标总报价(A)＋(B)　</w:t>
      </w:r>
      <w:r>
        <w:rPr>
          <w:rFonts w:hint="eastAsia"/>
          <w:color w:val="auto"/>
          <w:u w:val="single"/>
        </w:rPr>
        <w:t xml:space="preserve">　(填入投标总价)  </w:t>
      </w:r>
    </w:p>
    <w:p>
      <w:pPr>
        <w:rPr>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spacing w:after="156" w:afterLines="50"/>
        <w:jc w:val="center"/>
        <w:outlineLvl w:val="2"/>
        <w:rPr>
          <w:rFonts w:ascii="宋体" w:hAnsi="宋体"/>
          <w:color w:val="auto"/>
          <w:sz w:val="28"/>
          <w:szCs w:val="28"/>
        </w:rPr>
      </w:pPr>
      <w:bookmarkStart w:id="2446" w:name="_Toc4406"/>
      <w:r>
        <w:rPr>
          <w:rFonts w:hint="eastAsia" w:ascii="宋体" w:hAnsi="宋体"/>
          <w:color w:val="auto"/>
          <w:sz w:val="28"/>
          <w:szCs w:val="28"/>
        </w:rPr>
        <w:t>3.3 分组工程量清单报价表</w:t>
      </w:r>
      <w:bookmarkEnd w:id="2446"/>
    </w:p>
    <w:p>
      <w:pPr>
        <w:rPr>
          <w:rFonts w:hint="eastAsia"/>
          <w:color w:val="auto"/>
        </w:rPr>
      </w:pPr>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rFonts w:hint="eastAsia"/>
          <w:color w:val="auto"/>
        </w:rPr>
      </w:pPr>
      <w:r>
        <w:rPr>
          <w:rFonts w:hint="eastAsia"/>
          <w:color w:val="auto"/>
        </w:rPr>
        <w:t>组号：</w:t>
      </w:r>
      <w:r>
        <w:rPr>
          <w:rFonts w:hint="eastAsia"/>
          <w:color w:val="auto"/>
          <w:u w:val="single"/>
        </w:rPr>
        <w:t xml:space="preserve">　　　　      </w:t>
      </w:r>
      <w:r>
        <w:rPr>
          <w:rFonts w:hint="eastAsia"/>
          <w:color w:val="auto"/>
        </w:rPr>
        <w:t xml:space="preserve"> 分组名称：</w:t>
      </w:r>
      <w:r>
        <w:rPr>
          <w:rFonts w:hint="eastAsia"/>
          <w:color w:val="auto"/>
          <w:u w:val="single"/>
        </w:rPr>
        <w:t>　　　      　</w:t>
      </w:r>
    </w:p>
    <w:p>
      <w:pPr>
        <w:rPr>
          <w:color w:val="auto"/>
        </w:rPr>
      </w:pPr>
    </w:p>
    <w:tbl>
      <w:tblPr>
        <w:tblStyle w:val="38"/>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1"/>
        <w:gridCol w:w="2126"/>
        <w:gridCol w:w="1276"/>
        <w:gridCol w:w="1417"/>
        <w:gridCol w:w="1134"/>
        <w:gridCol w:w="1096"/>
        <w:gridCol w:w="1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r>
              <w:rPr>
                <w:rFonts w:hint="eastAsia"/>
                <w:color w:val="auto"/>
              </w:rPr>
              <w:t>序号</w:t>
            </w:r>
          </w:p>
        </w:tc>
        <w:tc>
          <w:tcPr>
            <w:tcW w:w="2126" w:type="dxa"/>
            <w:noWrap w:val="0"/>
            <w:vAlign w:val="center"/>
          </w:tcPr>
          <w:p>
            <w:pPr>
              <w:jc w:val="center"/>
              <w:rPr>
                <w:rFonts w:hint="eastAsia"/>
                <w:color w:val="auto"/>
              </w:rPr>
            </w:pPr>
            <w:r>
              <w:rPr>
                <w:rFonts w:hint="eastAsia"/>
                <w:color w:val="auto"/>
              </w:rPr>
              <w:t>项目名称</w:t>
            </w:r>
          </w:p>
        </w:tc>
        <w:tc>
          <w:tcPr>
            <w:tcW w:w="1276" w:type="dxa"/>
            <w:noWrap w:val="0"/>
            <w:vAlign w:val="center"/>
          </w:tcPr>
          <w:p>
            <w:pPr>
              <w:jc w:val="center"/>
              <w:rPr>
                <w:rFonts w:hint="eastAsia"/>
                <w:color w:val="auto"/>
              </w:rPr>
            </w:pPr>
            <w:r>
              <w:rPr>
                <w:rFonts w:hint="eastAsia"/>
                <w:color w:val="auto"/>
              </w:rPr>
              <w:t>计量单位</w:t>
            </w:r>
          </w:p>
        </w:tc>
        <w:tc>
          <w:tcPr>
            <w:tcW w:w="1417" w:type="dxa"/>
            <w:noWrap w:val="0"/>
            <w:vAlign w:val="center"/>
          </w:tcPr>
          <w:p>
            <w:pPr>
              <w:jc w:val="center"/>
              <w:rPr>
                <w:rFonts w:hint="eastAsia"/>
                <w:color w:val="auto"/>
              </w:rPr>
            </w:pPr>
            <w:r>
              <w:rPr>
                <w:rFonts w:hint="eastAsia"/>
                <w:color w:val="auto"/>
              </w:rPr>
              <w:t>工程数量</w:t>
            </w:r>
          </w:p>
        </w:tc>
        <w:tc>
          <w:tcPr>
            <w:tcW w:w="1134" w:type="dxa"/>
            <w:noWrap w:val="0"/>
            <w:vAlign w:val="center"/>
          </w:tcPr>
          <w:p>
            <w:pPr>
              <w:jc w:val="center"/>
              <w:rPr>
                <w:rFonts w:hint="eastAsia"/>
                <w:color w:val="auto"/>
              </w:rPr>
            </w:pPr>
            <w:r>
              <w:rPr>
                <w:rFonts w:hint="eastAsia"/>
                <w:color w:val="auto"/>
              </w:rPr>
              <w:t>单价(元)</w:t>
            </w:r>
          </w:p>
        </w:tc>
        <w:tc>
          <w:tcPr>
            <w:tcW w:w="1096" w:type="dxa"/>
            <w:noWrap w:val="0"/>
            <w:vAlign w:val="center"/>
          </w:tcPr>
          <w:p>
            <w:pPr>
              <w:jc w:val="center"/>
              <w:rPr>
                <w:rFonts w:hint="eastAsia"/>
                <w:color w:val="auto"/>
              </w:rPr>
            </w:pPr>
            <w:r>
              <w:rPr>
                <w:rFonts w:hint="eastAsia"/>
                <w:color w:val="auto"/>
              </w:rPr>
              <w:t>合价(元)</w:t>
            </w:r>
          </w:p>
        </w:tc>
        <w:tc>
          <w:tcPr>
            <w:tcW w:w="1172" w:type="dxa"/>
            <w:noWrap w:val="0"/>
            <w:vAlign w:val="center"/>
          </w:tcPr>
          <w:p>
            <w:pPr>
              <w:jc w:val="center"/>
              <w:rPr>
                <w:color w:val="auto"/>
              </w:rPr>
            </w:pPr>
            <w:r>
              <w:rPr>
                <w:rFonts w:hint="eastAsia"/>
                <w:color w:val="auto"/>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851" w:type="dxa"/>
            <w:noWrap w:val="0"/>
            <w:vAlign w:val="center"/>
          </w:tcPr>
          <w:p>
            <w:pPr>
              <w:jc w:val="center"/>
              <w:rPr>
                <w:rFonts w:hint="eastAsia"/>
                <w:color w:val="auto"/>
              </w:rPr>
            </w:pPr>
          </w:p>
        </w:tc>
        <w:tc>
          <w:tcPr>
            <w:tcW w:w="2126" w:type="dxa"/>
            <w:noWrap w:val="0"/>
            <w:vAlign w:val="center"/>
          </w:tcPr>
          <w:p>
            <w:pPr>
              <w:jc w:val="center"/>
              <w:rPr>
                <w:rFonts w:hint="eastAsia"/>
                <w:color w:val="auto"/>
              </w:rPr>
            </w:pP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0" w:hRule="atLeast"/>
        </w:trPr>
        <w:tc>
          <w:tcPr>
            <w:tcW w:w="2977" w:type="dxa"/>
            <w:gridSpan w:val="2"/>
            <w:noWrap w:val="0"/>
            <w:vAlign w:val="center"/>
          </w:tcPr>
          <w:p>
            <w:pPr>
              <w:jc w:val="center"/>
              <w:rPr>
                <w:rFonts w:hint="eastAsia"/>
                <w:color w:val="auto"/>
              </w:rPr>
            </w:pPr>
            <w:r>
              <w:rPr>
                <w:rFonts w:hint="eastAsia"/>
                <w:color w:val="auto"/>
              </w:rPr>
              <w:t>合计(汇入工程项目总价表)</w:t>
            </w:r>
          </w:p>
        </w:tc>
        <w:tc>
          <w:tcPr>
            <w:tcW w:w="1276" w:type="dxa"/>
            <w:noWrap w:val="0"/>
            <w:vAlign w:val="center"/>
          </w:tcPr>
          <w:p>
            <w:pPr>
              <w:jc w:val="center"/>
              <w:rPr>
                <w:rFonts w:hint="eastAsia"/>
                <w:color w:val="auto"/>
              </w:rPr>
            </w:pPr>
          </w:p>
        </w:tc>
        <w:tc>
          <w:tcPr>
            <w:tcW w:w="1417" w:type="dxa"/>
            <w:noWrap w:val="0"/>
            <w:vAlign w:val="center"/>
          </w:tcPr>
          <w:p>
            <w:pPr>
              <w:jc w:val="center"/>
              <w:rPr>
                <w:rFonts w:hint="eastAsia"/>
                <w:color w:val="auto"/>
              </w:rPr>
            </w:pPr>
          </w:p>
        </w:tc>
        <w:tc>
          <w:tcPr>
            <w:tcW w:w="1134" w:type="dxa"/>
            <w:noWrap w:val="0"/>
            <w:vAlign w:val="center"/>
          </w:tcPr>
          <w:p>
            <w:pPr>
              <w:jc w:val="center"/>
              <w:rPr>
                <w:rFonts w:hint="eastAsia"/>
                <w:color w:val="auto"/>
              </w:rPr>
            </w:pPr>
          </w:p>
        </w:tc>
        <w:tc>
          <w:tcPr>
            <w:tcW w:w="1096" w:type="dxa"/>
            <w:noWrap w:val="0"/>
            <w:vAlign w:val="center"/>
          </w:tcPr>
          <w:p>
            <w:pPr>
              <w:jc w:val="center"/>
              <w:rPr>
                <w:rFonts w:hint="eastAsia"/>
                <w:color w:val="auto"/>
              </w:rPr>
            </w:pPr>
          </w:p>
        </w:tc>
        <w:tc>
          <w:tcPr>
            <w:tcW w:w="1172" w:type="dxa"/>
            <w:noWrap w:val="0"/>
            <w:vAlign w:val="center"/>
          </w:tcPr>
          <w:p>
            <w:pPr>
              <w:jc w:val="center"/>
              <w:rPr>
                <w:rFonts w:hint="eastAsia"/>
                <w:color w:val="auto"/>
              </w:rPr>
            </w:pPr>
          </w:p>
        </w:tc>
      </w:tr>
    </w:tbl>
    <w:p>
      <w:pPr>
        <w:spacing w:before="312" w:beforeLines="100"/>
        <w:rPr>
          <w:rFonts w:hint="eastAsia"/>
          <w:color w:val="auto"/>
        </w:rPr>
      </w:pPr>
      <w:r>
        <w:rPr>
          <w:rFonts w:hint="eastAsia"/>
          <w:color w:val="auto"/>
        </w:rPr>
        <w:t>　　注：工程量清单的项目分组按单位工程或专项工程模式进行分组。</w:t>
      </w:r>
    </w:p>
    <w:p>
      <w:pPr>
        <w:rPr>
          <w:color w:val="auto"/>
        </w:rPr>
      </w:pPr>
    </w:p>
    <w:p>
      <w:pPr>
        <w:rPr>
          <w:color w:val="auto"/>
        </w:rPr>
      </w:pPr>
      <w:r>
        <w:rPr>
          <w:rFonts w:hint="eastAsia"/>
          <w:color w:val="auto"/>
        </w:rPr>
        <w:t>　　模式一：按单位工程分组。分组工程量清单报价表中的序号分为四段数字，其分段含意为：</w:t>
      </w:r>
    </w:p>
    <w:p>
      <w:pPr>
        <w:jc w:val="center"/>
        <w:rPr>
          <w:color w:val="auto"/>
        </w:rPr>
      </w:pPr>
      <w:r>
        <w:rPr>
          <w:rFonts w:hint="eastAsia"/>
          <w:color w:val="auto"/>
        </w:rPr>
        <w:t>□第一段——□第二段——□第三段——□第四段</w:t>
      </w:r>
    </w:p>
    <w:p>
      <w:pPr>
        <w:rPr>
          <w:color w:val="auto"/>
        </w:rPr>
      </w:pPr>
      <w:r>
        <w:rPr>
          <w:rFonts w:hint="eastAsia"/>
          <w:color w:val="auto"/>
        </w:rPr>
        <w:t>　　第一段数字为分组号，代表单位工程序号；第二段数字为专业工程序号，与技术标准和要求(合同技术条款)的章号相一致；第三段数字为该专业工程下属的子项序号；第四段数字为第三段数字所指工程子项的下属孙项序号。</w:t>
      </w:r>
    </w:p>
    <w:p>
      <w:pPr>
        <w:rPr>
          <w:color w:val="auto"/>
        </w:rPr>
      </w:pPr>
      <w:r>
        <w:rPr>
          <w:rFonts w:hint="eastAsia"/>
          <w:color w:val="auto"/>
        </w:rPr>
        <w:t>　　模式二：按技术标准和要求(合同技术条款)各章的专项工程进行分组。分组工程量清单报价表中的序号分为四段数字，其分段含意为：</w:t>
      </w:r>
    </w:p>
    <w:p>
      <w:pPr>
        <w:jc w:val="center"/>
        <w:rPr>
          <w:color w:val="auto"/>
        </w:rPr>
      </w:pPr>
      <w:r>
        <w:rPr>
          <w:rFonts w:hint="eastAsia"/>
          <w:color w:val="auto"/>
        </w:rPr>
        <w:t>□第一段———□第二段———□第三段———□第四段</w:t>
      </w:r>
    </w:p>
    <w:p>
      <w:pPr>
        <w:ind w:firstLine="420"/>
        <w:rPr>
          <w:rFonts w:hint="eastAsia"/>
          <w:color w:val="auto"/>
        </w:rPr>
      </w:pPr>
      <w:r>
        <w:rPr>
          <w:rFonts w:hint="eastAsia"/>
          <w:color w:val="auto"/>
        </w:rPr>
        <w:t>第一段数字为分组号，代表专项工程序号，与技术标准和要求(合同技术条款)中各章的章号一致；  第二段数字为单位工程序号，同一单位工程在各分组工程量清单报价表中序号的第二段数字相同；第三段数字为该单位工程下属的子项序号；第四段数字为第三段数字所指工程子项的下属孙项序号。</w:t>
      </w:r>
    </w:p>
    <w:p>
      <w:pPr>
        <w:ind w:firstLine="420"/>
        <w:rPr>
          <w:color w:val="auto"/>
        </w:rPr>
      </w:pPr>
    </w:p>
    <w:p>
      <w:pPr>
        <w:spacing w:after="156" w:afterLines="50"/>
        <w:jc w:val="center"/>
        <w:outlineLvl w:val="2"/>
        <w:rPr>
          <w:rFonts w:hint="eastAsia" w:ascii="宋体" w:hAnsi="宋体"/>
          <w:color w:val="auto"/>
          <w:sz w:val="28"/>
          <w:szCs w:val="28"/>
        </w:rPr>
      </w:pPr>
      <w:r>
        <w:rPr>
          <w:rFonts w:ascii="宋体" w:hAnsi="宋体"/>
          <w:color w:val="auto"/>
          <w:sz w:val="28"/>
          <w:szCs w:val="28"/>
        </w:rPr>
        <w:br w:type="page"/>
      </w:r>
      <w:bookmarkStart w:id="2447" w:name="_Toc2189"/>
      <w:r>
        <w:rPr>
          <w:rFonts w:hint="eastAsia" w:ascii="宋体" w:hAnsi="宋体"/>
          <w:color w:val="auto"/>
          <w:sz w:val="28"/>
          <w:szCs w:val="28"/>
        </w:rPr>
        <w:t>3.4 计日工项目价报表</w:t>
      </w:r>
      <w:bookmarkEnd w:id="2447"/>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color w:val="auto"/>
        </w:rPr>
      </w:pPr>
      <w:r>
        <w:rPr>
          <w:rFonts w:hint="eastAsia"/>
          <w:color w:val="auto"/>
        </w:rPr>
        <w:t xml:space="preserve"> </w:t>
      </w:r>
    </w:p>
    <w:tbl>
      <w:tblPr>
        <w:tblStyle w:val="38"/>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9"/>
        <w:gridCol w:w="2297"/>
        <w:gridCol w:w="1557"/>
        <w:gridCol w:w="1557"/>
        <w:gridCol w:w="1557"/>
        <w:gridCol w:w="13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r>
              <w:rPr>
                <w:rFonts w:hint="eastAsia"/>
                <w:color w:val="auto"/>
              </w:rPr>
              <w:t>序号</w:t>
            </w:r>
          </w:p>
        </w:tc>
        <w:tc>
          <w:tcPr>
            <w:tcW w:w="2297" w:type="dxa"/>
            <w:noWrap w:val="0"/>
            <w:vAlign w:val="center"/>
          </w:tcPr>
          <w:p>
            <w:pPr>
              <w:jc w:val="center"/>
              <w:rPr>
                <w:rFonts w:hint="eastAsia"/>
                <w:color w:val="auto"/>
              </w:rPr>
            </w:pPr>
            <w:r>
              <w:rPr>
                <w:rFonts w:hint="eastAsia"/>
                <w:color w:val="auto"/>
              </w:rPr>
              <w:t>名称</w:t>
            </w:r>
          </w:p>
        </w:tc>
        <w:tc>
          <w:tcPr>
            <w:tcW w:w="1557" w:type="dxa"/>
            <w:noWrap w:val="0"/>
            <w:vAlign w:val="center"/>
          </w:tcPr>
          <w:p>
            <w:pPr>
              <w:jc w:val="center"/>
              <w:rPr>
                <w:rFonts w:hint="eastAsia"/>
                <w:color w:val="auto"/>
              </w:rPr>
            </w:pPr>
            <w:r>
              <w:rPr>
                <w:rFonts w:hint="eastAsia"/>
                <w:color w:val="auto"/>
              </w:rPr>
              <w:t>型号规格</w:t>
            </w:r>
          </w:p>
        </w:tc>
        <w:tc>
          <w:tcPr>
            <w:tcW w:w="1557" w:type="dxa"/>
            <w:noWrap w:val="0"/>
            <w:vAlign w:val="center"/>
          </w:tcPr>
          <w:p>
            <w:pPr>
              <w:jc w:val="center"/>
              <w:rPr>
                <w:rFonts w:hint="eastAsia"/>
                <w:color w:val="auto"/>
              </w:rPr>
            </w:pPr>
            <w:r>
              <w:rPr>
                <w:rFonts w:hint="eastAsia"/>
                <w:color w:val="auto"/>
              </w:rPr>
              <w:t>计量单位</w:t>
            </w:r>
          </w:p>
        </w:tc>
        <w:tc>
          <w:tcPr>
            <w:tcW w:w="1557" w:type="dxa"/>
            <w:noWrap w:val="0"/>
            <w:vAlign w:val="center"/>
          </w:tcPr>
          <w:p>
            <w:pPr>
              <w:jc w:val="center"/>
              <w:rPr>
                <w:rFonts w:hint="eastAsia"/>
                <w:color w:val="auto"/>
              </w:rPr>
            </w:pPr>
            <w:r>
              <w:rPr>
                <w:rFonts w:hint="eastAsia"/>
                <w:color w:val="auto"/>
              </w:rPr>
              <w:t>单价(元)</w:t>
            </w:r>
          </w:p>
        </w:tc>
        <w:tc>
          <w:tcPr>
            <w:tcW w:w="1395" w:type="dxa"/>
            <w:noWrap w:val="0"/>
            <w:vAlign w:val="center"/>
          </w:tcPr>
          <w:p>
            <w:pPr>
              <w:jc w:val="center"/>
              <w:rPr>
                <w:color w:val="auto"/>
              </w:rPr>
            </w:pPr>
            <w:r>
              <w:rPr>
                <w:rFonts w:hint="eastAsia"/>
                <w:color w:val="auto"/>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r>
              <w:rPr>
                <w:rFonts w:hint="eastAsia"/>
                <w:color w:val="auto"/>
              </w:rPr>
              <w:t>1</w:t>
            </w:r>
          </w:p>
        </w:tc>
        <w:tc>
          <w:tcPr>
            <w:tcW w:w="2297" w:type="dxa"/>
            <w:noWrap w:val="0"/>
            <w:vAlign w:val="center"/>
          </w:tcPr>
          <w:p>
            <w:pPr>
              <w:jc w:val="center"/>
              <w:rPr>
                <w:rFonts w:hint="eastAsia"/>
                <w:color w:val="auto"/>
              </w:rPr>
            </w:pPr>
            <w:r>
              <w:rPr>
                <w:rFonts w:hint="eastAsia"/>
                <w:color w:val="auto"/>
              </w:rPr>
              <w:t>人工</w:t>
            </w: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r>
              <w:rPr>
                <w:rFonts w:hint="eastAsia"/>
                <w:color w:val="auto"/>
              </w:rPr>
              <w:t>2</w:t>
            </w:r>
          </w:p>
        </w:tc>
        <w:tc>
          <w:tcPr>
            <w:tcW w:w="2297" w:type="dxa"/>
            <w:noWrap w:val="0"/>
            <w:vAlign w:val="center"/>
          </w:tcPr>
          <w:p>
            <w:pPr>
              <w:jc w:val="center"/>
              <w:rPr>
                <w:rFonts w:hint="eastAsia"/>
                <w:color w:val="auto"/>
              </w:rPr>
            </w:pPr>
            <w:r>
              <w:rPr>
                <w:rFonts w:hint="eastAsia"/>
                <w:color w:val="auto"/>
              </w:rPr>
              <w:t>材料</w:t>
            </w: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r>
              <w:rPr>
                <w:rFonts w:hint="eastAsia"/>
                <w:color w:val="auto"/>
              </w:rPr>
              <w:t>3</w:t>
            </w:r>
          </w:p>
        </w:tc>
        <w:tc>
          <w:tcPr>
            <w:tcW w:w="2297" w:type="dxa"/>
            <w:noWrap w:val="0"/>
            <w:vAlign w:val="center"/>
          </w:tcPr>
          <w:p>
            <w:pPr>
              <w:jc w:val="center"/>
              <w:rPr>
                <w:rFonts w:hint="eastAsia"/>
                <w:color w:val="auto"/>
              </w:rPr>
            </w:pPr>
            <w:r>
              <w:rPr>
                <w:rFonts w:hint="eastAsia"/>
                <w:color w:val="auto"/>
              </w:rPr>
              <w:t>机械</w:t>
            </w: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709" w:type="dxa"/>
            <w:noWrap w:val="0"/>
            <w:vAlign w:val="center"/>
          </w:tcPr>
          <w:p>
            <w:pPr>
              <w:jc w:val="center"/>
              <w:rPr>
                <w:rFonts w:hint="eastAsia"/>
                <w:color w:val="auto"/>
              </w:rPr>
            </w:pPr>
          </w:p>
        </w:tc>
        <w:tc>
          <w:tcPr>
            <w:tcW w:w="229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557" w:type="dxa"/>
            <w:noWrap w:val="0"/>
            <w:vAlign w:val="center"/>
          </w:tcPr>
          <w:p>
            <w:pPr>
              <w:jc w:val="center"/>
              <w:rPr>
                <w:rFonts w:hint="eastAsia"/>
                <w:color w:val="auto"/>
              </w:rPr>
            </w:pPr>
          </w:p>
        </w:tc>
        <w:tc>
          <w:tcPr>
            <w:tcW w:w="1395" w:type="dxa"/>
            <w:noWrap w:val="0"/>
            <w:vAlign w:val="center"/>
          </w:tcPr>
          <w:p>
            <w:pPr>
              <w:jc w:val="center"/>
              <w:rPr>
                <w:rFonts w:hint="eastAsia"/>
                <w:color w:val="auto"/>
              </w:rPr>
            </w:pPr>
          </w:p>
        </w:tc>
      </w:tr>
    </w:tbl>
    <w:p>
      <w:pPr>
        <w:rPr>
          <w:rFonts w:hint="eastAsia"/>
          <w:color w:val="auto"/>
        </w:rPr>
      </w:pPr>
    </w:p>
    <w:p>
      <w:pPr>
        <w:rPr>
          <w:rFonts w:hint="eastAsia"/>
          <w:color w:val="auto"/>
        </w:rPr>
      </w:pPr>
    </w:p>
    <w:p>
      <w:pPr>
        <w:rPr>
          <w:color w:val="auto"/>
        </w:rPr>
        <w:sectPr>
          <w:pgSz w:w="11906" w:h="16838"/>
          <w:pgMar w:top="1418" w:right="1361" w:bottom="1418" w:left="1418" w:header="851" w:footer="992" w:gutter="0"/>
          <w:pgNumType w:fmt="decimal"/>
          <w:cols w:space="720" w:num="1"/>
          <w:docGrid w:type="lines" w:linePitch="312" w:charSpace="0"/>
        </w:sectPr>
      </w:pPr>
    </w:p>
    <w:p>
      <w:pPr>
        <w:spacing w:after="156" w:afterLines="50"/>
        <w:jc w:val="center"/>
        <w:outlineLvl w:val="2"/>
        <w:rPr>
          <w:rFonts w:hint="eastAsia" w:ascii="宋体" w:hAnsi="宋体"/>
          <w:color w:val="auto"/>
          <w:sz w:val="28"/>
          <w:szCs w:val="28"/>
        </w:rPr>
      </w:pPr>
      <w:bookmarkStart w:id="2448" w:name="_Toc26285"/>
      <w:r>
        <w:rPr>
          <w:rFonts w:hint="eastAsia" w:ascii="宋体" w:hAnsi="宋体"/>
          <w:color w:val="auto"/>
          <w:sz w:val="28"/>
          <w:szCs w:val="28"/>
        </w:rPr>
        <w:t>3.5 工程单价汇总表</w:t>
      </w:r>
      <w:bookmarkEnd w:id="2448"/>
    </w:p>
    <w:p>
      <w:pPr>
        <w:rPr>
          <w:rFonts w:hint="eastAsia" w:ascii="宋体" w:hAnsi="宋体"/>
          <w:color w:val="auto"/>
          <w:sz w:val="30"/>
          <w:u w:val="single"/>
        </w:rPr>
      </w:pPr>
      <w:r>
        <w:rPr>
          <w:rFonts w:hint="eastAsia" w:ascii="宋体" w:hAnsi="宋体"/>
          <w:color w:val="auto"/>
          <w:szCs w:val="21"/>
        </w:rPr>
        <w:t xml:space="preserve">合同编号: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color w:val="auto"/>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160"/>
        <w:gridCol w:w="1080"/>
        <w:gridCol w:w="1069"/>
        <w:gridCol w:w="1070"/>
        <w:gridCol w:w="1070"/>
        <w:gridCol w:w="1070"/>
        <w:gridCol w:w="1070"/>
        <w:gridCol w:w="1070"/>
        <w:gridCol w:w="1070"/>
        <w:gridCol w:w="1070"/>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华文新魏" w:hAnsi="宋体" w:eastAsia="华文新魏"/>
                <w:color w:val="auto"/>
                <w:szCs w:val="21"/>
              </w:rPr>
            </w:pPr>
            <w:r>
              <w:rPr>
                <w:rFonts w:hint="eastAsia" w:ascii="宋体" w:hAnsi="宋体"/>
                <w:color w:val="auto"/>
                <w:kern w:val="0"/>
                <w:szCs w:val="21"/>
              </w:rPr>
              <w:t>序号</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项目名</w:t>
            </w:r>
            <w:r>
              <w:rPr>
                <w:color w:val="auto"/>
                <w:kern w:val="2"/>
                <w:sz w:val="21"/>
                <w:szCs w:val="21"/>
              </w:rPr>
              <w:t>称</w:t>
            </w:r>
          </w:p>
        </w:tc>
        <w:tc>
          <w:tcPr>
            <w:tcW w:w="1080"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计量单位</w:t>
            </w:r>
          </w:p>
        </w:tc>
        <w:tc>
          <w:tcPr>
            <w:tcW w:w="3209" w:type="dxa"/>
            <w:gridSpan w:val="3"/>
            <w:noWrap w:val="0"/>
            <w:vAlign w:val="center"/>
          </w:tcPr>
          <w:p>
            <w:pPr>
              <w:jc w:val="center"/>
              <w:rPr>
                <w:rFonts w:hint="eastAsia" w:ascii="宋体" w:hAnsi="宋体"/>
                <w:color w:val="auto"/>
                <w:szCs w:val="21"/>
              </w:rPr>
            </w:pPr>
            <w:r>
              <w:rPr>
                <w:rFonts w:hint="eastAsia" w:ascii="宋体" w:hAnsi="宋体"/>
                <w:color w:val="auto"/>
                <w:szCs w:val="21"/>
              </w:rPr>
              <w:t>基本直接费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间接费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企业利润</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材料补差</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未计价装置性材料费</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税金</w:t>
            </w:r>
          </w:p>
        </w:tc>
        <w:tc>
          <w:tcPr>
            <w:tcW w:w="1070" w:type="dxa"/>
            <w:vMerge w:val="restart"/>
            <w:noWrap w:val="0"/>
            <w:vAlign w:val="center"/>
          </w:tcPr>
          <w:p>
            <w:pPr>
              <w:jc w:val="center"/>
              <w:rPr>
                <w:rFonts w:hint="eastAsia" w:ascii="宋体" w:hAnsi="宋体"/>
                <w:color w:val="auto"/>
                <w:szCs w:val="21"/>
              </w:rPr>
            </w:pPr>
            <w:r>
              <w:rPr>
                <w:rFonts w:hint="eastAsia" w:ascii="宋体" w:hAnsi="宋体"/>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kern w:val="0"/>
                <w:szCs w:val="21"/>
              </w:rPr>
            </w:pPr>
          </w:p>
        </w:tc>
        <w:tc>
          <w:tcPr>
            <w:tcW w:w="2160" w:type="dxa"/>
            <w:noWrap w:val="0"/>
            <w:vAlign w:val="center"/>
          </w:tcPr>
          <w:p>
            <w:pPr>
              <w:pStyle w:val="101"/>
              <w:widowControl w:val="0"/>
              <w:spacing w:before="0" w:beforeAutospacing="0" w:after="0" w:afterAutospacing="0"/>
              <w:jc w:val="center"/>
              <w:rPr>
                <w:color w:val="auto"/>
                <w:sz w:val="21"/>
                <w:szCs w:val="21"/>
              </w:rPr>
            </w:pPr>
          </w:p>
        </w:tc>
        <w:tc>
          <w:tcPr>
            <w:tcW w:w="1080" w:type="dxa"/>
            <w:noWrap w:val="0"/>
            <w:vAlign w:val="center"/>
          </w:tcPr>
          <w:p>
            <w:pPr>
              <w:pStyle w:val="101"/>
              <w:widowControl w:val="0"/>
              <w:spacing w:before="0" w:beforeAutospacing="0" w:after="0" w:afterAutospacing="0"/>
              <w:jc w:val="center"/>
              <w:rPr>
                <w:color w:val="auto"/>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r>
              <w:rPr>
                <w:color w:val="auto"/>
                <w:sz w:val="21"/>
                <w:szCs w:val="21"/>
              </w:rPr>
              <w:t>人工费</w:t>
            </w:r>
          </w:p>
        </w:tc>
        <w:tc>
          <w:tcPr>
            <w:tcW w:w="1070" w:type="dxa"/>
            <w:noWrap w:val="0"/>
            <w:vAlign w:val="center"/>
          </w:tcPr>
          <w:p>
            <w:pPr>
              <w:jc w:val="center"/>
              <w:rPr>
                <w:rFonts w:hint="eastAsia" w:ascii="宋体" w:hAnsi="宋体"/>
                <w:color w:val="auto"/>
                <w:szCs w:val="21"/>
              </w:rPr>
            </w:pPr>
            <w:r>
              <w:rPr>
                <w:rFonts w:hint="eastAsia" w:ascii="宋体" w:hAnsi="宋体"/>
                <w:color w:val="auto"/>
                <w:szCs w:val="21"/>
              </w:rPr>
              <w:t>材料费</w:t>
            </w:r>
          </w:p>
        </w:tc>
        <w:tc>
          <w:tcPr>
            <w:tcW w:w="1070" w:type="dxa"/>
            <w:noWrap w:val="0"/>
            <w:vAlign w:val="center"/>
          </w:tcPr>
          <w:p>
            <w:pPr>
              <w:jc w:val="center"/>
              <w:rPr>
                <w:rFonts w:hint="eastAsia" w:ascii="宋体" w:hAnsi="宋体"/>
                <w:color w:val="auto"/>
                <w:szCs w:val="21"/>
              </w:rPr>
            </w:pPr>
            <w:r>
              <w:rPr>
                <w:rFonts w:hint="eastAsia" w:ascii="宋体" w:hAnsi="宋体"/>
                <w:color w:val="auto"/>
                <w:szCs w:val="21"/>
              </w:rPr>
              <w:t>机  械</w:t>
            </w:r>
          </w:p>
          <w:p>
            <w:pPr>
              <w:jc w:val="center"/>
              <w:rPr>
                <w:rFonts w:hint="eastAsia" w:ascii="宋体" w:hAnsi="宋体"/>
                <w:color w:val="auto"/>
                <w:szCs w:val="21"/>
              </w:rPr>
            </w:pPr>
            <w:r>
              <w:rPr>
                <w:rFonts w:hint="eastAsia" w:ascii="宋体" w:hAnsi="宋体"/>
                <w:color w:val="auto"/>
                <w:szCs w:val="21"/>
              </w:rPr>
              <w:t>使用费</w:t>
            </w:r>
          </w:p>
        </w:tc>
        <w:tc>
          <w:tcPr>
            <w:tcW w:w="1070" w:type="dxa"/>
            <w:vMerge w:val="continue"/>
            <w:noWrap w:val="0"/>
            <w:vAlign w:val="top"/>
          </w:tcPr>
          <w:p>
            <w:pPr>
              <w:jc w:val="center"/>
              <w:rPr>
                <w:rFonts w:hint="eastAsia" w:ascii="宋体" w:hAnsi="宋体"/>
                <w:color w:val="auto"/>
                <w:szCs w:val="21"/>
              </w:rPr>
            </w:pPr>
          </w:p>
        </w:tc>
        <w:tc>
          <w:tcPr>
            <w:tcW w:w="1070" w:type="dxa"/>
            <w:vMerge w:val="continue"/>
            <w:noWrap w:val="0"/>
            <w:vAlign w:val="top"/>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c>
          <w:tcPr>
            <w:tcW w:w="1070" w:type="dxa"/>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r>
              <w:rPr>
                <w:rFonts w:hint="eastAsia" w:ascii="宋体" w:hAnsi="宋体"/>
                <w:color w:val="auto"/>
                <w:szCs w:val="21"/>
              </w:rPr>
              <w:t>一</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kern w:val="2"/>
                <w:sz w:val="21"/>
                <w:szCs w:val="21"/>
              </w:rPr>
              <w:t>建筑工程</w:t>
            </w: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center"/>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r>
              <w:rPr>
                <w:rFonts w:hint="eastAsia" w:ascii="宋体" w:hAnsi="宋体"/>
                <w:color w:val="auto"/>
                <w:szCs w:val="21"/>
              </w:rPr>
              <w:t>二</w:t>
            </w:r>
          </w:p>
        </w:tc>
        <w:tc>
          <w:tcPr>
            <w:tcW w:w="2160" w:type="dxa"/>
            <w:noWrap w:val="0"/>
            <w:vAlign w:val="center"/>
          </w:tcPr>
          <w:p>
            <w:pPr>
              <w:pStyle w:val="101"/>
              <w:widowControl w:val="0"/>
              <w:spacing w:before="0" w:beforeAutospacing="0" w:after="0" w:afterAutospacing="0"/>
              <w:jc w:val="center"/>
              <w:rPr>
                <w:color w:val="auto"/>
                <w:kern w:val="2"/>
                <w:sz w:val="21"/>
                <w:szCs w:val="21"/>
              </w:rPr>
            </w:pPr>
            <w:r>
              <w:rPr>
                <w:color w:val="auto"/>
                <w:kern w:val="2"/>
                <w:sz w:val="21"/>
                <w:szCs w:val="21"/>
              </w:rPr>
              <w:t>安装工程</w:t>
            </w: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100" w:type="dxa"/>
            <w:noWrap w:val="0"/>
            <w:vAlign w:val="center"/>
          </w:tcPr>
          <w:p>
            <w:pPr>
              <w:jc w:val="center"/>
              <w:rPr>
                <w:rFonts w:hint="eastAsia" w:ascii="宋体" w:hAnsi="宋体"/>
                <w:color w:val="auto"/>
                <w:szCs w:val="21"/>
              </w:rPr>
            </w:pPr>
          </w:p>
        </w:tc>
        <w:tc>
          <w:tcPr>
            <w:tcW w:w="2160" w:type="dxa"/>
            <w:noWrap w:val="0"/>
            <w:vAlign w:val="center"/>
          </w:tcPr>
          <w:p>
            <w:pPr>
              <w:pStyle w:val="101"/>
              <w:widowControl w:val="0"/>
              <w:spacing w:before="0" w:beforeAutospacing="0" w:after="0" w:afterAutospacing="0"/>
              <w:jc w:val="both"/>
              <w:rPr>
                <w:color w:val="auto"/>
                <w:kern w:val="2"/>
                <w:sz w:val="21"/>
                <w:szCs w:val="21"/>
              </w:rPr>
            </w:pPr>
          </w:p>
        </w:tc>
        <w:tc>
          <w:tcPr>
            <w:tcW w:w="1080" w:type="dxa"/>
            <w:noWrap w:val="0"/>
            <w:vAlign w:val="center"/>
          </w:tcPr>
          <w:p>
            <w:pPr>
              <w:pStyle w:val="101"/>
              <w:widowControl w:val="0"/>
              <w:spacing w:before="0" w:beforeAutospacing="0" w:after="0" w:afterAutospacing="0"/>
              <w:jc w:val="center"/>
              <w:rPr>
                <w:color w:val="auto"/>
                <w:kern w:val="2"/>
                <w:sz w:val="21"/>
                <w:szCs w:val="21"/>
              </w:rPr>
            </w:pPr>
          </w:p>
        </w:tc>
        <w:tc>
          <w:tcPr>
            <w:tcW w:w="1069" w:type="dxa"/>
            <w:noWrap w:val="0"/>
            <w:vAlign w:val="center"/>
          </w:tcPr>
          <w:p>
            <w:pPr>
              <w:pStyle w:val="101"/>
              <w:widowControl w:val="0"/>
              <w:spacing w:before="0" w:beforeAutospacing="0" w:after="0" w:afterAutospacing="0"/>
              <w:jc w:val="center"/>
              <w:rPr>
                <w:color w:val="auto"/>
                <w:kern w:val="2"/>
                <w:sz w:val="21"/>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top"/>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Cs w:val="21"/>
              </w:rPr>
            </w:pPr>
          </w:p>
        </w:tc>
        <w:tc>
          <w:tcPr>
            <w:tcW w:w="1070" w:type="dxa"/>
            <w:noWrap w:val="0"/>
            <w:vAlign w:val="center"/>
          </w:tcPr>
          <w:p>
            <w:pPr>
              <w:jc w:val="center"/>
              <w:rPr>
                <w:rFonts w:hint="eastAsia" w:ascii="宋体" w:hAnsi="宋体"/>
                <w:color w:val="auto"/>
                <w:sz w:val="28"/>
              </w:rPr>
            </w:pPr>
          </w:p>
        </w:tc>
        <w:tc>
          <w:tcPr>
            <w:tcW w:w="1070" w:type="dxa"/>
            <w:noWrap w:val="0"/>
            <w:vAlign w:val="center"/>
          </w:tcPr>
          <w:p>
            <w:pPr>
              <w:jc w:val="center"/>
              <w:rPr>
                <w:rFonts w:hint="eastAsia" w:ascii="宋体" w:hAnsi="宋体"/>
                <w:color w:val="auto"/>
                <w:sz w:val="28"/>
              </w:rPr>
            </w:pPr>
          </w:p>
        </w:tc>
      </w:tr>
    </w:tbl>
    <w:p>
      <w:pPr>
        <w:rPr>
          <w:color w:val="auto"/>
        </w:rPr>
      </w:pPr>
    </w:p>
    <w:p>
      <w:pPr>
        <w:spacing w:after="156" w:afterLines="50"/>
        <w:jc w:val="center"/>
        <w:outlineLvl w:val="2"/>
        <w:rPr>
          <w:rFonts w:hint="eastAsia"/>
          <w:color w:val="auto"/>
        </w:rPr>
      </w:pPr>
      <w:r>
        <w:rPr>
          <w:color w:val="auto"/>
        </w:rPr>
        <w:br w:type="page"/>
      </w:r>
      <w:bookmarkStart w:id="2449" w:name="_Toc4751"/>
      <w:r>
        <w:rPr>
          <w:rFonts w:hint="eastAsia" w:ascii="宋体" w:hAnsi="宋体"/>
          <w:color w:val="auto"/>
          <w:sz w:val="28"/>
          <w:szCs w:val="28"/>
        </w:rPr>
        <w:t>3.6 工程单价费(税)率汇总表</w:t>
      </w:r>
      <w:bookmarkEnd w:id="2449"/>
    </w:p>
    <w:p>
      <w:pPr>
        <w:rPr>
          <w:rFonts w:hint="eastAsia" w:ascii="宋体" w:hAnsi="宋体"/>
          <w:color w:val="auto"/>
          <w:szCs w:val="21"/>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spacing w:line="300" w:lineRule="exact"/>
        <w:ind w:firstLine="7980" w:firstLineChars="2850"/>
        <w:rPr>
          <w:rFonts w:hint="eastAsia" w:ascii="宋体" w:hAnsi="宋体"/>
          <w:color w:val="auto"/>
          <w:sz w:val="28"/>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4269"/>
        <w:gridCol w:w="1345"/>
        <w:gridCol w:w="1346"/>
        <w:gridCol w:w="1346"/>
        <w:gridCol w:w="1346"/>
        <w:gridCol w:w="1346"/>
        <w:gridCol w:w="2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vMerge w:val="restart"/>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4269" w:type="dxa"/>
            <w:vMerge w:val="restart"/>
            <w:noWrap w:val="0"/>
            <w:vAlign w:val="center"/>
          </w:tcPr>
          <w:p>
            <w:pPr>
              <w:jc w:val="center"/>
              <w:rPr>
                <w:rFonts w:hint="eastAsia" w:ascii="宋体" w:hAnsi="宋体"/>
                <w:color w:val="auto"/>
                <w:szCs w:val="21"/>
              </w:rPr>
            </w:pPr>
            <w:r>
              <w:rPr>
                <w:rFonts w:hint="eastAsia" w:ascii="宋体" w:hAnsi="宋体"/>
                <w:color w:val="auto"/>
                <w:szCs w:val="21"/>
              </w:rPr>
              <w:t>工程类别</w:t>
            </w:r>
          </w:p>
        </w:tc>
        <w:tc>
          <w:tcPr>
            <w:tcW w:w="6729" w:type="dxa"/>
            <w:gridSpan w:val="5"/>
            <w:noWrap w:val="0"/>
            <w:vAlign w:val="center"/>
          </w:tcPr>
          <w:p>
            <w:pPr>
              <w:adjustRightInd w:val="0"/>
              <w:snapToGrid w:val="0"/>
              <w:jc w:val="center"/>
              <w:rPr>
                <w:rFonts w:hint="eastAsia" w:ascii="宋体" w:hAnsi="宋体"/>
                <w:color w:val="auto"/>
                <w:szCs w:val="21"/>
              </w:rPr>
            </w:pPr>
            <w:r>
              <w:rPr>
                <w:rFonts w:hint="eastAsia" w:ascii="宋体" w:hAnsi="宋体"/>
                <w:color w:val="auto"/>
                <w:szCs w:val="21"/>
              </w:rPr>
              <w:t>工程单价费(税)率(%)</w:t>
            </w:r>
          </w:p>
        </w:tc>
        <w:tc>
          <w:tcPr>
            <w:tcW w:w="2343" w:type="dxa"/>
            <w:noWrap w:val="0"/>
            <w:vAlign w:val="center"/>
          </w:tcPr>
          <w:p>
            <w:pPr>
              <w:jc w:val="center"/>
              <w:rPr>
                <w:rFonts w:hint="eastAsia"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vMerge w:val="continue"/>
            <w:noWrap w:val="0"/>
            <w:vAlign w:val="center"/>
          </w:tcPr>
          <w:p>
            <w:pPr>
              <w:jc w:val="center"/>
              <w:rPr>
                <w:rFonts w:hint="eastAsia" w:ascii="宋体" w:hAnsi="宋体"/>
                <w:color w:val="auto"/>
                <w:szCs w:val="21"/>
              </w:rPr>
            </w:pPr>
          </w:p>
        </w:tc>
        <w:tc>
          <w:tcPr>
            <w:tcW w:w="4269" w:type="dxa"/>
            <w:vMerge w:val="continue"/>
            <w:noWrap w:val="0"/>
            <w:vAlign w:val="center"/>
          </w:tcPr>
          <w:p>
            <w:pPr>
              <w:jc w:val="cente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r>
              <w:rPr>
                <w:rFonts w:hint="eastAsia" w:ascii="宋体" w:hAnsi="宋体"/>
                <w:color w:val="auto"/>
                <w:szCs w:val="21"/>
              </w:rPr>
              <w:t>其他直接费</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间接费</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企业利润</w:t>
            </w:r>
          </w:p>
        </w:tc>
        <w:tc>
          <w:tcPr>
            <w:tcW w:w="1346" w:type="dxa"/>
            <w:noWrap w:val="0"/>
            <w:vAlign w:val="center"/>
          </w:tcPr>
          <w:p>
            <w:pPr>
              <w:jc w:val="center"/>
              <w:rPr>
                <w:rFonts w:hint="eastAsia" w:ascii="宋体" w:hAnsi="宋体"/>
                <w:color w:val="auto"/>
                <w:szCs w:val="21"/>
              </w:rPr>
            </w:pPr>
            <w:r>
              <w:rPr>
                <w:rFonts w:hint="eastAsia" w:ascii="宋体" w:hAnsi="宋体"/>
                <w:color w:val="auto"/>
                <w:szCs w:val="21"/>
              </w:rPr>
              <w:t>税金</w:t>
            </w: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r>
              <w:rPr>
                <w:rFonts w:hint="eastAsia" w:ascii="宋体" w:hAnsi="宋体"/>
                <w:color w:val="auto"/>
                <w:szCs w:val="21"/>
              </w:rPr>
              <w:t>一</w:t>
            </w:r>
          </w:p>
        </w:tc>
        <w:tc>
          <w:tcPr>
            <w:tcW w:w="4269" w:type="dxa"/>
            <w:noWrap w:val="0"/>
            <w:vAlign w:val="center"/>
          </w:tcPr>
          <w:p>
            <w:pPr>
              <w:rPr>
                <w:rFonts w:hint="eastAsia" w:ascii="宋体" w:hAnsi="宋体"/>
                <w:color w:val="auto"/>
                <w:szCs w:val="21"/>
              </w:rPr>
            </w:pPr>
            <w:r>
              <w:rPr>
                <w:rFonts w:hint="eastAsia" w:ascii="宋体" w:hAnsi="宋体"/>
                <w:color w:val="auto"/>
                <w:szCs w:val="21"/>
              </w:rPr>
              <w:t>建筑工程</w:t>
            </w: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r>
              <w:rPr>
                <w:rFonts w:hint="eastAsia" w:ascii="宋体" w:hAnsi="宋体"/>
                <w:color w:val="auto"/>
                <w:szCs w:val="21"/>
              </w:rPr>
              <w:t>二</w:t>
            </w:r>
          </w:p>
        </w:tc>
        <w:tc>
          <w:tcPr>
            <w:tcW w:w="4269" w:type="dxa"/>
            <w:noWrap w:val="0"/>
            <w:vAlign w:val="center"/>
          </w:tcPr>
          <w:p>
            <w:pPr>
              <w:rPr>
                <w:rFonts w:hint="eastAsia" w:ascii="宋体" w:hAnsi="宋体"/>
                <w:color w:val="auto"/>
                <w:szCs w:val="21"/>
              </w:rPr>
            </w:pPr>
            <w:r>
              <w:rPr>
                <w:rFonts w:hint="eastAsia" w:ascii="宋体" w:hAnsi="宋体"/>
                <w:color w:val="auto"/>
                <w:szCs w:val="21"/>
              </w:rPr>
              <w:t>安装工程</w:t>
            </w: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744" w:type="dxa"/>
            <w:noWrap w:val="0"/>
            <w:vAlign w:val="center"/>
          </w:tcPr>
          <w:p>
            <w:pPr>
              <w:jc w:val="center"/>
              <w:rPr>
                <w:rFonts w:hint="eastAsia" w:ascii="宋体" w:hAnsi="宋体"/>
                <w:color w:val="auto"/>
                <w:szCs w:val="21"/>
              </w:rPr>
            </w:pPr>
          </w:p>
        </w:tc>
        <w:tc>
          <w:tcPr>
            <w:tcW w:w="4269" w:type="dxa"/>
            <w:noWrap w:val="0"/>
            <w:vAlign w:val="center"/>
          </w:tcPr>
          <w:p>
            <w:pPr>
              <w:rPr>
                <w:rFonts w:hint="eastAsia" w:ascii="宋体" w:hAnsi="宋体"/>
                <w:color w:val="auto"/>
                <w:szCs w:val="21"/>
              </w:rPr>
            </w:pPr>
          </w:p>
        </w:tc>
        <w:tc>
          <w:tcPr>
            <w:tcW w:w="1345"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1346" w:type="dxa"/>
            <w:noWrap w:val="0"/>
            <w:vAlign w:val="center"/>
          </w:tcPr>
          <w:p>
            <w:pPr>
              <w:jc w:val="center"/>
              <w:rPr>
                <w:rFonts w:hint="eastAsia" w:ascii="宋体" w:hAnsi="宋体"/>
                <w:color w:val="auto"/>
                <w:szCs w:val="21"/>
              </w:rPr>
            </w:pPr>
          </w:p>
        </w:tc>
        <w:tc>
          <w:tcPr>
            <w:tcW w:w="2343" w:type="dxa"/>
            <w:noWrap w:val="0"/>
            <w:vAlign w:val="center"/>
          </w:tcPr>
          <w:p>
            <w:pPr>
              <w:jc w:val="center"/>
              <w:rPr>
                <w:rFonts w:hint="eastAsia" w:ascii="宋体" w:hAnsi="宋体"/>
                <w:color w:val="auto"/>
                <w:szCs w:val="21"/>
              </w:rPr>
            </w:pPr>
          </w:p>
        </w:tc>
      </w:tr>
    </w:tbl>
    <w:p>
      <w:pPr>
        <w:spacing w:line="540" w:lineRule="exact"/>
        <w:jc w:val="center"/>
        <w:rPr>
          <w:rFonts w:hint="eastAsia" w:ascii="宋体" w:hAnsi="宋体"/>
          <w:color w:val="auto"/>
          <w:sz w:val="32"/>
          <w:szCs w:val="32"/>
        </w:rPr>
      </w:pPr>
    </w:p>
    <w:p>
      <w:pPr>
        <w:spacing w:after="156" w:afterLines="50"/>
        <w:jc w:val="center"/>
        <w:outlineLvl w:val="2"/>
        <w:rPr>
          <w:rFonts w:hint="eastAsia" w:ascii="宋体" w:hAnsi="宋体"/>
          <w:color w:val="auto"/>
          <w:sz w:val="28"/>
          <w:szCs w:val="28"/>
        </w:rPr>
      </w:pPr>
      <w:r>
        <w:rPr>
          <w:rFonts w:ascii="宋体" w:hAnsi="宋体"/>
          <w:color w:val="auto"/>
          <w:sz w:val="28"/>
          <w:szCs w:val="28"/>
        </w:rPr>
        <w:br w:type="page"/>
      </w:r>
      <w:bookmarkStart w:id="2450" w:name="_Toc17430"/>
      <w:r>
        <w:rPr>
          <w:rFonts w:hint="eastAsia" w:ascii="宋体" w:hAnsi="宋体"/>
          <w:color w:val="auto"/>
          <w:sz w:val="28"/>
          <w:szCs w:val="28"/>
        </w:rPr>
        <w:t>3.7 投标人生产电、风、水、砂石基础单价汇总表</w:t>
      </w:r>
      <w:bookmarkEnd w:id="2450"/>
    </w:p>
    <w:p>
      <w:pPr>
        <w:rPr>
          <w:rFonts w:hint="eastAsia"/>
          <w:color w:val="auto"/>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2401"/>
        <w:gridCol w:w="1260"/>
        <w:gridCol w:w="1080"/>
        <w:gridCol w:w="1054"/>
        <w:gridCol w:w="1054"/>
        <w:gridCol w:w="1054"/>
        <w:gridCol w:w="1055"/>
        <w:gridCol w:w="1054"/>
        <w:gridCol w:w="1054"/>
        <w:gridCol w:w="1055"/>
        <w:gridCol w:w="1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r>
              <w:rPr>
                <w:rFonts w:hint="eastAsia" w:ascii="宋体" w:hAnsi="宋体" w:cs="宋体"/>
                <w:color w:val="auto"/>
                <w:kern w:val="0"/>
                <w:szCs w:val="21"/>
              </w:rPr>
              <w:t>序号</w:t>
            </w:r>
          </w:p>
        </w:tc>
        <w:tc>
          <w:tcPr>
            <w:tcW w:w="2401" w:type="dxa"/>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名称</w:t>
            </w:r>
          </w:p>
        </w:tc>
        <w:tc>
          <w:tcPr>
            <w:tcW w:w="1260" w:type="dxa"/>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型号规格</w:t>
            </w:r>
          </w:p>
        </w:tc>
        <w:tc>
          <w:tcPr>
            <w:tcW w:w="1080" w:type="dxa"/>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计量单位</w:t>
            </w:r>
          </w:p>
        </w:tc>
        <w:tc>
          <w:tcPr>
            <w:tcW w:w="1054" w:type="dxa"/>
            <w:noWrap w:val="0"/>
            <w:vAlign w:val="center"/>
          </w:tcPr>
          <w:p>
            <w:pPr>
              <w:jc w:val="center"/>
              <w:rPr>
                <w:rFonts w:hint="eastAsia" w:ascii="宋体" w:hAnsi="宋体"/>
                <w:color w:val="auto"/>
                <w:szCs w:val="21"/>
              </w:rPr>
            </w:pPr>
            <w:r>
              <w:rPr>
                <w:rFonts w:hint="eastAsia" w:ascii="宋体" w:hAnsi="宋体" w:cs="宋体"/>
                <w:color w:val="auto"/>
                <w:kern w:val="0"/>
                <w:szCs w:val="21"/>
              </w:rPr>
              <w:t>人工费</w:t>
            </w:r>
          </w:p>
        </w:tc>
        <w:tc>
          <w:tcPr>
            <w:tcW w:w="1054" w:type="dxa"/>
            <w:noWrap w:val="0"/>
            <w:vAlign w:val="center"/>
          </w:tcPr>
          <w:p>
            <w:pPr>
              <w:jc w:val="center"/>
              <w:rPr>
                <w:rFonts w:hint="eastAsia" w:ascii="宋体" w:hAnsi="宋体"/>
                <w:color w:val="auto"/>
                <w:szCs w:val="21"/>
              </w:rPr>
            </w:pPr>
            <w:r>
              <w:rPr>
                <w:rFonts w:hint="eastAsia" w:ascii="宋体" w:hAnsi="宋体" w:cs="宋体"/>
                <w:color w:val="auto"/>
                <w:kern w:val="0"/>
                <w:szCs w:val="21"/>
              </w:rPr>
              <w:t>材料费</w:t>
            </w:r>
          </w:p>
        </w:tc>
        <w:tc>
          <w:tcPr>
            <w:tcW w:w="1054" w:type="dxa"/>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机械</w:t>
            </w:r>
          </w:p>
          <w:p>
            <w:pPr>
              <w:jc w:val="center"/>
              <w:rPr>
                <w:rFonts w:hint="eastAsia" w:ascii="宋体" w:hAnsi="宋体" w:cs="宋体"/>
                <w:color w:val="auto"/>
                <w:kern w:val="0"/>
                <w:szCs w:val="21"/>
              </w:rPr>
            </w:pPr>
            <w:r>
              <w:rPr>
                <w:rFonts w:hint="eastAsia" w:ascii="宋体" w:hAnsi="宋体" w:cs="宋体"/>
                <w:color w:val="auto"/>
                <w:kern w:val="0"/>
                <w:szCs w:val="21"/>
              </w:rPr>
              <w:t>使用费</w:t>
            </w: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s="宋体"/>
                <w:color w:val="auto"/>
                <w:kern w:val="0"/>
                <w:szCs w:val="21"/>
              </w:rPr>
            </w:pPr>
          </w:p>
        </w:tc>
        <w:tc>
          <w:tcPr>
            <w:tcW w:w="1054" w:type="dxa"/>
            <w:noWrap w:val="0"/>
            <w:vAlign w:val="center"/>
          </w:tcPr>
          <w:p>
            <w:pPr>
              <w:jc w:val="center"/>
              <w:rPr>
                <w:rFonts w:hint="eastAsia" w:ascii="宋体" w:hAnsi="宋体" w:cs="宋体"/>
                <w:color w:val="auto"/>
                <w:kern w:val="0"/>
                <w:szCs w:val="21"/>
              </w:rPr>
            </w:pPr>
          </w:p>
        </w:tc>
        <w:tc>
          <w:tcPr>
            <w:tcW w:w="1055" w:type="dxa"/>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合计</w:t>
            </w:r>
          </w:p>
        </w:tc>
        <w:tc>
          <w:tcPr>
            <w:tcW w:w="1243" w:type="dxa"/>
            <w:noWrap w:val="0"/>
            <w:vAlign w:val="center"/>
          </w:tcPr>
          <w:p>
            <w:pPr>
              <w:jc w:val="center"/>
              <w:rPr>
                <w:rFonts w:hint="eastAsia" w:ascii="宋体" w:hAnsi="宋体"/>
                <w:color w:val="auto"/>
                <w:szCs w:val="21"/>
              </w:rPr>
            </w:pPr>
            <w:r>
              <w:rPr>
                <w:rFonts w:hint="eastAsia" w:ascii="宋体" w:hAnsi="宋体" w:cs="宋体"/>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s="宋体"/>
                <w:color w:val="auto"/>
                <w:kern w:val="0"/>
                <w:szCs w:val="21"/>
              </w:rPr>
            </w:pPr>
          </w:p>
        </w:tc>
        <w:tc>
          <w:tcPr>
            <w:tcW w:w="1080"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rPr>
                <w:rFonts w:hint="eastAsia" w:ascii="宋体" w:hAnsi="宋体"/>
                <w:color w:val="auto"/>
                <w:szCs w:val="21"/>
              </w:rPr>
            </w:pPr>
          </w:p>
        </w:tc>
        <w:tc>
          <w:tcPr>
            <w:tcW w:w="1054" w:type="dxa"/>
            <w:noWrap w:val="0"/>
            <w:vAlign w:val="center"/>
          </w:tcPr>
          <w:p>
            <w:pPr>
              <w:rPr>
                <w:rFonts w:hint="eastAsia" w:ascii="宋体" w:hAnsi="宋体"/>
                <w:color w:val="auto"/>
                <w:szCs w:val="21"/>
              </w:rPr>
            </w:pPr>
          </w:p>
        </w:tc>
        <w:tc>
          <w:tcPr>
            <w:tcW w:w="1055" w:type="dxa"/>
            <w:noWrap w:val="0"/>
            <w:vAlign w:val="center"/>
          </w:tcPr>
          <w:p>
            <w:pP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0" w:type="dxa"/>
            <w:noWrap w:val="0"/>
            <w:vAlign w:val="center"/>
          </w:tcPr>
          <w:p>
            <w:pPr>
              <w:jc w:val="center"/>
              <w:rPr>
                <w:rFonts w:hint="eastAsia" w:ascii="宋体" w:hAnsi="宋体"/>
                <w:color w:val="auto"/>
                <w:szCs w:val="21"/>
              </w:rPr>
            </w:pPr>
          </w:p>
        </w:tc>
        <w:tc>
          <w:tcPr>
            <w:tcW w:w="2401" w:type="dxa"/>
            <w:noWrap w:val="0"/>
            <w:vAlign w:val="center"/>
          </w:tcPr>
          <w:p>
            <w:pPr>
              <w:widowControl/>
              <w:rPr>
                <w:rFonts w:ascii="宋体" w:hAnsi="宋体" w:cs="宋体"/>
                <w:color w:val="auto"/>
                <w:kern w:val="0"/>
                <w:szCs w:val="21"/>
              </w:rPr>
            </w:pPr>
          </w:p>
        </w:tc>
        <w:tc>
          <w:tcPr>
            <w:tcW w:w="1260" w:type="dxa"/>
            <w:noWrap w:val="0"/>
            <w:vAlign w:val="top"/>
          </w:tcPr>
          <w:p>
            <w:pPr>
              <w:widowControl/>
              <w:jc w:val="center"/>
              <w:rPr>
                <w:rFonts w:hint="eastAsia" w:ascii="宋体" w:hAnsi="宋体" w:cs="宋体"/>
                <w:color w:val="auto"/>
                <w:kern w:val="0"/>
                <w:szCs w:val="21"/>
              </w:rPr>
            </w:pPr>
          </w:p>
        </w:tc>
        <w:tc>
          <w:tcPr>
            <w:tcW w:w="1080" w:type="dxa"/>
            <w:noWrap w:val="0"/>
            <w:vAlign w:val="center"/>
          </w:tcPr>
          <w:p>
            <w:pPr>
              <w:widowControl/>
              <w:jc w:val="center"/>
              <w:rPr>
                <w:rFonts w:ascii="宋体" w:hAnsi="宋体" w:cs="宋体"/>
                <w:color w:val="auto"/>
                <w:kern w:val="0"/>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4" w:type="dxa"/>
            <w:noWrap w:val="0"/>
            <w:vAlign w:val="center"/>
          </w:tcPr>
          <w:p>
            <w:pPr>
              <w:jc w:val="center"/>
              <w:rPr>
                <w:rFonts w:hint="eastAsia" w:ascii="宋体" w:hAnsi="宋体"/>
                <w:color w:val="auto"/>
                <w:szCs w:val="21"/>
              </w:rPr>
            </w:pPr>
          </w:p>
        </w:tc>
        <w:tc>
          <w:tcPr>
            <w:tcW w:w="1055" w:type="dxa"/>
            <w:noWrap w:val="0"/>
            <w:vAlign w:val="center"/>
          </w:tcPr>
          <w:p>
            <w:pPr>
              <w:jc w:val="center"/>
              <w:rPr>
                <w:rFonts w:hint="eastAsia" w:ascii="宋体" w:hAnsi="宋体"/>
                <w:color w:val="auto"/>
                <w:szCs w:val="21"/>
              </w:rPr>
            </w:pPr>
          </w:p>
        </w:tc>
        <w:tc>
          <w:tcPr>
            <w:tcW w:w="1243" w:type="dxa"/>
            <w:noWrap w:val="0"/>
            <w:vAlign w:val="center"/>
          </w:tcPr>
          <w:p>
            <w:pPr>
              <w:jc w:val="center"/>
              <w:rPr>
                <w:rFonts w:hint="eastAsia" w:ascii="宋体" w:hAnsi="宋体"/>
                <w:color w:val="auto"/>
                <w:szCs w:val="21"/>
              </w:rPr>
            </w:pPr>
          </w:p>
        </w:tc>
      </w:tr>
    </w:tbl>
    <w:p>
      <w:pPr>
        <w:jc w:val="center"/>
        <w:rPr>
          <w:rFonts w:hint="eastAsia" w:ascii="宋体" w:hAnsi="宋体"/>
          <w:color w:val="auto"/>
          <w:sz w:val="24"/>
        </w:rPr>
      </w:pPr>
    </w:p>
    <w:p>
      <w:pPr>
        <w:spacing w:line="540" w:lineRule="exact"/>
        <w:jc w:val="center"/>
        <w:rPr>
          <w:rFonts w:hint="eastAsia" w:ascii="宋体" w:hAnsi="宋体"/>
          <w:color w:val="auto"/>
          <w:sz w:val="32"/>
          <w:szCs w:val="32"/>
        </w:rPr>
      </w:pPr>
    </w:p>
    <w:p>
      <w:pPr>
        <w:spacing w:line="540" w:lineRule="exact"/>
        <w:jc w:val="center"/>
        <w:rPr>
          <w:rFonts w:hint="eastAsia" w:ascii="宋体" w:hAnsi="宋体"/>
          <w:color w:val="auto"/>
          <w:sz w:val="32"/>
          <w:szCs w:val="32"/>
        </w:rPr>
      </w:pPr>
    </w:p>
    <w:p>
      <w:pPr>
        <w:spacing w:after="156" w:afterLines="50"/>
        <w:jc w:val="center"/>
        <w:outlineLvl w:val="2"/>
        <w:rPr>
          <w:rFonts w:hint="eastAsia" w:ascii="宋体" w:hAnsi="宋体"/>
          <w:color w:val="auto"/>
          <w:sz w:val="28"/>
          <w:szCs w:val="28"/>
        </w:rPr>
      </w:pPr>
      <w:bookmarkStart w:id="2451" w:name="_Toc14381"/>
      <w:r>
        <w:rPr>
          <w:rFonts w:hint="eastAsia" w:ascii="宋体" w:hAnsi="宋体"/>
          <w:color w:val="auto"/>
          <w:sz w:val="28"/>
          <w:szCs w:val="28"/>
        </w:rPr>
        <w:t>3.8 投标人生产混凝土配合比材料费表</w:t>
      </w:r>
      <w:bookmarkEnd w:id="2451"/>
    </w:p>
    <w:p>
      <w:pPr>
        <w:rPr>
          <w:rFonts w:hint="eastAsia" w:ascii="宋体" w:hAnsi="宋体"/>
          <w:color w:val="auto"/>
          <w:szCs w:val="21"/>
          <w:u w:val="single"/>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Layout w:type="fixed"/>
        <w:tblCellMar>
          <w:top w:w="0" w:type="dxa"/>
          <w:left w:w="108" w:type="dxa"/>
          <w:bottom w:w="0" w:type="dxa"/>
          <w:right w:w="108" w:type="dxa"/>
        </w:tblCellMar>
      </w:tblPr>
      <w:tblGrid>
        <w:gridCol w:w="739"/>
        <w:gridCol w:w="1080"/>
        <w:gridCol w:w="1260"/>
        <w:gridCol w:w="1260"/>
        <w:gridCol w:w="600"/>
        <w:gridCol w:w="600"/>
        <w:gridCol w:w="600"/>
        <w:gridCol w:w="770"/>
        <w:gridCol w:w="771"/>
        <w:gridCol w:w="771"/>
        <w:gridCol w:w="771"/>
        <w:gridCol w:w="771"/>
        <w:gridCol w:w="771"/>
        <w:gridCol w:w="1054"/>
        <w:gridCol w:w="2222"/>
      </w:tblGrid>
      <w:tr>
        <w:tblPrEx>
          <w:tblCellMar>
            <w:top w:w="0" w:type="dxa"/>
            <w:left w:w="108" w:type="dxa"/>
            <w:bottom w:w="0" w:type="dxa"/>
            <w:right w:w="108" w:type="dxa"/>
          </w:tblCellMar>
        </w:tblPrEx>
        <w:trPr>
          <w:trHeight w:val="567" w:hRule="atLeast"/>
          <w:jc w:val="center"/>
        </w:trPr>
        <w:tc>
          <w:tcPr>
            <w:tcW w:w="739" w:type="dxa"/>
            <w:vMerge w:val="restart"/>
            <w:tcBorders>
              <w:top w:val="single" w:color="auto" w:sz="4" w:space="0"/>
              <w:left w:val="single" w:color="auto" w:sz="4" w:space="0"/>
              <w:right w:val="single" w:color="auto" w:sz="4" w:space="0"/>
            </w:tcBorders>
            <w:noWrap w:val="0"/>
            <w:vAlign w:val="center"/>
          </w:tcPr>
          <w:p>
            <w:pPr>
              <w:jc w:val="center"/>
              <w:rPr>
                <w:rFonts w:ascii="宋体" w:hAnsi="宋体" w:cs="宋体"/>
                <w:color w:val="auto"/>
                <w:kern w:val="0"/>
                <w:szCs w:val="21"/>
              </w:rPr>
            </w:pPr>
            <w:r>
              <w:rPr>
                <w:rFonts w:hint="eastAsia" w:ascii="宋体" w:hAnsi="宋体" w:cs="宋体"/>
                <w:color w:val="auto"/>
                <w:kern w:val="0"/>
                <w:szCs w:val="21"/>
              </w:rPr>
              <w:t>序号</w:t>
            </w:r>
          </w:p>
        </w:tc>
        <w:tc>
          <w:tcPr>
            <w:tcW w:w="1080" w:type="dxa"/>
            <w:vMerge w:val="restart"/>
            <w:tcBorders>
              <w:top w:val="single" w:color="auto" w:sz="4" w:space="0"/>
              <w:left w:val="nil"/>
              <w:right w:val="single" w:color="auto" w:sz="4" w:space="0"/>
            </w:tcBorders>
            <w:noWrap w:val="0"/>
            <w:vAlign w:val="center"/>
          </w:tcPr>
          <w:p>
            <w:pPr>
              <w:jc w:val="center"/>
              <w:rPr>
                <w:rFonts w:ascii="宋体" w:hAnsi="宋体" w:cs="宋体"/>
                <w:color w:val="auto"/>
                <w:kern w:val="0"/>
                <w:szCs w:val="21"/>
              </w:rPr>
            </w:pPr>
            <w:r>
              <w:rPr>
                <w:rFonts w:hint="eastAsia" w:ascii="宋体" w:hAnsi="宋体" w:cs="宋体"/>
                <w:color w:val="auto"/>
                <w:kern w:val="0"/>
                <w:szCs w:val="21"/>
              </w:rPr>
              <w:t>工程部位</w:t>
            </w:r>
          </w:p>
        </w:tc>
        <w:tc>
          <w:tcPr>
            <w:tcW w:w="126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混凝土</w:t>
            </w:r>
          </w:p>
          <w:p>
            <w:pPr>
              <w:widowControl/>
              <w:jc w:val="center"/>
              <w:rPr>
                <w:rFonts w:ascii="宋体" w:hAnsi="宋体" w:cs="宋体"/>
                <w:color w:val="auto"/>
                <w:kern w:val="0"/>
                <w:szCs w:val="21"/>
              </w:rPr>
            </w:pPr>
            <w:r>
              <w:rPr>
                <w:rFonts w:hint="eastAsia" w:ascii="宋体" w:hAnsi="宋体" w:cs="宋体"/>
                <w:color w:val="auto"/>
                <w:kern w:val="0"/>
                <w:szCs w:val="21"/>
              </w:rPr>
              <w:t>强度等级</w:t>
            </w:r>
          </w:p>
        </w:tc>
        <w:tc>
          <w:tcPr>
            <w:tcW w:w="126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水泥</w:t>
            </w:r>
          </w:p>
          <w:p>
            <w:pPr>
              <w:widowControl/>
              <w:jc w:val="center"/>
              <w:rPr>
                <w:rFonts w:ascii="宋体" w:hAnsi="宋体" w:cs="宋体"/>
                <w:color w:val="auto"/>
                <w:kern w:val="0"/>
                <w:szCs w:val="21"/>
              </w:rPr>
            </w:pPr>
            <w:r>
              <w:rPr>
                <w:rFonts w:hint="eastAsia" w:ascii="宋体" w:hAnsi="宋体" w:cs="宋体"/>
                <w:color w:val="auto"/>
                <w:kern w:val="0"/>
                <w:szCs w:val="21"/>
              </w:rPr>
              <w:t>强度等级</w:t>
            </w:r>
          </w:p>
        </w:tc>
        <w:tc>
          <w:tcPr>
            <w:tcW w:w="600" w:type="dxa"/>
            <w:vMerge w:val="restart"/>
            <w:tcBorders>
              <w:top w:val="single" w:color="auto" w:sz="4" w:space="0"/>
              <w:left w:val="nil"/>
              <w:right w:val="single" w:color="auto" w:sz="4" w:space="0"/>
            </w:tcBorders>
            <w:noWrap w:val="0"/>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级</w:t>
            </w:r>
          </w:p>
          <w:p>
            <w:pPr>
              <w:widowControl/>
              <w:jc w:val="center"/>
              <w:rPr>
                <w:rFonts w:hint="eastAsia" w:ascii="宋体" w:hAnsi="宋体" w:cs="宋体"/>
                <w:color w:val="auto"/>
                <w:kern w:val="0"/>
                <w:szCs w:val="21"/>
              </w:rPr>
            </w:pPr>
          </w:p>
          <w:p>
            <w:pPr>
              <w:widowControl/>
              <w:jc w:val="center"/>
              <w:rPr>
                <w:rFonts w:ascii="宋体" w:hAnsi="宋体" w:cs="宋体"/>
                <w:color w:val="auto"/>
                <w:kern w:val="0"/>
                <w:szCs w:val="21"/>
              </w:rPr>
            </w:pPr>
            <w:r>
              <w:rPr>
                <w:rFonts w:hint="eastAsia" w:ascii="宋体" w:hAnsi="宋体" w:cs="宋体"/>
                <w:color w:val="auto"/>
                <w:kern w:val="0"/>
                <w:szCs w:val="21"/>
              </w:rPr>
              <w:t>配</w:t>
            </w:r>
          </w:p>
        </w:tc>
        <w:tc>
          <w:tcPr>
            <w:tcW w:w="600" w:type="dxa"/>
            <w:vMerge w:val="restart"/>
            <w:tcBorders>
              <w:top w:val="single" w:color="auto" w:sz="4" w:space="0"/>
              <w:left w:val="nil"/>
              <w:right w:val="single" w:color="auto" w:sz="4" w:space="0"/>
            </w:tcBorders>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水</w:t>
            </w:r>
          </w:p>
          <w:p>
            <w:pPr>
              <w:jc w:val="center"/>
              <w:rPr>
                <w:rFonts w:hint="eastAsia" w:ascii="宋体" w:hAnsi="宋体" w:cs="宋体"/>
                <w:color w:val="auto"/>
                <w:kern w:val="0"/>
                <w:szCs w:val="21"/>
              </w:rPr>
            </w:pPr>
            <w:r>
              <w:rPr>
                <w:rFonts w:hint="eastAsia" w:ascii="宋体" w:hAnsi="宋体" w:cs="宋体"/>
                <w:color w:val="auto"/>
                <w:kern w:val="0"/>
                <w:szCs w:val="21"/>
              </w:rPr>
              <w:t>灰</w:t>
            </w:r>
          </w:p>
          <w:p>
            <w:pPr>
              <w:jc w:val="center"/>
              <w:rPr>
                <w:rFonts w:ascii="宋体" w:hAnsi="宋体" w:cs="宋体"/>
                <w:color w:val="auto"/>
                <w:kern w:val="0"/>
                <w:szCs w:val="21"/>
              </w:rPr>
            </w:pPr>
            <w:r>
              <w:rPr>
                <w:rFonts w:hint="eastAsia" w:ascii="宋体" w:hAnsi="宋体" w:cs="宋体"/>
                <w:color w:val="auto"/>
                <w:kern w:val="0"/>
                <w:szCs w:val="21"/>
              </w:rPr>
              <w:t>比</w:t>
            </w:r>
          </w:p>
        </w:tc>
        <w:tc>
          <w:tcPr>
            <w:tcW w:w="600" w:type="dxa"/>
            <w:vMerge w:val="restart"/>
            <w:tcBorders>
              <w:top w:val="single" w:color="auto" w:sz="4" w:space="0"/>
              <w:left w:val="nil"/>
              <w:right w:val="single" w:color="auto" w:sz="4" w:space="0"/>
            </w:tcBorders>
            <w:noWrap w:val="0"/>
            <w:vAlign w:val="center"/>
          </w:tcPr>
          <w:p>
            <w:pPr>
              <w:jc w:val="center"/>
              <w:rPr>
                <w:rFonts w:hint="eastAsia" w:ascii="宋体" w:hAnsi="宋体" w:cs="宋体"/>
                <w:color w:val="auto"/>
                <w:kern w:val="0"/>
                <w:szCs w:val="21"/>
              </w:rPr>
            </w:pPr>
            <w:r>
              <w:rPr>
                <w:rFonts w:hint="eastAsia" w:ascii="宋体" w:hAnsi="宋体" w:cs="宋体"/>
                <w:color w:val="auto"/>
                <w:kern w:val="0"/>
                <w:szCs w:val="21"/>
              </w:rPr>
              <w:t>坍</w:t>
            </w:r>
          </w:p>
          <w:p>
            <w:pPr>
              <w:jc w:val="center"/>
              <w:rPr>
                <w:rFonts w:hint="eastAsia" w:ascii="宋体" w:hAnsi="宋体" w:cs="宋体"/>
                <w:color w:val="auto"/>
                <w:kern w:val="0"/>
                <w:szCs w:val="21"/>
              </w:rPr>
            </w:pPr>
            <w:r>
              <w:rPr>
                <w:rFonts w:hint="eastAsia" w:ascii="宋体" w:hAnsi="宋体" w:cs="宋体"/>
                <w:color w:val="auto"/>
                <w:kern w:val="0"/>
                <w:szCs w:val="21"/>
              </w:rPr>
              <w:t>落</w:t>
            </w:r>
          </w:p>
          <w:p>
            <w:pPr>
              <w:jc w:val="center"/>
              <w:rPr>
                <w:rFonts w:ascii="宋体" w:hAnsi="宋体" w:cs="宋体"/>
                <w:color w:val="auto"/>
                <w:kern w:val="0"/>
                <w:szCs w:val="21"/>
              </w:rPr>
            </w:pPr>
            <w:r>
              <w:rPr>
                <w:rFonts w:hint="eastAsia" w:ascii="宋体" w:hAnsi="宋体" w:cs="宋体"/>
                <w:color w:val="auto"/>
                <w:kern w:val="0"/>
                <w:szCs w:val="21"/>
              </w:rPr>
              <w:t>度</w:t>
            </w:r>
          </w:p>
        </w:tc>
        <w:tc>
          <w:tcPr>
            <w:tcW w:w="4625"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r>
              <w:rPr>
                <w:rFonts w:hint="eastAsia" w:ascii="宋体" w:hAnsi="宋体" w:cs="宋体"/>
                <w:color w:val="auto"/>
                <w:kern w:val="0"/>
                <w:szCs w:val="21"/>
              </w:rPr>
              <w:t>预算材料量(kg/m</w:t>
            </w:r>
            <w:r>
              <w:rPr>
                <w:rFonts w:hint="eastAsia" w:ascii="宋体" w:hAnsi="宋体" w:cs="宋体"/>
                <w:color w:val="auto"/>
                <w:kern w:val="0"/>
                <w:szCs w:val="21"/>
                <w:vertAlign w:val="superscript"/>
              </w:rPr>
              <w:t>3</w:t>
            </w:r>
            <w:r>
              <w:rPr>
                <w:rFonts w:hint="eastAsia" w:ascii="宋体" w:hAnsi="宋体" w:cs="宋体"/>
                <w:color w:val="auto"/>
                <w:kern w:val="0"/>
                <w:szCs w:val="21"/>
              </w:rPr>
              <w:t>)</w:t>
            </w:r>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rPr>
            </w:pPr>
            <w:r>
              <w:rPr>
                <w:rFonts w:hint="eastAsia" w:ascii="宋体" w:hAnsi="宋体" w:cs="宋体"/>
                <w:color w:val="auto"/>
                <w:kern w:val="0"/>
                <w:szCs w:val="21"/>
              </w:rPr>
              <w:t>单 价</w:t>
            </w:r>
          </w:p>
          <w:p>
            <w:pPr>
              <w:widowControl/>
              <w:jc w:val="center"/>
              <w:rPr>
                <w:rFonts w:ascii="宋体" w:hAnsi="宋体" w:cs="宋体"/>
                <w:color w:val="auto"/>
                <w:kern w:val="0"/>
                <w:szCs w:val="21"/>
              </w:rPr>
            </w:pPr>
            <w:r>
              <w:rPr>
                <w:rFonts w:hint="eastAsia" w:ascii="宋体" w:hAnsi="宋体" w:cs="宋体"/>
                <w:color w:val="auto"/>
                <w:kern w:val="0"/>
                <w:szCs w:val="21"/>
              </w:rPr>
              <w:t>(元/m</w:t>
            </w:r>
            <w:r>
              <w:rPr>
                <w:rFonts w:hint="eastAsia" w:ascii="宋体" w:hAnsi="宋体" w:cs="宋体"/>
                <w:color w:val="auto"/>
                <w:kern w:val="0"/>
                <w:szCs w:val="21"/>
                <w:vertAlign w:val="superscript"/>
              </w:rPr>
              <w:t>3</w:t>
            </w:r>
            <w:r>
              <w:rPr>
                <w:rFonts w:hint="eastAsia" w:ascii="宋体" w:hAnsi="宋体" w:cs="宋体"/>
                <w:color w:val="auto"/>
                <w:kern w:val="0"/>
                <w:szCs w:val="21"/>
              </w:rPr>
              <w:t>)</w:t>
            </w:r>
          </w:p>
        </w:tc>
        <w:tc>
          <w:tcPr>
            <w:tcW w:w="2222" w:type="dxa"/>
            <w:tcBorders>
              <w:top w:val="single" w:color="auto" w:sz="4" w:space="0"/>
              <w:left w:val="single" w:color="auto" w:sz="4" w:space="0"/>
              <w:right w:val="single" w:color="auto" w:sz="4" w:space="0"/>
            </w:tcBorders>
            <w:noWrap w:val="0"/>
            <w:vAlign w:val="center"/>
          </w:tcPr>
          <w:p>
            <w:pPr>
              <w:widowControl/>
              <w:jc w:val="center"/>
              <w:rPr>
                <w:rFonts w:ascii="宋体" w:hAnsi="宋体" w:cs="宋体"/>
                <w:color w:val="auto"/>
                <w:kern w:val="0"/>
                <w:szCs w:val="21"/>
              </w:rPr>
            </w:pPr>
            <w:r>
              <w:rPr>
                <w:rFonts w:hint="eastAsia" w:ascii="宋体" w:hAnsi="宋体" w:cs="宋体"/>
                <w:color w:val="auto"/>
                <w:kern w:val="0"/>
                <w:szCs w:val="21"/>
              </w:rPr>
              <w:t>备注</w:t>
            </w:r>
          </w:p>
        </w:tc>
      </w:tr>
      <w:tr>
        <w:tblPrEx>
          <w:tblCellMar>
            <w:top w:w="0" w:type="dxa"/>
            <w:left w:w="108" w:type="dxa"/>
            <w:bottom w:w="0" w:type="dxa"/>
            <w:right w:w="108" w:type="dxa"/>
          </w:tblCellMar>
        </w:tblPrEx>
        <w:trPr>
          <w:trHeight w:val="567" w:hRule="atLeast"/>
          <w:jc w:val="center"/>
        </w:trPr>
        <w:tc>
          <w:tcPr>
            <w:tcW w:w="739"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1080" w:type="dxa"/>
            <w:vMerge w:val="continue"/>
            <w:tcBorders>
              <w:left w:val="nil"/>
              <w:bottom w:val="single" w:color="auto" w:sz="4" w:space="0"/>
              <w:right w:val="single" w:color="auto" w:sz="4" w:space="0"/>
            </w:tcBorders>
            <w:noWrap w:val="0"/>
            <w:vAlign w:val="center"/>
          </w:tcPr>
          <w:p>
            <w:pPr>
              <w:widowControl/>
              <w:rPr>
                <w:rFonts w:ascii="宋体" w:hAnsi="宋体" w:cs="宋体"/>
                <w:color w:val="auto"/>
                <w:kern w:val="0"/>
                <w:szCs w:val="21"/>
              </w:rPr>
            </w:pPr>
          </w:p>
        </w:tc>
        <w:tc>
          <w:tcPr>
            <w:tcW w:w="1260" w:type="dxa"/>
            <w:vMerge w:val="continue"/>
            <w:tcBorders>
              <w:left w:val="nil"/>
              <w:bottom w:val="single" w:color="auto" w:sz="4" w:space="0"/>
              <w:right w:val="single" w:color="auto" w:sz="4" w:space="0"/>
            </w:tcBorders>
            <w:noWrap w:val="0"/>
            <w:vAlign w:val="center"/>
          </w:tcPr>
          <w:p>
            <w:pPr>
              <w:widowControl/>
              <w:rPr>
                <w:rFonts w:ascii="宋体" w:hAnsi="宋体" w:cs="宋体"/>
                <w:color w:val="auto"/>
                <w:kern w:val="0"/>
                <w:szCs w:val="21"/>
              </w:rPr>
            </w:pPr>
          </w:p>
        </w:tc>
        <w:tc>
          <w:tcPr>
            <w:tcW w:w="126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600" w:type="dxa"/>
            <w:vMerge w:val="continue"/>
            <w:tcBorders>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水泥</w:t>
            </w: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r>
              <w:rPr>
                <w:rFonts w:hint="eastAsia" w:ascii="宋体" w:hAnsi="宋体" w:cs="宋体"/>
                <w:color w:val="auto"/>
                <w:kern w:val="0"/>
                <w:szCs w:val="21"/>
              </w:rPr>
              <w:t>砂</w:t>
            </w: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r>
              <w:rPr>
                <w:rFonts w:hint="eastAsia" w:ascii="宋体" w:hAnsi="宋体" w:cs="宋体"/>
                <w:color w:val="auto"/>
                <w:kern w:val="0"/>
                <w:szCs w:val="21"/>
              </w:rPr>
              <w:t>石</w:t>
            </w: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c>
          <w:tcPr>
            <w:tcW w:w="22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Cs w:val="21"/>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nil"/>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r>
        <w:tblPrEx>
          <w:tblCellMar>
            <w:top w:w="0" w:type="dxa"/>
            <w:left w:w="108" w:type="dxa"/>
            <w:bottom w:w="0" w:type="dxa"/>
            <w:right w:w="108" w:type="dxa"/>
          </w:tblCellMar>
        </w:tblPrEx>
        <w:trPr>
          <w:trHeight w:val="567" w:hRule="atLeast"/>
          <w:jc w:val="center"/>
        </w:trPr>
        <w:tc>
          <w:tcPr>
            <w:tcW w:w="73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80"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single" w:color="auto" w:sz="4" w:space="0"/>
              <w:left w:val="nil"/>
              <w:bottom w:val="single" w:color="auto" w:sz="4" w:space="0"/>
              <w:right w:val="single" w:color="auto" w:sz="4" w:space="0"/>
            </w:tcBorders>
            <w:noWrap w:val="0"/>
            <w:vAlign w:val="center"/>
          </w:tcPr>
          <w:p>
            <w:pPr>
              <w:widowControl/>
              <w:rPr>
                <w:rFonts w:ascii="宋体" w:hAnsi="宋体" w:cs="宋体"/>
                <w:color w:val="auto"/>
                <w:kern w:val="0"/>
                <w:sz w:val="24"/>
              </w:rPr>
            </w:pPr>
          </w:p>
        </w:tc>
        <w:tc>
          <w:tcPr>
            <w:tcW w:w="126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60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771"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1054"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c>
          <w:tcPr>
            <w:tcW w:w="2222"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color w:val="auto"/>
                <w:kern w:val="0"/>
                <w:sz w:val="24"/>
              </w:rPr>
            </w:pPr>
          </w:p>
        </w:tc>
      </w:tr>
    </w:tbl>
    <w:p>
      <w:pPr>
        <w:spacing w:line="300" w:lineRule="exact"/>
        <w:ind w:firstLine="7980" w:firstLineChars="2850"/>
        <w:rPr>
          <w:rFonts w:hint="eastAsia" w:ascii="宋体" w:hAnsi="宋体"/>
          <w:color w:val="auto"/>
          <w:sz w:val="28"/>
        </w:rPr>
      </w:pPr>
    </w:p>
    <w:p>
      <w:pPr>
        <w:rPr>
          <w:color w:val="auto"/>
        </w:rPr>
        <w:sectPr>
          <w:pgSz w:w="16838" w:h="11906" w:orient="landscape"/>
          <w:pgMar w:top="1418" w:right="1418" w:bottom="1361" w:left="1418" w:header="851" w:footer="992" w:gutter="0"/>
          <w:pgNumType w:fmt="decimal"/>
          <w:cols w:space="720" w:num="1"/>
          <w:docGrid w:type="linesAndChars" w:linePitch="312" w:charSpace="0"/>
        </w:sectPr>
      </w:pPr>
    </w:p>
    <w:p>
      <w:pPr>
        <w:spacing w:after="156" w:afterLines="50"/>
        <w:jc w:val="center"/>
        <w:outlineLvl w:val="2"/>
        <w:rPr>
          <w:rFonts w:ascii="宋体" w:hAnsi="宋体"/>
          <w:color w:val="auto"/>
          <w:sz w:val="28"/>
          <w:szCs w:val="28"/>
        </w:rPr>
      </w:pPr>
      <w:bookmarkStart w:id="2452" w:name="_Toc2390"/>
      <w:r>
        <w:rPr>
          <w:rFonts w:hint="eastAsia" w:ascii="宋体" w:hAnsi="宋体"/>
          <w:color w:val="auto"/>
          <w:sz w:val="28"/>
          <w:szCs w:val="28"/>
        </w:rPr>
        <w:t>3.9 招标人供应材料价格汇总表</w:t>
      </w:r>
      <w:bookmarkEnd w:id="2452"/>
    </w:p>
    <w:p>
      <w:pPr>
        <w:rPr>
          <w:rFonts w:hint="eastAsia" w:ascii="宋体" w:hAnsi="宋体"/>
          <w:color w:val="auto"/>
          <w:szCs w:val="21"/>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3155"/>
        <w:gridCol w:w="1214"/>
        <w:gridCol w:w="1260"/>
        <w:gridCol w:w="1440"/>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3155" w:type="dxa"/>
            <w:noWrap w:val="0"/>
            <w:vAlign w:val="center"/>
          </w:tcPr>
          <w:p>
            <w:pPr>
              <w:jc w:val="center"/>
              <w:rPr>
                <w:rFonts w:hint="eastAsia" w:ascii="宋体" w:hAnsi="宋体"/>
                <w:color w:val="auto"/>
                <w:szCs w:val="21"/>
              </w:rPr>
            </w:pPr>
            <w:r>
              <w:rPr>
                <w:rFonts w:hint="eastAsia" w:ascii="宋体" w:hAnsi="宋体"/>
                <w:color w:val="auto"/>
                <w:szCs w:val="21"/>
              </w:rPr>
              <w:t>材料名称</w:t>
            </w:r>
          </w:p>
        </w:tc>
        <w:tc>
          <w:tcPr>
            <w:tcW w:w="1214" w:type="dxa"/>
            <w:noWrap w:val="0"/>
            <w:vAlign w:val="center"/>
          </w:tcPr>
          <w:p>
            <w:pPr>
              <w:jc w:val="center"/>
              <w:rPr>
                <w:rFonts w:hint="eastAsia" w:ascii="宋体" w:hAnsi="宋体"/>
                <w:color w:val="auto"/>
                <w:szCs w:val="21"/>
              </w:rPr>
            </w:pPr>
            <w:r>
              <w:rPr>
                <w:rFonts w:hint="eastAsia" w:ascii="宋体" w:hAnsi="宋体"/>
                <w:color w:val="auto"/>
                <w:szCs w:val="21"/>
              </w:rPr>
              <w:t>型号规格</w:t>
            </w:r>
          </w:p>
        </w:tc>
        <w:tc>
          <w:tcPr>
            <w:tcW w:w="1260"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440" w:type="dxa"/>
            <w:noWrap w:val="0"/>
            <w:vAlign w:val="center"/>
          </w:tcPr>
          <w:p>
            <w:pPr>
              <w:jc w:val="center"/>
              <w:rPr>
                <w:rFonts w:hint="eastAsia" w:ascii="宋体" w:hAnsi="宋体"/>
                <w:color w:val="auto"/>
                <w:szCs w:val="21"/>
              </w:rPr>
            </w:pPr>
            <w:r>
              <w:rPr>
                <w:rFonts w:hint="eastAsia" w:ascii="宋体" w:hAnsi="宋体"/>
                <w:color w:val="auto"/>
                <w:szCs w:val="21"/>
              </w:rPr>
              <w:t>供应价格(元)</w:t>
            </w:r>
          </w:p>
        </w:tc>
        <w:tc>
          <w:tcPr>
            <w:tcW w:w="1344" w:type="dxa"/>
            <w:noWrap w:val="0"/>
            <w:vAlign w:val="center"/>
          </w:tcPr>
          <w:p>
            <w:pPr>
              <w:jc w:val="center"/>
              <w:rPr>
                <w:rFonts w:hint="eastAsia" w:ascii="宋体" w:hAnsi="宋体"/>
                <w:color w:val="auto"/>
                <w:szCs w:val="21"/>
              </w:rPr>
            </w:pPr>
            <w:r>
              <w:rPr>
                <w:rFonts w:hint="eastAsia" w:ascii="宋体" w:hAnsi="宋体"/>
                <w:color w:val="auto"/>
                <w:szCs w:val="21"/>
              </w:rPr>
              <w:t>预算价格(元)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6" w:type="dxa"/>
            <w:noWrap w:val="0"/>
            <w:vAlign w:val="center"/>
          </w:tcPr>
          <w:p>
            <w:pPr>
              <w:jc w:val="center"/>
              <w:rPr>
                <w:rFonts w:hint="eastAsia" w:ascii="宋体" w:hAnsi="宋体"/>
                <w:color w:val="auto"/>
                <w:sz w:val="32"/>
              </w:rPr>
            </w:pPr>
          </w:p>
        </w:tc>
        <w:tc>
          <w:tcPr>
            <w:tcW w:w="3155" w:type="dxa"/>
            <w:noWrap w:val="0"/>
            <w:vAlign w:val="center"/>
          </w:tcPr>
          <w:p>
            <w:pPr>
              <w:jc w:val="center"/>
              <w:rPr>
                <w:rFonts w:hint="eastAsia" w:ascii="宋体" w:hAnsi="宋体"/>
                <w:color w:val="auto"/>
                <w:sz w:val="32"/>
              </w:rPr>
            </w:pPr>
          </w:p>
        </w:tc>
        <w:tc>
          <w:tcPr>
            <w:tcW w:w="1214" w:type="dxa"/>
            <w:noWrap w:val="0"/>
            <w:vAlign w:val="center"/>
          </w:tcPr>
          <w:p>
            <w:pPr>
              <w:jc w:val="center"/>
              <w:rPr>
                <w:rFonts w:hint="eastAsia" w:ascii="宋体" w:hAnsi="宋体"/>
                <w:color w:val="auto"/>
                <w:sz w:val="32"/>
              </w:rPr>
            </w:pPr>
          </w:p>
        </w:tc>
        <w:tc>
          <w:tcPr>
            <w:tcW w:w="1260" w:type="dxa"/>
            <w:noWrap w:val="0"/>
            <w:vAlign w:val="center"/>
          </w:tcPr>
          <w:p>
            <w:pPr>
              <w:jc w:val="center"/>
              <w:rPr>
                <w:rFonts w:hint="eastAsia" w:ascii="宋体" w:hAnsi="宋体"/>
                <w:color w:val="auto"/>
                <w:sz w:val="32"/>
              </w:rPr>
            </w:pPr>
          </w:p>
        </w:tc>
        <w:tc>
          <w:tcPr>
            <w:tcW w:w="1440" w:type="dxa"/>
            <w:noWrap w:val="0"/>
            <w:vAlign w:val="center"/>
          </w:tcPr>
          <w:p>
            <w:pPr>
              <w:jc w:val="center"/>
              <w:rPr>
                <w:rFonts w:hint="eastAsia" w:ascii="宋体" w:hAnsi="宋体"/>
                <w:color w:val="auto"/>
                <w:sz w:val="32"/>
              </w:rPr>
            </w:pPr>
          </w:p>
        </w:tc>
        <w:tc>
          <w:tcPr>
            <w:tcW w:w="1344" w:type="dxa"/>
            <w:noWrap w:val="0"/>
            <w:vAlign w:val="center"/>
          </w:tcPr>
          <w:p>
            <w:pPr>
              <w:jc w:val="center"/>
              <w:rPr>
                <w:rFonts w:hint="eastAsia" w:ascii="宋体" w:hAnsi="宋体"/>
                <w:color w:val="auto"/>
                <w:sz w:val="32"/>
              </w:rPr>
            </w:pPr>
          </w:p>
        </w:tc>
      </w:tr>
    </w:tbl>
    <w:p>
      <w:pPr>
        <w:rPr>
          <w:rFonts w:hint="eastAsia"/>
          <w:color w:val="auto"/>
        </w:rPr>
      </w:pPr>
    </w:p>
    <w:p>
      <w:pPr>
        <w:spacing w:after="156" w:afterLines="50"/>
        <w:jc w:val="center"/>
        <w:outlineLvl w:val="2"/>
        <w:rPr>
          <w:rFonts w:ascii="宋体" w:hAnsi="宋体"/>
          <w:color w:val="auto"/>
          <w:sz w:val="28"/>
          <w:szCs w:val="28"/>
        </w:rPr>
      </w:pPr>
      <w:bookmarkStart w:id="2453" w:name="_Toc30528"/>
      <w:r>
        <w:rPr>
          <w:rFonts w:hint="eastAsia" w:ascii="宋体" w:hAnsi="宋体"/>
          <w:color w:val="auto"/>
          <w:sz w:val="28"/>
          <w:szCs w:val="28"/>
        </w:rPr>
        <w:t>3.10 投标人自行采购主要材料预算价格汇总表</w:t>
      </w:r>
      <w:bookmarkEnd w:id="2453"/>
    </w:p>
    <w:p>
      <w:pPr>
        <w:rPr>
          <w:rFonts w:hint="eastAsia"/>
          <w:color w:val="auto"/>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w:t>
      </w:r>
    </w:p>
    <w:p>
      <w:pPr>
        <w:rPr>
          <w:rFonts w:hint="eastAsia" w:ascii="宋体" w:hAnsi="宋体"/>
          <w:color w:val="auto"/>
          <w:szCs w:val="21"/>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3492"/>
        <w:gridCol w:w="1089"/>
        <w:gridCol w:w="1128"/>
        <w:gridCol w:w="1348"/>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3492" w:type="dxa"/>
            <w:noWrap w:val="0"/>
            <w:vAlign w:val="center"/>
          </w:tcPr>
          <w:p>
            <w:pPr>
              <w:jc w:val="center"/>
              <w:rPr>
                <w:rFonts w:hint="eastAsia" w:ascii="宋体" w:hAnsi="宋体"/>
                <w:color w:val="auto"/>
                <w:szCs w:val="21"/>
              </w:rPr>
            </w:pPr>
            <w:r>
              <w:rPr>
                <w:rFonts w:hint="eastAsia" w:ascii="宋体" w:hAnsi="宋体"/>
                <w:color w:val="auto"/>
                <w:szCs w:val="21"/>
              </w:rPr>
              <w:t>材料名称</w:t>
            </w:r>
          </w:p>
        </w:tc>
        <w:tc>
          <w:tcPr>
            <w:tcW w:w="1089" w:type="dxa"/>
            <w:noWrap w:val="0"/>
            <w:vAlign w:val="center"/>
          </w:tcPr>
          <w:p>
            <w:pPr>
              <w:jc w:val="center"/>
              <w:rPr>
                <w:rFonts w:hint="eastAsia" w:ascii="宋体" w:hAnsi="宋体"/>
                <w:color w:val="auto"/>
                <w:szCs w:val="21"/>
              </w:rPr>
            </w:pPr>
            <w:r>
              <w:rPr>
                <w:rFonts w:hint="eastAsia" w:ascii="宋体" w:hAnsi="宋体"/>
                <w:color w:val="auto"/>
                <w:szCs w:val="21"/>
              </w:rPr>
              <w:t>型号规格</w:t>
            </w:r>
          </w:p>
        </w:tc>
        <w:tc>
          <w:tcPr>
            <w:tcW w:w="1128"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348" w:type="dxa"/>
            <w:noWrap w:val="0"/>
            <w:vAlign w:val="center"/>
          </w:tcPr>
          <w:p>
            <w:pPr>
              <w:jc w:val="center"/>
              <w:rPr>
                <w:rFonts w:hint="eastAsia" w:ascii="宋体" w:hAnsi="宋体"/>
                <w:color w:val="auto"/>
                <w:szCs w:val="21"/>
              </w:rPr>
            </w:pPr>
            <w:r>
              <w:rPr>
                <w:rFonts w:hint="eastAsia" w:ascii="宋体" w:hAnsi="宋体"/>
                <w:color w:val="auto"/>
                <w:szCs w:val="21"/>
              </w:rPr>
              <w:t>预算价格(元)</w:t>
            </w:r>
          </w:p>
        </w:tc>
        <w:tc>
          <w:tcPr>
            <w:tcW w:w="1352" w:type="dxa"/>
            <w:noWrap w:val="0"/>
            <w:vAlign w:val="center"/>
          </w:tcPr>
          <w:p>
            <w:pPr>
              <w:jc w:val="center"/>
              <w:rPr>
                <w:rFonts w:hint="eastAsia"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8" w:type="dxa"/>
            <w:noWrap w:val="0"/>
            <w:vAlign w:val="center"/>
          </w:tcPr>
          <w:p>
            <w:pPr>
              <w:jc w:val="center"/>
              <w:rPr>
                <w:rFonts w:hint="eastAsia" w:ascii="宋体" w:hAnsi="宋体"/>
                <w:color w:val="auto"/>
                <w:sz w:val="24"/>
              </w:rPr>
            </w:pPr>
          </w:p>
        </w:tc>
        <w:tc>
          <w:tcPr>
            <w:tcW w:w="3492" w:type="dxa"/>
            <w:noWrap w:val="0"/>
            <w:vAlign w:val="center"/>
          </w:tcPr>
          <w:p>
            <w:pPr>
              <w:jc w:val="center"/>
              <w:rPr>
                <w:rFonts w:hint="eastAsia" w:ascii="宋体" w:hAnsi="宋体"/>
                <w:color w:val="auto"/>
                <w:sz w:val="24"/>
              </w:rPr>
            </w:pPr>
          </w:p>
        </w:tc>
        <w:tc>
          <w:tcPr>
            <w:tcW w:w="1089" w:type="dxa"/>
            <w:noWrap w:val="0"/>
            <w:vAlign w:val="center"/>
          </w:tcPr>
          <w:p>
            <w:pPr>
              <w:jc w:val="center"/>
              <w:rPr>
                <w:rFonts w:hint="eastAsia" w:ascii="宋体" w:hAnsi="宋体"/>
                <w:color w:val="auto"/>
                <w:sz w:val="24"/>
              </w:rPr>
            </w:pPr>
          </w:p>
        </w:tc>
        <w:tc>
          <w:tcPr>
            <w:tcW w:w="1128" w:type="dxa"/>
            <w:noWrap w:val="0"/>
            <w:vAlign w:val="center"/>
          </w:tcPr>
          <w:p>
            <w:pPr>
              <w:jc w:val="center"/>
              <w:rPr>
                <w:rFonts w:hint="eastAsia" w:ascii="宋体" w:hAnsi="宋体"/>
                <w:color w:val="auto"/>
                <w:sz w:val="24"/>
              </w:rPr>
            </w:pPr>
          </w:p>
        </w:tc>
        <w:tc>
          <w:tcPr>
            <w:tcW w:w="1348" w:type="dxa"/>
            <w:noWrap w:val="0"/>
            <w:vAlign w:val="center"/>
          </w:tcPr>
          <w:p>
            <w:pPr>
              <w:jc w:val="center"/>
              <w:rPr>
                <w:rFonts w:hint="eastAsia" w:ascii="宋体" w:hAnsi="宋体"/>
                <w:color w:val="auto"/>
                <w:sz w:val="24"/>
              </w:rPr>
            </w:pPr>
          </w:p>
        </w:tc>
        <w:tc>
          <w:tcPr>
            <w:tcW w:w="1352" w:type="dxa"/>
            <w:noWrap w:val="0"/>
            <w:vAlign w:val="center"/>
          </w:tcPr>
          <w:p>
            <w:pPr>
              <w:jc w:val="center"/>
              <w:rPr>
                <w:rFonts w:hint="eastAsia" w:ascii="宋体" w:hAnsi="宋体"/>
                <w:color w:val="auto"/>
                <w:sz w:val="24"/>
              </w:rPr>
            </w:pPr>
          </w:p>
        </w:tc>
      </w:tr>
    </w:tbl>
    <w:p>
      <w:pPr>
        <w:spacing w:line="300" w:lineRule="exact"/>
        <w:rPr>
          <w:rFonts w:hint="eastAsia" w:ascii="宋体" w:hAnsi="宋体"/>
          <w:color w:val="auto"/>
          <w:sz w:val="28"/>
        </w:rPr>
      </w:pPr>
    </w:p>
    <w:p>
      <w:pPr>
        <w:rPr>
          <w:rFonts w:hint="eastAsia"/>
          <w:color w:val="auto"/>
        </w:rPr>
      </w:pPr>
    </w:p>
    <w:p>
      <w:pPr>
        <w:rPr>
          <w:color w:val="auto"/>
        </w:rPr>
        <w:sectPr>
          <w:pgSz w:w="11906" w:h="16838"/>
          <w:pgMar w:top="1418" w:right="1361" w:bottom="1418" w:left="1418" w:header="851" w:footer="992" w:gutter="0"/>
          <w:pgNumType w:fmt="decimal"/>
          <w:cols w:space="720" w:num="1"/>
          <w:docGrid w:type="lines" w:linePitch="312" w:charSpace="0"/>
        </w:sectPr>
      </w:pPr>
    </w:p>
    <w:p>
      <w:pPr>
        <w:spacing w:after="120" w:afterLines="50"/>
        <w:jc w:val="center"/>
        <w:outlineLvl w:val="2"/>
        <w:rPr>
          <w:rFonts w:hint="eastAsia" w:ascii="宋体" w:hAnsi="宋体"/>
          <w:color w:val="auto"/>
          <w:sz w:val="28"/>
          <w:szCs w:val="28"/>
        </w:rPr>
      </w:pPr>
      <w:bookmarkStart w:id="2454" w:name="_Toc3142"/>
      <w:r>
        <w:rPr>
          <w:rFonts w:hint="eastAsia" w:ascii="宋体" w:hAnsi="宋体"/>
          <w:color w:val="auto"/>
          <w:sz w:val="28"/>
          <w:szCs w:val="28"/>
        </w:rPr>
        <w:t>3.11 招标人提供施工机械台时(班)费用汇总表</w:t>
      </w:r>
      <w:bookmarkEnd w:id="2454"/>
    </w:p>
    <w:p>
      <w:pPr>
        <w:rPr>
          <w:rFonts w:hint="eastAsia"/>
          <w:color w:val="auto"/>
        </w:rPr>
      </w:pPr>
      <w:r>
        <w:rPr>
          <w:rFonts w:hint="eastAsia" w:ascii="宋体" w:hAnsi="宋体"/>
          <w:color w:val="auto"/>
          <w:szCs w:val="21"/>
        </w:rPr>
        <w:t>合同编号:</w:t>
      </w:r>
      <w:r>
        <w:rPr>
          <w:rFonts w:hint="eastAsia" w:ascii="宋体" w:hAnsi="宋体"/>
          <w:color w:val="auto"/>
          <w:szCs w:val="21"/>
          <w:u w:val="single"/>
        </w:rPr>
        <w:t xml:space="preserve">                                     </w:t>
      </w:r>
    </w:p>
    <w:p>
      <w:pPr>
        <w:rPr>
          <w:rFonts w:hint="eastAsia" w:ascii="宋体" w:hAnsi="宋体"/>
          <w:color w:val="auto"/>
          <w:szCs w:val="21"/>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ascii="宋体" w:hAnsi="宋体"/>
          <w:color w:val="auto"/>
          <w:szCs w:val="21"/>
        </w:rPr>
        <w:t xml:space="preserve">       </w:t>
      </w:r>
      <w:r>
        <w:rPr>
          <w:rFonts w:hint="eastAsia" w:ascii="宋体" w:hAnsi="宋体"/>
          <w:bCs/>
          <w:color w:val="auto"/>
          <w:szCs w:val="21"/>
        </w:rPr>
        <w:t>单位：元／</w:t>
      </w:r>
      <w:r>
        <w:rPr>
          <w:rFonts w:hint="eastAsia" w:ascii="宋体" w:hAnsi="宋体"/>
          <w:color w:val="auto"/>
          <w:szCs w:val="21"/>
        </w:rPr>
        <w:t>台时(班)</w:t>
      </w:r>
    </w:p>
    <w:p>
      <w:pPr>
        <w:rPr>
          <w:rFonts w:hint="eastAsia" w:ascii="宋体" w:hAnsi="宋体"/>
          <w:bCs/>
          <w:color w:val="auto"/>
          <w:szCs w:val="21"/>
        </w:rPr>
      </w:pPr>
    </w:p>
    <w:tbl>
      <w:tblPr>
        <w:tblStyle w:val="3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1015"/>
        <w:gridCol w:w="1015"/>
        <w:gridCol w:w="1015"/>
        <w:gridCol w:w="1015"/>
        <w:gridCol w:w="1015"/>
        <w:gridCol w:w="1015"/>
        <w:gridCol w:w="1015"/>
        <w:gridCol w:w="1015"/>
        <w:gridCol w:w="1015"/>
        <w:gridCol w:w="1015"/>
        <w:gridCol w:w="1015"/>
        <w:gridCol w:w="1093"/>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vMerge w:val="restart"/>
            <w:noWrap w:val="0"/>
            <w:vAlign w:val="center"/>
          </w:tcPr>
          <w:p>
            <w:pPr>
              <w:jc w:val="center"/>
              <w:rPr>
                <w:rFonts w:ascii="宋体" w:hAnsi="宋体"/>
                <w:bCs/>
                <w:color w:val="auto"/>
                <w:szCs w:val="21"/>
              </w:rPr>
            </w:pPr>
            <w:r>
              <w:rPr>
                <w:rFonts w:hint="eastAsia" w:ascii="宋体" w:hAnsi="宋体"/>
                <w:bCs/>
                <w:color w:val="auto"/>
                <w:szCs w:val="21"/>
              </w:rPr>
              <w:t>序号</w:t>
            </w:r>
          </w:p>
        </w:tc>
        <w:tc>
          <w:tcPr>
            <w:tcW w:w="357" w:type="pct"/>
            <w:vMerge w:val="restart"/>
            <w:noWrap w:val="0"/>
            <w:vAlign w:val="center"/>
          </w:tcPr>
          <w:p>
            <w:pPr>
              <w:jc w:val="center"/>
              <w:rPr>
                <w:rFonts w:hint="eastAsia" w:ascii="宋体" w:hAnsi="宋体"/>
                <w:bCs/>
                <w:color w:val="auto"/>
                <w:szCs w:val="21"/>
              </w:rPr>
            </w:pPr>
            <w:r>
              <w:rPr>
                <w:rFonts w:hint="eastAsia" w:ascii="宋体" w:hAnsi="宋体"/>
                <w:bCs/>
                <w:color w:val="auto"/>
                <w:szCs w:val="21"/>
              </w:rPr>
              <w:t>机械名称</w:t>
            </w:r>
          </w:p>
        </w:tc>
        <w:tc>
          <w:tcPr>
            <w:tcW w:w="357" w:type="pct"/>
            <w:vMerge w:val="restart"/>
            <w:noWrap w:val="0"/>
            <w:vAlign w:val="center"/>
          </w:tcPr>
          <w:p>
            <w:pPr>
              <w:jc w:val="center"/>
              <w:rPr>
                <w:rFonts w:ascii="宋体" w:hAnsi="宋体"/>
                <w:bCs/>
                <w:color w:val="auto"/>
                <w:szCs w:val="21"/>
              </w:rPr>
            </w:pPr>
            <w:r>
              <w:rPr>
                <w:rFonts w:hint="eastAsia" w:ascii="宋体" w:hAnsi="宋体"/>
                <w:bCs/>
                <w:color w:val="auto"/>
                <w:szCs w:val="21"/>
              </w:rPr>
              <w:t>型号规格</w:t>
            </w:r>
          </w:p>
        </w:tc>
        <w:tc>
          <w:tcPr>
            <w:tcW w:w="357" w:type="pct"/>
            <w:vMerge w:val="restart"/>
            <w:noWrap w:val="0"/>
            <w:vAlign w:val="center"/>
          </w:tcPr>
          <w:p>
            <w:pPr>
              <w:jc w:val="center"/>
              <w:rPr>
                <w:rFonts w:hint="eastAsia" w:ascii="宋体" w:hAnsi="宋体"/>
                <w:bCs/>
                <w:color w:val="auto"/>
                <w:szCs w:val="21"/>
              </w:rPr>
            </w:pPr>
            <w:r>
              <w:rPr>
                <w:rFonts w:hint="eastAsia" w:ascii="宋体" w:hAnsi="宋体"/>
                <w:bCs/>
                <w:color w:val="auto"/>
                <w:szCs w:val="21"/>
              </w:rPr>
              <w:t>招标人收取</w:t>
            </w:r>
          </w:p>
          <w:p>
            <w:pPr>
              <w:jc w:val="center"/>
              <w:rPr>
                <w:rFonts w:hint="eastAsia" w:ascii="宋体" w:hAnsi="宋体"/>
                <w:bCs/>
                <w:color w:val="auto"/>
                <w:szCs w:val="21"/>
              </w:rPr>
            </w:pPr>
            <w:r>
              <w:rPr>
                <w:rFonts w:hint="eastAsia" w:ascii="宋体" w:hAnsi="宋体"/>
                <w:bCs/>
                <w:color w:val="auto"/>
                <w:szCs w:val="21"/>
              </w:rPr>
              <w:t>的折旧费</w:t>
            </w:r>
          </w:p>
        </w:tc>
        <w:tc>
          <w:tcPr>
            <w:tcW w:w="3240" w:type="pct"/>
            <w:gridSpan w:val="9"/>
            <w:tcBorders>
              <w:bottom w:val="single" w:color="auto" w:sz="4" w:space="0"/>
            </w:tcBorders>
            <w:noWrap w:val="0"/>
            <w:vAlign w:val="center"/>
          </w:tcPr>
          <w:p>
            <w:pPr>
              <w:jc w:val="center"/>
              <w:rPr>
                <w:rFonts w:ascii="宋体" w:hAnsi="宋体"/>
                <w:color w:val="auto"/>
                <w:szCs w:val="21"/>
              </w:rPr>
            </w:pPr>
            <w:r>
              <w:rPr>
                <w:rFonts w:hint="eastAsia" w:ascii="宋体" w:hAnsi="宋体"/>
                <w:bCs/>
                <w:color w:val="auto"/>
                <w:szCs w:val="21"/>
              </w:rPr>
              <w:t>投标人应计算的费用</w:t>
            </w:r>
          </w:p>
        </w:tc>
        <w:tc>
          <w:tcPr>
            <w:tcW w:w="332" w:type="pct"/>
            <w:vMerge w:val="restart"/>
            <w:noWrap w:val="0"/>
            <w:vAlign w:val="center"/>
          </w:tcPr>
          <w:p>
            <w:pPr>
              <w:jc w:val="center"/>
              <w:rPr>
                <w:rFonts w:ascii="宋体" w:hAnsi="宋体"/>
                <w:color w:val="auto"/>
                <w:szCs w:val="21"/>
              </w:rPr>
            </w:pPr>
            <w:r>
              <w:rPr>
                <w:rFonts w:hint="eastAsia" w:ascii="宋体" w:hAnsi="宋体"/>
                <w:bCs/>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vMerge w:val="continue"/>
            <w:noWrap w:val="0"/>
            <w:vAlign w:val="center"/>
          </w:tcPr>
          <w:p>
            <w:pPr>
              <w:jc w:val="center"/>
              <w:rPr>
                <w:rFonts w:ascii="宋体" w:hAnsi="宋体"/>
                <w:bCs/>
                <w:color w:val="auto"/>
                <w:szCs w:val="21"/>
              </w:rPr>
            </w:pPr>
          </w:p>
        </w:tc>
        <w:tc>
          <w:tcPr>
            <w:tcW w:w="357" w:type="pct"/>
            <w:vMerge w:val="continue"/>
            <w:noWrap w:val="0"/>
            <w:vAlign w:val="top"/>
          </w:tcPr>
          <w:p>
            <w:pPr>
              <w:jc w:val="center"/>
              <w:rPr>
                <w:rFonts w:ascii="宋体" w:hAnsi="宋体"/>
                <w:bCs/>
                <w:color w:val="auto"/>
                <w:szCs w:val="21"/>
              </w:rPr>
            </w:pPr>
          </w:p>
        </w:tc>
        <w:tc>
          <w:tcPr>
            <w:tcW w:w="357" w:type="pct"/>
            <w:vMerge w:val="continue"/>
            <w:noWrap w:val="0"/>
            <w:vAlign w:val="center"/>
          </w:tcPr>
          <w:p>
            <w:pPr>
              <w:jc w:val="center"/>
              <w:rPr>
                <w:rFonts w:ascii="宋体" w:hAnsi="宋体"/>
                <w:bCs/>
                <w:color w:val="auto"/>
                <w:szCs w:val="21"/>
              </w:rPr>
            </w:pPr>
          </w:p>
        </w:tc>
        <w:tc>
          <w:tcPr>
            <w:tcW w:w="357" w:type="pct"/>
            <w:vMerge w:val="continue"/>
            <w:noWrap w:val="0"/>
            <w:vAlign w:val="center"/>
          </w:tcPr>
          <w:p>
            <w:pPr>
              <w:jc w:val="center"/>
              <w:rPr>
                <w:rFonts w:ascii="宋体" w:hAnsi="宋体"/>
                <w:bCs/>
                <w:color w:val="auto"/>
                <w:szCs w:val="21"/>
              </w:rPr>
            </w:pPr>
          </w:p>
        </w:tc>
        <w:tc>
          <w:tcPr>
            <w:tcW w:w="357" w:type="pct"/>
            <w:tcBorders>
              <w:top w:val="single" w:color="auto" w:sz="4" w:space="0"/>
            </w:tcBorders>
            <w:noWrap w:val="0"/>
            <w:vAlign w:val="center"/>
          </w:tcPr>
          <w:p>
            <w:pPr>
              <w:jc w:val="center"/>
              <w:rPr>
                <w:rFonts w:ascii="宋体" w:hAnsi="宋体"/>
                <w:bCs/>
                <w:color w:val="auto"/>
                <w:szCs w:val="21"/>
              </w:rPr>
            </w:pPr>
            <w:r>
              <w:rPr>
                <w:rFonts w:hint="eastAsia" w:ascii="宋体" w:hAnsi="宋体"/>
                <w:bCs/>
                <w:color w:val="auto"/>
                <w:szCs w:val="21"/>
              </w:rPr>
              <w:t>维修费</w:t>
            </w:r>
          </w:p>
        </w:tc>
        <w:tc>
          <w:tcPr>
            <w:tcW w:w="357" w:type="pct"/>
            <w:tcBorders>
              <w:top w:val="single" w:color="auto" w:sz="4" w:space="0"/>
            </w:tcBorders>
            <w:noWrap w:val="0"/>
            <w:vAlign w:val="center"/>
          </w:tcPr>
          <w:p>
            <w:pPr>
              <w:jc w:val="center"/>
              <w:rPr>
                <w:rFonts w:ascii="宋体" w:hAnsi="宋体"/>
                <w:bCs/>
                <w:color w:val="auto"/>
                <w:szCs w:val="21"/>
              </w:rPr>
            </w:pPr>
            <w:r>
              <w:rPr>
                <w:rFonts w:hint="eastAsia" w:ascii="宋体" w:hAnsi="宋体"/>
                <w:bCs/>
                <w:color w:val="auto"/>
                <w:szCs w:val="21"/>
              </w:rPr>
              <w:t>安拆费</w:t>
            </w:r>
          </w:p>
        </w:tc>
        <w:tc>
          <w:tcPr>
            <w:tcW w:w="357" w:type="pct"/>
            <w:noWrap w:val="0"/>
            <w:vAlign w:val="center"/>
          </w:tcPr>
          <w:p>
            <w:pPr>
              <w:jc w:val="center"/>
              <w:rPr>
                <w:rFonts w:hint="eastAsia" w:ascii="宋体" w:hAnsi="宋体"/>
                <w:bCs/>
                <w:color w:val="auto"/>
                <w:szCs w:val="21"/>
              </w:rPr>
            </w:pPr>
            <w:r>
              <w:rPr>
                <w:rFonts w:hint="eastAsia" w:ascii="宋体" w:hAnsi="宋体"/>
                <w:bCs/>
                <w:color w:val="auto"/>
                <w:szCs w:val="21"/>
              </w:rPr>
              <w:t>人工</w:t>
            </w:r>
          </w:p>
        </w:tc>
        <w:tc>
          <w:tcPr>
            <w:tcW w:w="357" w:type="pct"/>
            <w:noWrap w:val="0"/>
            <w:vAlign w:val="center"/>
          </w:tcPr>
          <w:p>
            <w:pPr>
              <w:jc w:val="center"/>
              <w:rPr>
                <w:rFonts w:hint="eastAsia" w:ascii="宋体" w:hAnsi="宋体"/>
                <w:bCs/>
                <w:color w:val="auto"/>
                <w:szCs w:val="21"/>
              </w:rPr>
            </w:pPr>
            <w:r>
              <w:rPr>
                <w:rFonts w:hint="eastAsia" w:ascii="宋体" w:hAnsi="宋体"/>
                <w:bCs/>
                <w:color w:val="auto"/>
                <w:szCs w:val="21"/>
              </w:rPr>
              <w:t>柴油</w:t>
            </w:r>
          </w:p>
        </w:tc>
        <w:tc>
          <w:tcPr>
            <w:tcW w:w="357" w:type="pct"/>
            <w:noWrap w:val="0"/>
            <w:vAlign w:val="center"/>
          </w:tcPr>
          <w:p>
            <w:pPr>
              <w:jc w:val="center"/>
              <w:rPr>
                <w:rFonts w:hint="eastAsia" w:ascii="宋体" w:hAnsi="宋体"/>
                <w:bCs/>
                <w:color w:val="auto"/>
                <w:szCs w:val="21"/>
              </w:rPr>
            </w:pPr>
            <w:r>
              <w:rPr>
                <w:rFonts w:hint="eastAsia" w:ascii="宋体" w:hAnsi="宋体"/>
                <w:bCs/>
                <w:color w:val="auto"/>
                <w:szCs w:val="21"/>
              </w:rPr>
              <w:t>电</w:t>
            </w:r>
          </w:p>
        </w:tc>
        <w:tc>
          <w:tcPr>
            <w:tcW w:w="357" w:type="pct"/>
            <w:noWrap w:val="0"/>
            <w:vAlign w:val="center"/>
          </w:tcPr>
          <w:p>
            <w:pPr>
              <w:jc w:val="center"/>
              <w:rPr>
                <w:rFonts w:hint="eastAsia" w:ascii="宋体" w:hAnsi="宋体"/>
                <w:bCs/>
                <w:color w:val="auto"/>
                <w:szCs w:val="21"/>
              </w:rPr>
            </w:pPr>
          </w:p>
        </w:tc>
        <w:tc>
          <w:tcPr>
            <w:tcW w:w="357" w:type="pct"/>
            <w:noWrap w:val="0"/>
            <w:vAlign w:val="center"/>
          </w:tcPr>
          <w:p>
            <w:pPr>
              <w:jc w:val="center"/>
              <w:rPr>
                <w:rFonts w:hint="eastAsia" w:ascii="宋体" w:hAnsi="宋体"/>
                <w:bCs/>
                <w:color w:val="auto"/>
                <w:szCs w:val="21"/>
              </w:rPr>
            </w:pPr>
          </w:p>
        </w:tc>
        <w:tc>
          <w:tcPr>
            <w:tcW w:w="357" w:type="pct"/>
            <w:noWrap w:val="0"/>
            <w:vAlign w:val="center"/>
          </w:tcPr>
          <w:p>
            <w:pPr>
              <w:jc w:val="center"/>
              <w:rPr>
                <w:rFonts w:hint="eastAsia" w:ascii="宋体" w:hAnsi="宋体"/>
                <w:bCs/>
                <w:color w:val="auto"/>
                <w:szCs w:val="21"/>
              </w:rPr>
            </w:pPr>
          </w:p>
        </w:tc>
        <w:tc>
          <w:tcPr>
            <w:tcW w:w="383" w:type="pct"/>
            <w:noWrap w:val="0"/>
            <w:vAlign w:val="center"/>
          </w:tcPr>
          <w:p>
            <w:pPr>
              <w:jc w:val="center"/>
              <w:rPr>
                <w:rFonts w:hint="eastAsia" w:ascii="宋体" w:hAnsi="宋体"/>
                <w:bCs/>
                <w:color w:val="auto"/>
                <w:szCs w:val="21"/>
              </w:rPr>
            </w:pPr>
            <w:r>
              <w:rPr>
                <w:rFonts w:hint="eastAsia" w:ascii="宋体" w:hAnsi="宋体"/>
                <w:bCs/>
                <w:color w:val="auto"/>
                <w:szCs w:val="21"/>
              </w:rPr>
              <w:t>小计</w:t>
            </w:r>
          </w:p>
        </w:tc>
        <w:tc>
          <w:tcPr>
            <w:tcW w:w="332" w:type="pct"/>
            <w:vMerge w:val="continue"/>
            <w:noWrap w:val="0"/>
            <w:vAlign w:val="top"/>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bCs/>
                <w:color w:val="auto"/>
                <w:szCs w:val="21"/>
              </w:rPr>
            </w:pPr>
          </w:p>
        </w:tc>
        <w:tc>
          <w:tcPr>
            <w:tcW w:w="357" w:type="pct"/>
            <w:noWrap w:val="0"/>
            <w:vAlign w:val="top"/>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bCs/>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357" w:type="pct"/>
            <w:noWrap w:val="0"/>
            <w:vAlign w:val="center"/>
          </w:tcPr>
          <w:p>
            <w:pPr>
              <w:jc w:val="center"/>
              <w:rPr>
                <w:rFonts w:ascii="宋体" w:hAnsi="宋体"/>
                <w:color w:val="auto"/>
                <w:szCs w:val="21"/>
              </w:rPr>
            </w:pPr>
          </w:p>
        </w:tc>
        <w:tc>
          <w:tcPr>
            <w:tcW w:w="357" w:type="pct"/>
            <w:noWrap w:val="0"/>
            <w:vAlign w:val="top"/>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57" w:type="pct"/>
            <w:noWrap w:val="0"/>
            <w:vAlign w:val="center"/>
          </w:tcPr>
          <w:p>
            <w:pPr>
              <w:jc w:val="center"/>
              <w:rPr>
                <w:rFonts w:ascii="宋体" w:hAnsi="宋体"/>
                <w:color w:val="auto"/>
                <w:szCs w:val="21"/>
              </w:rPr>
            </w:pPr>
          </w:p>
        </w:tc>
        <w:tc>
          <w:tcPr>
            <w:tcW w:w="383" w:type="pct"/>
            <w:noWrap w:val="0"/>
            <w:vAlign w:val="center"/>
          </w:tcPr>
          <w:p>
            <w:pPr>
              <w:jc w:val="center"/>
              <w:rPr>
                <w:rFonts w:ascii="宋体" w:hAnsi="宋体"/>
                <w:color w:val="auto"/>
                <w:szCs w:val="21"/>
              </w:rPr>
            </w:pPr>
          </w:p>
        </w:tc>
        <w:tc>
          <w:tcPr>
            <w:tcW w:w="332" w:type="pct"/>
            <w:noWrap w:val="0"/>
            <w:vAlign w:val="center"/>
          </w:tcPr>
          <w:p>
            <w:pPr>
              <w:jc w:val="center"/>
              <w:rPr>
                <w:rFonts w:ascii="宋体" w:hAnsi="宋体"/>
                <w:color w:val="auto"/>
                <w:szCs w:val="21"/>
              </w:rPr>
            </w:pPr>
          </w:p>
        </w:tc>
      </w:tr>
    </w:tbl>
    <w:p>
      <w:pPr>
        <w:spacing w:line="300" w:lineRule="exact"/>
        <w:ind w:firstLine="3500" w:firstLineChars="1250"/>
        <w:rPr>
          <w:rFonts w:hint="eastAsia" w:ascii="宋体" w:hAnsi="宋体"/>
          <w:color w:val="auto"/>
          <w:sz w:val="28"/>
        </w:rPr>
      </w:pPr>
    </w:p>
    <w:p>
      <w:pPr>
        <w:rPr>
          <w:rFonts w:hint="eastAsia"/>
          <w:color w:val="auto"/>
        </w:rPr>
      </w:pPr>
    </w:p>
    <w:p>
      <w:pPr>
        <w:rPr>
          <w:rFonts w:hint="eastAsia"/>
          <w:color w:val="auto"/>
        </w:rPr>
      </w:pPr>
    </w:p>
    <w:p>
      <w:pPr>
        <w:rPr>
          <w:rFonts w:hint="eastAsia"/>
          <w:color w:val="auto"/>
        </w:rPr>
      </w:pPr>
    </w:p>
    <w:p>
      <w:pPr>
        <w:spacing w:after="120" w:afterLines="50"/>
        <w:jc w:val="center"/>
        <w:outlineLvl w:val="2"/>
        <w:rPr>
          <w:rFonts w:hint="eastAsia" w:ascii="宋体" w:hAnsi="宋体"/>
          <w:color w:val="auto"/>
          <w:sz w:val="28"/>
          <w:szCs w:val="28"/>
        </w:rPr>
      </w:pPr>
      <w:r>
        <w:rPr>
          <w:rFonts w:ascii="宋体" w:hAnsi="宋体"/>
          <w:color w:val="auto"/>
          <w:sz w:val="28"/>
          <w:szCs w:val="28"/>
        </w:rPr>
        <w:br w:type="page"/>
      </w:r>
      <w:bookmarkStart w:id="2455" w:name="_Toc26647"/>
      <w:r>
        <w:rPr>
          <w:rFonts w:hint="eastAsia" w:ascii="宋体" w:hAnsi="宋体"/>
          <w:color w:val="auto"/>
          <w:sz w:val="28"/>
          <w:szCs w:val="28"/>
        </w:rPr>
        <w:t>3.12 投标人自备施工机械台时(班)费汇总表</w:t>
      </w:r>
      <w:bookmarkEnd w:id="2455"/>
    </w:p>
    <w:p>
      <w:pPr>
        <w:tabs>
          <w:tab w:val="left" w:pos="-1418"/>
        </w:tabs>
        <w:spacing w:line="300" w:lineRule="exact"/>
        <w:jc w:val="center"/>
        <w:rPr>
          <w:rFonts w:hint="eastAsia" w:ascii="宋体" w:hAnsi="宋体"/>
          <w:color w:val="auto"/>
          <w:sz w:val="32"/>
        </w:rPr>
      </w:pPr>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r>
        <w:rPr>
          <w:rFonts w:hint="eastAsia"/>
          <w:bCs/>
          <w:color w:val="auto"/>
        </w:rPr>
        <w:t>单位：元／</w:t>
      </w:r>
      <w:r>
        <w:rPr>
          <w:rFonts w:hint="eastAsia"/>
          <w:color w:val="auto"/>
        </w:rPr>
        <w:t>台时(班)</w:t>
      </w:r>
    </w:p>
    <w:p>
      <w:pPr>
        <w:rPr>
          <w:bCs/>
          <w:color w:val="auto"/>
        </w:rPr>
      </w:pP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2007"/>
        <w:gridCol w:w="1063"/>
        <w:gridCol w:w="846"/>
        <w:gridCol w:w="846"/>
        <w:gridCol w:w="846"/>
        <w:gridCol w:w="846"/>
        <w:gridCol w:w="846"/>
        <w:gridCol w:w="846"/>
        <w:gridCol w:w="846"/>
        <w:gridCol w:w="846"/>
        <w:gridCol w:w="846"/>
        <w:gridCol w:w="846"/>
        <w:gridCol w:w="846"/>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vMerge w:val="restart"/>
            <w:noWrap w:val="0"/>
            <w:vAlign w:val="center"/>
          </w:tcPr>
          <w:p>
            <w:pPr>
              <w:jc w:val="center"/>
              <w:rPr>
                <w:rFonts w:ascii="宋体" w:hAnsi="宋体"/>
                <w:bCs/>
                <w:color w:val="auto"/>
                <w:szCs w:val="21"/>
              </w:rPr>
            </w:pPr>
            <w:r>
              <w:rPr>
                <w:rFonts w:hint="eastAsia" w:ascii="宋体" w:hAnsi="宋体"/>
                <w:bCs/>
                <w:color w:val="auto"/>
                <w:szCs w:val="21"/>
              </w:rPr>
              <w:t>序号</w:t>
            </w:r>
          </w:p>
        </w:tc>
        <w:tc>
          <w:tcPr>
            <w:tcW w:w="2007" w:type="dxa"/>
            <w:vMerge w:val="restart"/>
            <w:noWrap w:val="0"/>
            <w:vAlign w:val="center"/>
          </w:tcPr>
          <w:p>
            <w:pPr>
              <w:jc w:val="center"/>
              <w:rPr>
                <w:rFonts w:hint="eastAsia" w:ascii="宋体" w:hAnsi="宋体"/>
                <w:bCs/>
                <w:color w:val="auto"/>
                <w:szCs w:val="21"/>
              </w:rPr>
            </w:pPr>
            <w:r>
              <w:rPr>
                <w:rFonts w:hint="eastAsia" w:ascii="宋体" w:hAnsi="宋体"/>
                <w:bCs/>
                <w:color w:val="auto"/>
                <w:szCs w:val="21"/>
              </w:rPr>
              <w:t>机械名称</w:t>
            </w:r>
          </w:p>
        </w:tc>
        <w:tc>
          <w:tcPr>
            <w:tcW w:w="1063" w:type="dxa"/>
            <w:vMerge w:val="restart"/>
            <w:noWrap w:val="0"/>
            <w:vAlign w:val="center"/>
          </w:tcPr>
          <w:p>
            <w:pPr>
              <w:jc w:val="center"/>
              <w:rPr>
                <w:rFonts w:ascii="宋体" w:hAnsi="宋体"/>
                <w:bCs/>
                <w:color w:val="auto"/>
                <w:szCs w:val="21"/>
              </w:rPr>
            </w:pPr>
            <w:r>
              <w:rPr>
                <w:rFonts w:hint="eastAsia" w:ascii="宋体" w:hAnsi="宋体"/>
                <w:bCs/>
                <w:color w:val="auto"/>
                <w:szCs w:val="21"/>
              </w:rPr>
              <w:t>规格型号</w:t>
            </w:r>
          </w:p>
        </w:tc>
        <w:tc>
          <w:tcPr>
            <w:tcW w:w="3384" w:type="dxa"/>
            <w:gridSpan w:val="4"/>
            <w:noWrap w:val="0"/>
            <w:vAlign w:val="center"/>
          </w:tcPr>
          <w:p>
            <w:pPr>
              <w:jc w:val="center"/>
              <w:rPr>
                <w:rFonts w:hint="eastAsia" w:ascii="宋体" w:hAnsi="宋体"/>
                <w:bCs/>
                <w:color w:val="auto"/>
                <w:szCs w:val="21"/>
              </w:rPr>
            </w:pPr>
            <w:r>
              <w:rPr>
                <w:rFonts w:hint="eastAsia" w:ascii="宋体" w:hAnsi="宋体"/>
                <w:bCs/>
                <w:color w:val="auto"/>
                <w:szCs w:val="21"/>
              </w:rPr>
              <w:t>一类费用</w:t>
            </w:r>
          </w:p>
        </w:tc>
        <w:tc>
          <w:tcPr>
            <w:tcW w:w="5922" w:type="dxa"/>
            <w:gridSpan w:val="7"/>
            <w:noWrap w:val="0"/>
            <w:vAlign w:val="center"/>
          </w:tcPr>
          <w:p>
            <w:pPr>
              <w:jc w:val="center"/>
              <w:rPr>
                <w:rFonts w:ascii="宋体" w:hAnsi="宋体"/>
                <w:color w:val="auto"/>
                <w:szCs w:val="21"/>
              </w:rPr>
            </w:pPr>
            <w:r>
              <w:rPr>
                <w:rFonts w:hint="eastAsia" w:ascii="宋体" w:hAnsi="宋体"/>
                <w:bCs/>
                <w:color w:val="auto"/>
                <w:szCs w:val="21"/>
              </w:rPr>
              <w:t>二类费用</w:t>
            </w:r>
          </w:p>
        </w:tc>
        <w:tc>
          <w:tcPr>
            <w:tcW w:w="989" w:type="dxa"/>
            <w:vMerge w:val="restart"/>
            <w:noWrap w:val="0"/>
            <w:vAlign w:val="center"/>
          </w:tcPr>
          <w:p>
            <w:pPr>
              <w:jc w:val="center"/>
              <w:rPr>
                <w:rFonts w:ascii="宋体" w:hAnsi="宋体"/>
                <w:color w:val="auto"/>
                <w:szCs w:val="21"/>
              </w:rPr>
            </w:pPr>
            <w:r>
              <w:rPr>
                <w:rFonts w:hint="eastAsia" w:ascii="宋体" w:hAnsi="宋体"/>
                <w:bCs/>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vMerge w:val="continue"/>
            <w:noWrap w:val="0"/>
            <w:vAlign w:val="center"/>
          </w:tcPr>
          <w:p>
            <w:pPr>
              <w:jc w:val="center"/>
              <w:rPr>
                <w:rFonts w:ascii="宋体" w:hAnsi="宋体"/>
                <w:bCs/>
                <w:color w:val="auto"/>
                <w:szCs w:val="21"/>
              </w:rPr>
            </w:pPr>
          </w:p>
        </w:tc>
        <w:tc>
          <w:tcPr>
            <w:tcW w:w="2007" w:type="dxa"/>
            <w:vMerge w:val="continue"/>
            <w:noWrap w:val="0"/>
            <w:vAlign w:val="top"/>
          </w:tcPr>
          <w:p>
            <w:pPr>
              <w:jc w:val="center"/>
              <w:rPr>
                <w:rFonts w:ascii="宋体" w:hAnsi="宋体"/>
                <w:bCs/>
                <w:color w:val="auto"/>
                <w:szCs w:val="21"/>
              </w:rPr>
            </w:pPr>
          </w:p>
        </w:tc>
        <w:tc>
          <w:tcPr>
            <w:tcW w:w="1063" w:type="dxa"/>
            <w:vMerge w:val="continue"/>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r>
              <w:rPr>
                <w:rFonts w:hint="eastAsia" w:ascii="宋体" w:hAnsi="宋体"/>
                <w:bCs/>
                <w:color w:val="auto"/>
                <w:szCs w:val="21"/>
              </w:rPr>
              <w:t>折旧费</w:t>
            </w:r>
          </w:p>
        </w:tc>
        <w:tc>
          <w:tcPr>
            <w:tcW w:w="846" w:type="dxa"/>
            <w:noWrap w:val="0"/>
            <w:vAlign w:val="center"/>
          </w:tcPr>
          <w:p>
            <w:pPr>
              <w:jc w:val="center"/>
              <w:rPr>
                <w:rFonts w:ascii="宋体" w:hAnsi="宋体"/>
                <w:bCs/>
                <w:color w:val="auto"/>
                <w:szCs w:val="21"/>
              </w:rPr>
            </w:pPr>
            <w:r>
              <w:rPr>
                <w:rFonts w:hint="eastAsia" w:ascii="宋体" w:hAnsi="宋体"/>
                <w:bCs/>
                <w:color w:val="auto"/>
                <w:szCs w:val="21"/>
              </w:rPr>
              <w:t>维修费</w:t>
            </w:r>
          </w:p>
        </w:tc>
        <w:tc>
          <w:tcPr>
            <w:tcW w:w="846" w:type="dxa"/>
            <w:noWrap w:val="0"/>
            <w:vAlign w:val="center"/>
          </w:tcPr>
          <w:p>
            <w:pPr>
              <w:jc w:val="center"/>
              <w:rPr>
                <w:rFonts w:ascii="宋体" w:hAnsi="宋体"/>
                <w:bCs/>
                <w:color w:val="auto"/>
                <w:szCs w:val="21"/>
              </w:rPr>
            </w:pPr>
            <w:r>
              <w:rPr>
                <w:rFonts w:hint="eastAsia" w:ascii="宋体" w:hAnsi="宋体"/>
                <w:bCs/>
                <w:color w:val="auto"/>
                <w:szCs w:val="21"/>
              </w:rPr>
              <w:t>安拆费</w:t>
            </w:r>
          </w:p>
        </w:tc>
        <w:tc>
          <w:tcPr>
            <w:tcW w:w="846" w:type="dxa"/>
            <w:noWrap w:val="0"/>
            <w:vAlign w:val="center"/>
          </w:tcPr>
          <w:p>
            <w:pPr>
              <w:jc w:val="center"/>
              <w:rPr>
                <w:rFonts w:ascii="宋体" w:hAnsi="宋体"/>
                <w:bCs/>
                <w:color w:val="auto"/>
                <w:szCs w:val="21"/>
              </w:rPr>
            </w:pPr>
            <w:r>
              <w:rPr>
                <w:rFonts w:hint="eastAsia" w:ascii="宋体" w:hAnsi="宋体"/>
                <w:bCs/>
                <w:color w:val="auto"/>
                <w:szCs w:val="21"/>
              </w:rPr>
              <w:t>小计</w:t>
            </w:r>
          </w:p>
        </w:tc>
        <w:tc>
          <w:tcPr>
            <w:tcW w:w="846" w:type="dxa"/>
            <w:noWrap w:val="0"/>
            <w:vAlign w:val="center"/>
          </w:tcPr>
          <w:p>
            <w:pPr>
              <w:jc w:val="center"/>
              <w:rPr>
                <w:rFonts w:hint="eastAsia" w:ascii="宋体" w:hAnsi="宋体"/>
                <w:bCs/>
                <w:color w:val="auto"/>
                <w:szCs w:val="21"/>
              </w:rPr>
            </w:pPr>
            <w:r>
              <w:rPr>
                <w:rFonts w:hint="eastAsia" w:ascii="宋体" w:hAnsi="宋体"/>
                <w:bCs/>
                <w:color w:val="auto"/>
                <w:szCs w:val="21"/>
              </w:rPr>
              <w:t>人工</w:t>
            </w:r>
          </w:p>
        </w:tc>
        <w:tc>
          <w:tcPr>
            <w:tcW w:w="846" w:type="dxa"/>
            <w:noWrap w:val="0"/>
            <w:vAlign w:val="center"/>
          </w:tcPr>
          <w:p>
            <w:pPr>
              <w:jc w:val="center"/>
              <w:rPr>
                <w:rFonts w:hint="eastAsia" w:ascii="宋体" w:hAnsi="宋体"/>
                <w:bCs/>
                <w:color w:val="auto"/>
                <w:szCs w:val="21"/>
              </w:rPr>
            </w:pPr>
            <w:r>
              <w:rPr>
                <w:rFonts w:hint="eastAsia" w:ascii="宋体" w:hAnsi="宋体"/>
                <w:bCs/>
                <w:color w:val="auto"/>
                <w:szCs w:val="21"/>
              </w:rPr>
              <w:t>柴油</w:t>
            </w:r>
          </w:p>
        </w:tc>
        <w:tc>
          <w:tcPr>
            <w:tcW w:w="846" w:type="dxa"/>
            <w:noWrap w:val="0"/>
            <w:vAlign w:val="center"/>
          </w:tcPr>
          <w:p>
            <w:pPr>
              <w:jc w:val="center"/>
              <w:rPr>
                <w:rFonts w:hint="eastAsia" w:ascii="宋体" w:hAnsi="宋体"/>
                <w:bCs/>
                <w:color w:val="auto"/>
                <w:szCs w:val="21"/>
              </w:rPr>
            </w:pPr>
            <w:r>
              <w:rPr>
                <w:rFonts w:hint="eastAsia" w:ascii="宋体" w:hAnsi="宋体"/>
                <w:bCs/>
                <w:color w:val="auto"/>
                <w:szCs w:val="21"/>
              </w:rPr>
              <w:t>电</w:t>
            </w:r>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p>
        </w:tc>
        <w:tc>
          <w:tcPr>
            <w:tcW w:w="846" w:type="dxa"/>
            <w:noWrap w:val="0"/>
            <w:vAlign w:val="center"/>
          </w:tcPr>
          <w:p>
            <w:pPr>
              <w:jc w:val="center"/>
              <w:rPr>
                <w:rFonts w:hint="eastAsia" w:ascii="宋体" w:hAnsi="宋体"/>
                <w:bCs/>
                <w:color w:val="auto"/>
                <w:szCs w:val="21"/>
              </w:rPr>
            </w:pPr>
            <w:r>
              <w:rPr>
                <w:rFonts w:hint="eastAsia" w:ascii="宋体" w:hAnsi="宋体"/>
                <w:bCs/>
                <w:color w:val="auto"/>
                <w:szCs w:val="21"/>
              </w:rPr>
              <w:t>小计</w:t>
            </w:r>
          </w:p>
        </w:tc>
        <w:tc>
          <w:tcPr>
            <w:tcW w:w="989" w:type="dxa"/>
            <w:vMerge w:val="continue"/>
            <w:noWrap w:val="0"/>
            <w:vAlign w:val="top"/>
          </w:tcPr>
          <w:p>
            <w:pP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bCs/>
                <w:color w:val="auto"/>
                <w:szCs w:val="21"/>
              </w:rPr>
            </w:pPr>
          </w:p>
        </w:tc>
        <w:tc>
          <w:tcPr>
            <w:tcW w:w="2007" w:type="dxa"/>
            <w:noWrap w:val="0"/>
            <w:vAlign w:val="top"/>
          </w:tcPr>
          <w:p>
            <w:pPr>
              <w:jc w:val="center"/>
              <w:rPr>
                <w:rFonts w:ascii="宋体" w:hAnsi="宋体"/>
                <w:bCs/>
                <w:color w:val="auto"/>
                <w:szCs w:val="21"/>
              </w:rPr>
            </w:pPr>
          </w:p>
        </w:tc>
        <w:tc>
          <w:tcPr>
            <w:tcW w:w="1063"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bCs/>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846" w:type="dxa"/>
            <w:noWrap w:val="0"/>
            <w:vAlign w:val="center"/>
          </w:tcPr>
          <w:p>
            <w:pPr>
              <w:jc w:val="center"/>
              <w:rPr>
                <w:rFonts w:ascii="宋体" w:hAnsi="宋体"/>
                <w:color w:val="auto"/>
                <w:szCs w:val="21"/>
              </w:rPr>
            </w:pPr>
          </w:p>
        </w:tc>
        <w:tc>
          <w:tcPr>
            <w:tcW w:w="989" w:type="dxa"/>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8" w:type="dxa"/>
            <w:noWrap w:val="0"/>
            <w:vAlign w:val="center"/>
          </w:tcPr>
          <w:p>
            <w:pPr>
              <w:jc w:val="center"/>
              <w:rPr>
                <w:rFonts w:ascii="宋体" w:hAnsi="宋体"/>
                <w:color w:val="auto"/>
                <w:sz w:val="24"/>
              </w:rPr>
            </w:pPr>
          </w:p>
        </w:tc>
        <w:tc>
          <w:tcPr>
            <w:tcW w:w="2007" w:type="dxa"/>
            <w:noWrap w:val="0"/>
            <w:vAlign w:val="top"/>
          </w:tcPr>
          <w:p>
            <w:pPr>
              <w:jc w:val="center"/>
              <w:rPr>
                <w:rFonts w:ascii="宋体" w:hAnsi="宋体"/>
                <w:color w:val="auto"/>
                <w:sz w:val="24"/>
              </w:rPr>
            </w:pPr>
          </w:p>
        </w:tc>
        <w:tc>
          <w:tcPr>
            <w:tcW w:w="1063"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846" w:type="dxa"/>
            <w:noWrap w:val="0"/>
            <w:vAlign w:val="center"/>
          </w:tcPr>
          <w:p>
            <w:pPr>
              <w:jc w:val="center"/>
              <w:rPr>
                <w:rFonts w:ascii="宋体" w:hAnsi="宋体"/>
                <w:color w:val="auto"/>
                <w:sz w:val="24"/>
              </w:rPr>
            </w:pPr>
          </w:p>
        </w:tc>
        <w:tc>
          <w:tcPr>
            <w:tcW w:w="989" w:type="dxa"/>
            <w:noWrap w:val="0"/>
            <w:vAlign w:val="center"/>
          </w:tcPr>
          <w:p>
            <w:pPr>
              <w:jc w:val="center"/>
              <w:rPr>
                <w:rFonts w:ascii="宋体" w:hAnsi="宋体"/>
                <w:color w:val="auto"/>
                <w:sz w:val="24"/>
              </w:rPr>
            </w:pPr>
          </w:p>
        </w:tc>
      </w:tr>
    </w:tbl>
    <w:p>
      <w:pPr>
        <w:spacing w:line="300" w:lineRule="exact"/>
        <w:ind w:firstLine="7840" w:firstLineChars="2800"/>
        <w:rPr>
          <w:rFonts w:hint="eastAsia" w:ascii="宋体" w:hAnsi="宋体"/>
          <w:color w:val="auto"/>
          <w:sz w:val="28"/>
        </w:rPr>
      </w:pPr>
    </w:p>
    <w:p>
      <w:pPr>
        <w:spacing w:line="420" w:lineRule="exact"/>
        <w:ind w:firstLine="9156"/>
        <w:rPr>
          <w:rFonts w:ascii="宋体" w:hAnsi="宋体"/>
          <w:color w:val="auto"/>
          <w:sz w:val="24"/>
        </w:rPr>
        <w:sectPr>
          <w:pgSz w:w="16838" w:h="11906" w:orient="landscape"/>
          <w:pgMar w:top="1418" w:right="1418" w:bottom="1469" w:left="1418" w:header="851" w:footer="992" w:gutter="0"/>
          <w:pgNumType w:fmt="decimal"/>
          <w:cols w:space="720" w:num="1"/>
          <w:docGrid w:linePitch="312" w:charSpace="0"/>
        </w:sectPr>
      </w:pPr>
    </w:p>
    <w:p>
      <w:pPr>
        <w:spacing w:after="120" w:afterLines="50"/>
        <w:jc w:val="center"/>
        <w:outlineLvl w:val="2"/>
        <w:rPr>
          <w:rFonts w:ascii="宋体" w:hAnsi="宋体"/>
          <w:color w:val="auto"/>
          <w:sz w:val="28"/>
          <w:szCs w:val="28"/>
        </w:rPr>
      </w:pPr>
      <w:bookmarkStart w:id="2456" w:name="_Toc7785"/>
      <w:r>
        <w:rPr>
          <w:rFonts w:hint="eastAsia" w:ascii="宋体" w:hAnsi="宋体"/>
          <w:color w:val="auto"/>
          <w:sz w:val="28"/>
          <w:szCs w:val="28"/>
        </w:rPr>
        <w:t>3.13 总价项目分解表</w:t>
      </w:r>
      <w:bookmarkEnd w:id="2456"/>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p>
      <w:pPr>
        <w:rPr>
          <w:rFonts w:hint="eastAsia"/>
          <w:color w:val="auto"/>
        </w:rPr>
      </w:pPr>
    </w:p>
    <w:tbl>
      <w:tblPr>
        <w:tblStyle w:val="38"/>
        <w:tblW w:w="0" w:type="auto"/>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1361"/>
        <w:gridCol w:w="1332"/>
        <w:gridCol w:w="1276"/>
        <w:gridCol w:w="992"/>
        <w:gridCol w:w="1134"/>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800" w:type="dxa"/>
            <w:noWrap w:val="0"/>
            <w:vAlign w:val="center"/>
          </w:tcPr>
          <w:p>
            <w:pPr>
              <w:spacing w:line="0" w:lineRule="atLeast"/>
              <w:ind w:left="91"/>
              <w:jc w:val="center"/>
              <w:rPr>
                <w:rFonts w:hint="eastAsia"/>
                <w:color w:val="auto"/>
              </w:rPr>
            </w:pPr>
            <w:r>
              <w:rPr>
                <w:rFonts w:hint="eastAsia"/>
                <w:color w:val="auto"/>
              </w:rPr>
              <w:t>序号</w:t>
            </w:r>
          </w:p>
        </w:tc>
        <w:tc>
          <w:tcPr>
            <w:tcW w:w="1361" w:type="dxa"/>
            <w:noWrap w:val="0"/>
            <w:vAlign w:val="center"/>
          </w:tcPr>
          <w:p>
            <w:pPr>
              <w:spacing w:line="0" w:lineRule="atLeast"/>
              <w:ind w:left="91"/>
              <w:jc w:val="center"/>
              <w:rPr>
                <w:rFonts w:hint="eastAsia"/>
                <w:color w:val="auto"/>
              </w:rPr>
            </w:pPr>
            <w:r>
              <w:rPr>
                <w:rFonts w:hint="eastAsia"/>
                <w:color w:val="auto"/>
              </w:rPr>
              <w:t>项目名称</w:t>
            </w:r>
          </w:p>
        </w:tc>
        <w:tc>
          <w:tcPr>
            <w:tcW w:w="1332" w:type="dxa"/>
            <w:noWrap w:val="0"/>
            <w:vAlign w:val="center"/>
          </w:tcPr>
          <w:p>
            <w:pPr>
              <w:spacing w:line="0" w:lineRule="atLeast"/>
              <w:ind w:left="91"/>
              <w:jc w:val="center"/>
              <w:rPr>
                <w:rFonts w:hint="eastAsia"/>
                <w:color w:val="auto"/>
              </w:rPr>
            </w:pPr>
            <w:r>
              <w:rPr>
                <w:rFonts w:hint="eastAsia"/>
                <w:color w:val="auto"/>
              </w:rPr>
              <w:t>计量单位</w:t>
            </w:r>
          </w:p>
        </w:tc>
        <w:tc>
          <w:tcPr>
            <w:tcW w:w="1276" w:type="dxa"/>
            <w:noWrap w:val="0"/>
            <w:vAlign w:val="center"/>
          </w:tcPr>
          <w:p>
            <w:pPr>
              <w:spacing w:line="0" w:lineRule="atLeast"/>
              <w:ind w:left="91"/>
              <w:jc w:val="center"/>
              <w:rPr>
                <w:rFonts w:hint="eastAsia"/>
                <w:color w:val="auto"/>
              </w:rPr>
            </w:pPr>
            <w:r>
              <w:rPr>
                <w:rFonts w:hint="eastAsia"/>
                <w:color w:val="auto"/>
              </w:rPr>
              <w:t>工程数量</w:t>
            </w:r>
          </w:p>
        </w:tc>
        <w:tc>
          <w:tcPr>
            <w:tcW w:w="992" w:type="dxa"/>
            <w:noWrap w:val="0"/>
            <w:vAlign w:val="center"/>
          </w:tcPr>
          <w:p>
            <w:pPr>
              <w:spacing w:line="0" w:lineRule="atLeast"/>
              <w:ind w:left="91"/>
              <w:jc w:val="center"/>
              <w:rPr>
                <w:rFonts w:hint="eastAsia"/>
                <w:color w:val="auto"/>
              </w:rPr>
            </w:pPr>
            <w:r>
              <w:rPr>
                <w:rFonts w:hint="eastAsia"/>
                <w:color w:val="auto"/>
              </w:rPr>
              <w:t>单  价（元）</w:t>
            </w:r>
          </w:p>
        </w:tc>
        <w:tc>
          <w:tcPr>
            <w:tcW w:w="1134" w:type="dxa"/>
            <w:noWrap w:val="0"/>
            <w:vAlign w:val="center"/>
          </w:tcPr>
          <w:p>
            <w:pPr>
              <w:spacing w:line="0" w:lineRule="atLeast"/>
              <w:ind w:left="91"/>
              <w:jc w:val="center"/>
              <w:rPr>
                <w:rFonts w:hint="eastAsia"/>
                <w:color w:val="auto"/>
              </w:rPr>
            </w:pPr>
            <w:r>
              <w:rPr>
                <w:rFonts w:hint="eastAsia"/>
                <w:color w:val="auto"/>
              </w:rPr>
              <w:t>合  价（元）</w:t>
            </w:r>
          </w:p>
        </w:tc>
        <w:tc>
          <w:tcPr>
            <w:tcW w:w="2226" w:type="dxa"/>
            <w:noWrap w:val="0"/>
            <w:vAlign w:val="center"/>
          </w:tcPr>
          <w:p>
            <w:pPr>
              <w:spacing w:line="0" w:lineRule="atLeast"/>
              <w:ind w:left="91"/>
              <w:jc w:val="center"/>
              <w:rPr>
                <w:rFonts w:hint="eastAsia"/>
                <w:color w:val="auto"/>
              </w:rPr>
            </w:pPr>
            <w:r>
              <w:rPr>
                <w:rFonts w:hint="eastAsia"/>
                <w:color w:val="auto"/>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00" w:type="dxa"/>
            <w:noWrap w:val="0"/>
            <w:vAlign w:val="top"/>
          </w:tcPr>
          <w:p>
            <w:pPr>
              <w:ind w:left="91"/>
              <w:rPr>
                <w:rFonts w:hint="eastAsia"/>
                <w:color w:val="auto"/>
              </w:rPr>
            </w:pPr>
          </w:p>
        </w:tc>
        <w:tc>
          <w:tcPr>
            <w:tcW w:w="1361" w:type="dxa"/>
            <w:noWrap w:val="0"/>
            <w:vAlign w:val="top"/>
          </w:tcPr>
          <w:p>
            <w:pPr>
              <w:ind w:left="91"/>
              <w:rPr>
                <w:rFonts w:hint="eastAsia"/>
                <w:color w:val="auto"/>
              </w:rPr>
            </w:pPr>
          </w:p>
        </w:tc>
        <w:tc>
          <w:tcPr>
            <w:tcW w:w="1332" w:type="dxa"/>
            <w:noWrap w:val="0"/>
            <w:vAlign w:val="top"/>
          </w:tcPr>
          <w:p>
            <w:pPr>
              <w:ind w:left="91"/>
              <w:rPr>
                <w:rFonts w:hint="eastAsia"/>
                <w:color w:val="auto"/>
              </w:rPr>
            </w:pPr>
          </w:p>
        </w:tc>
        <w:tc>
          <w:tcPr>
            <w:tcW w:w="1276" w:type="dxa"/>
            <w:noWrap w:val="0"/>
            <w:vAlign w:val="top"/>
          </w:tcPr>
          <w:p>
            <w:pPr>
              <w:ind w:left="91"/>
              <w:rPr>
                <w:rFonts w:hint="eastAsia"/>
                <w:color w:val="auto"/>
              </w:rPr>
            </w:pPr>
          </w:p>
        </w:tc>
        <w:tc>
          <w:tcPr>
            <w:tcW w:w="992" w:type="dxa"/>
            <w:noWrap w:val="0"/>
            <w:vAlign w:val="top"/>
          </w:tcPr>
          <w:p>
            <w:pPr>
              <w:ind w:left="91"/>
              <w:rPr>
                <w:rFonts w:hint="eastAsia"/>
                <w:color w:val="auto"/>
              </w:rPr>
            </w:pPr>
          </w:p>
        </w:tc>
        <w:tc>
          <w:tcPr>
            <w:tcW w:w="1134" w:type="dxa"/>
            <w:noWrap w:val="0"/>
            <w:vAlign w:val="top"/>
          </w:tcPr>
          <w:p>
            <w:pPr>
              <w:ind w:left="91"/>
              <w:rPr>
                <w:rFonts w:hint="eastAsia"/>
                <w:color w:val="auto"/>
              </w:rPr>
            </w:pPr>
          </w:p>
        </w:tc>
        <w:tc>
          <w:tcPr>
            <w:tcW w:w="2226" w:type="dxa"/>
            <w:noWrap w:val="0"/>
            <w:vAlign w:val="top"/>
          </w:tcPr>
          <w:p>
            <w:pPr>
              <w:ind w:left="91"/>
              <w:rPr>
                <w:rFonts w:hint="eastAsia"/>
                <w:color w:val="auto"/>
              </w:rPr>
            </w:pPr>
          </w:p>
        </w:tc>
      </w:tr>
    </w:tbl>
    <w:p>
      <w:pPr>
        <w:rPr>
          <w:rFonts w:hint="eastAsia"/>
          <w:color w:val="auto"/>
        </w:rPr>
      </w:pPr>
    </w:p>
    <w:p>
      <w:pPr>
        <w:spacing w:after="120" w:afterLines="50"/>
        <w:jc w:val="center"/>
        <w:outlineLvl w:val="2"/>
        <w:rPr>
          <w:rFonts w:hint="eastAsia" w:ascii="宋体" w:hAnsi="宋体"/>
          <w:color w:val="auto"/>
          <w:sz w:val="32"/>
          <w:szCs w:val="32"/>
        </w:rPr>
      </w:pPr>
      <w:r>
        <w:rPr>
          <w:rFonts w:ascii="宋体" w:hAnsi="宋体"/>
          <w:color w:val="auto"/>
          <w:sz w:val="32"/>
          <w:szCs w:val="32"/>
        </w:rPr>
        <w:br w:type="page"/>
      </w:r>
      <w:bookmarkStart w:id="2457" w:name="_Toc3798"/>
      <w:r>
        <w:rPr>
          <w:rFonts w:hint="eastAsia" w:ascii="宋体" w:hAnsi="宋体"/>
          <w:color w:val="auto"/>
          <w:sz w:val="32"/>
          <w:szCs w:val="32"/>
        </w:rPr>
        <w:t>3.14 工程</w:t>
      </w:r>
      <w:r>
        <w:rPr>
          <w:rFonts w:hint="eastAsia" w:ascii="宋体" w:hAnsi="宋体"/>
          <w:color w:val="auto"/>
          <w:sz w:val="28"/>
          <w:szCs w:val="28"/>
        </w:rPr>
        <w:t>单价</w:t>
      </w:r>
      <w:r>
        <w:rPr>
          <w:rFonts w:hint="eastAsia" w:ascii="宋体" w:hAnsi="宋体"/>
          <w:color w:val="auto"/>
          <w:sz w:val="32"/>
          <w:szCs w:val="32"/>
        </w:rPr>
        <w:t>计算表</w:t>
      </w:r>
      <w:bookmarkEnd w:id="2457"/>
    </w:p>
    <w:p>
      <w:pPr>
        <w:spacing w:before="120" w:beforeLines="50" w:after="120" w:afterLines="50" w:line="540" w:lineRule="exact"/>
        <w:jc w:val="center"/>
        <w:rPr>
          <w:rFonts w:hint="eastAsia" w:ascii="宋体" w:hAnsi="宋体"/>
          <w:color w:val="auto"/>
          <w:sz w:val="28"/>
          <w:szCs w:val="28"/>
        </w:rPr>
      </w:pPr>
      <w:r>
        <w:rPr>
          <w:rFonts w:hint="eastAsia" w:ascii="宋体" w:hAnsi="宋体"/>
          <w:color w:val="auto"/>
          <w:sz w:val="28"/>
          <w:szCs w:val="28"/>
        </w:rPr>
        <w:t>建筑工程单价计算表</w:t>
      </w:r>
    </w:p>
    <w:p>
      <w:pPr>
        <w:jc w:val="center"/>
        <w:rPr>
          <w:rFonts w:hint="eastAsia" w:ascii="宋体" w:hAnsi="宋体"/>
          <w:color w:val="auto"/>
          <w:sz w:val="28"/>
          <w:szCs w:val="28"/>
        </w:rPr>
      </w:pPr>
      <w:r>
        <w:rPr>
          <w:rFonts w:hint="eastAsia" w:ascii="宋体" w:hAnsi="宋体"/>
          <w:color w:val="auto"/>
          <w:sz w:val="28"/>
          <w:szCs w:val="28"/>
          <w:u w:val="single"/>
        </w:rPr>
        <w:t xml:space="preserve">            </w:t>
      </w:r>
      <w:r>
        <w:rPr>
          <w:rFonts w:hint="eastAsia" w:ascii="宋体" w:hAnsi="宋体"/>
          <w:color w:val="auto"/>
          <w:sz w:val="28"/>
          <w:szCs w:val="28"/>
        </w:rPr>
        <w:t>工程</w:t>
      </w:r>
    </w:p>
    <w:p>
      <w:pPr>
        <w:rPr>
          <w:rFonts w:hint="eastAsia" w:ascii="宋体" w:hAnsi="宋体"/>
          <w:color w:val="auto"/>
          <w:szCs w:val="21"/>
        </w:rPr>
      </w:pPr>
      <w:r>
        <w:rPr>
          <w:rFonts w:hint="eastAsia" w:ascii="宋体" w:hAnsi="宋体"/>
          <w:color w:val="auto"/>
          <w:szCs w:val="21"/>
        </w:rPr>
        <w:t>单价编号:                            定额单位：                           单价：</w:t>
      </w:r>
    </w:p>
    <w:tbl>
      <w:tblPr>
        <w:tblStyle w:val="38"/>
        <w:tblW w:w="9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340"/>
        <w:gridCol w:w="1260"/>
        <w:gridCol w:w="1080"/>
        <w:gridCol w:w="1080"/>
        <w:gridCol w:w="1459"/>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7" w:type="dxa"/>
            <w:gridSpan w:val="7"/>
            <w:noWrap w:val="0"/>
            <w:vAlign w:val="center"/>
          </w:tcPr>
          <w:p>
            <w:pPr>
              <w:rPr>
                <w:rFonts w:hint="eastAsia" w:ascii="宋体" w:hAnsi="宋体"/>
                <w:color w:val="auto"/>
                <w:szCs w:val="21"/>
              </w:rPr>
            </w:pPr>
            <w:r>
              <w:rPr>
                <w:rFonts w:hint="eastAsia" w:ascii="宋体" w:hAnsi="宋体"/>
                <w:color w:val="auto"/>
                <w:szCs w:val="21"/>
              </w:rPr>
              <w:t>施工方法：</w:t>
            </w:r>
          </w:p>
          <w:p>
            <w:pPr>
              <w:rPr>
                <w:rFonts w:hint="eastAsia" w:ascii="宋体" w:hAnsi="宋体"/>
                <w:color w:val="auto"/>
                <w:szCs w:val="21"/>
              </w:rPr>
            </w:pPr>
          </w:p>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2340" w:type="dxa"/>
            <w:noWrap w:val="0"/>
            <w:vAlign w:val="center"/>
          </w:tcPr>
          <w:p>
            <w:pPr>
              <w:jc w:val="center"/>
              <w:rPr>
                <w:rFonts w:hint="eastAsia" w:ascii="宋体" w:hAnsi="宋体"/>
                <w:color w:val="auto"/>
                <w:szCs w:val="21"/>
              </w:rPr>
            </w:pPr>
            <w:r>
              <w:rPr>
                <w:rFonts w:hint="eastAsia" w:ascii="宋体" w:hAnsi="宋体"/>
                <w:color w:val="auto"/>
                <w:szCs w:val="21"/>
              </w:rPr>
              <w:t>名称</w:t>
            </w:r>
          </w:p>
        </w:tc>
        <w:tc>
          <w:tcPr>
            <w:tcW w:w="1260" w:type="dxa"/>
            <w:noWrap w:val="0"/>
            <w:vAlign w:val="center"/>
          </w:tcPr>
          <w:p>
            <w:pPr>
              <w:jc w:val="center"/>
              <w:rPr>
                <w:rFonts w:hint="eastAsia" w:ascii="宋体" w:hAnsi="宋体"/>
                <w:color w:val="auto"/>
                <w:szCs w:val="21"/>
              </w:rPr>
            </w:pPr>
            <w:r>
              <w:rPr>
                <w:rFonts w:hint="eastAsia" w:ascii="宋体" w:hAnsi="宋体"/>
                <w:color w:val="auto"/>
                <w:szCs w:val="21"/>
              </w:rPr>
              <w:t>规格型号</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数量</w:t>
            </w:r>
          </w:p>
        </w:tc>
        <w:tc>
          <w:tcPr>
            <w:tcW w:w="1459" w:type="dxa"/>
            <w:noWrap w:val="0"/>
            <w:vAlign w:val="center"/>
          </w:tcPr>
          <w:p>
            <w:pPr>
              <w:jc w:val="center"/>
              <w:rPr>
                <w:rFonts w:hint="eastAsia" w:ascii="宋体" w:hAnsi="宋体"/>
                <w:color w:val="auto"/>
                <w:szCs w:val="21"/>
              </w:rPr>
            </w:pPr>
            <w:r>
              <w:rPr>
                <w:rFonts w:hint="eastAsia" w:ascii="宋体" w:hAnsi="宋体"/>
                <w:color w:val="auto"/>
                <w:szCs w:val="21"/>
              </w:rPr>
              <w:t>单价(元)</w:t>
            </w:r>
          </w:p>
        </w:tc>
        <w:tc>
          <w:tcPr>
            <w:tcW w:w="789" w:type="dxa"/>
            <w:noWrap w:val="0"/>
            <w:vAlign w:val="center"/>
          </w:tcPr>
          <w:p>
            <w:pPr>
              <w:jc w:val="center"/>
              <w:rPr>
                <w:rFonts w:hint="eastAsia" w:ascii="宋体" w:hAnsi="宋体"/>
                <w:color w:val="auto"/>
                <w:szCs w:val="21"/>
              </w:rPr>
            </w:pPr>
            <w:r>
              <w:rPr>
                <w:rFonts w:hint="eastAsia" w:ascii="宋体" w:hAnsi="宋体"/>
                <w:color w:val="auto"/>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w:t>
            </w:r>
          </w:p>
        </w:tc>
        <w:tc>
          <w:tcPr>
            <w:tcW w:w="2340" w:type="dxa"/>
            <w:noWrap w:val="0"/>
            <w:vAlign w:val="center"/>
          </w:tcPr>
          <w:p>
            <w:pPr>
              <w:rPr>
                <w:rFonts w:hint="eastAsia" w:ascii="宋体" w:hAnsi="宋体"/>
                <w:color w:val="auto"/>
                <w:szCs w:val="21"/>
              </w:rPr>
            </w:pPr>
            <w:r>
              <w:rPr>
                <w:rFonts w:hint="eastAsia" w:ascii="宋体" w:hAnsi="宋体"/>
                <w:color w:val="auto"/>
                <w:szCs w:val="21"/>
              </w:rPr>
              <w:t>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w:t>
            </w:r>
          </w:p>
        </w:tc>
        <w:tc>
          <w:tcPr>
            <w:tcW w:w="2340" w:type="dxa"/>
            <w:noWrap w:val="0"/>
            <w:vAlign w:val="center"/>
          </w:tcPr>
          <w:p>
            <w:pPr>
              <w:rPr>
                <w:rFonts w:hint="eastAsia" w:ascii="宋体" w:hAnsi="宋体"/>
                <w:color w:val="auto"/>
                <w:szCs w:val="21"/>
              </w:rPr>
            </w:pPr>
            <w:r>
              <w:rPr>
                <w:rFonts w:hint="eastAsia" w:ascii="宋体" w:hAnsi="宋体"/>
                <w:color w:val="auto"/>
                <w:szCs w:val="21"/>
              </w:rPr>
              <w:t>基本直接费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1.1.1</w:t>
            </w:r>
          </w:p>
        </w:tc>
        <w:tc>
          <w:tcPr>
            <w:tcW w:w="2340" w:type="dxa"/>
            <w:noWrap w:val="0"/>
            <w:vAlign w:val="center"/>
          </w:tcPr>
          <w:p>
            <w:pPr>
              <w:rPr>
                <w:rFonts w:hint="eastAsia" w:ascii="宋体" w:hAnsi="宋体"/>
                <w:color w:val="auto"/>
                <w:szCs w:val="21"/>
              </w:rPr>
            </w:pPr>
            <w:r>
              <w:rPr>
                <w:rFonts w:hint="eastAsia" w:ascii="宋体" w:hAnsi="宋体"/>
                <w:color w:val="auto"/>
                <w:szCs w:val="21"/>
              </w:rPr>
              <w:t>人工费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1.1.2</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1.1.3</w:t>
            </w:r>
          </w:p>
        </w:tc>
        <w:tc>
          <w:tcPr>
            <w:tcW w:w="2340" w:type="dxa"/>
            <w:noWrap w:val="0"/>
            <w:vAlign w:val="center"/>
          </w:tcPr>
          <w:p>
            <w:pPr>
              <w:rPr>
                <w:rFonts w:hint="eastAsia" w:ascii="宋体" w:hAnsi="宋体"/>
                <w:color w:val="auto"/>
                <w:szCs w:val="21"/>
              </w:rPr>
            </w:pPr>
            <w:r>
              <w:rPr>
                <w:rFonts w:hint="eastAsia" w:ascii="宋体" w:hAnsi="宋体"/>
                <w:color w:val="auto"/>
                <w:szCs w:val="21"/>
              </w:rPr>
              <w:t>机械使用费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1.2</w:t>
            </w:r>
          </w:p>
        </w:tc>
        <w:tc>
          <w:tcPr>
            <w:tcW w:w="2340" w:type="dxa"/>
            <w:noWrap w:val="0"/>
            <w:vAlign w:val="center"/>
          </w:tcPr>
          <w:p>
            <w:pPr>
              <w:rPr>
                <w:rFonts w:hint="eastAsia" w:ascii="宋体" w:hAnsi="宋体"/>
                <w:color w:val="auto"/>
                <w:szCs w:val="21"/>
              </w:rPr>
            </w:pPr>
            <w:r>
              <w:rPr>
                <w:rFonts w:hint="eastAsia" w:ascii="宋体" w:hAnsi="宋体"/>
                <w:color w:val="auto"/>
                <w:szCs w:val="21"/>
              </w:rPr>
              <w:t>其他直接费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2</w:t>
            </w:r>
          </w:p>
        </w:tc>
        <w:tc>
          <w:tcPr>
            <w:tcW w:w="2340" w:type="dxa"/>
            <w:noWrap w:val="0"/>
            <w:vAlign w:val="center"/>
          </w:tcPr>
          <w:p>
            <w:pPr>
              <w:rPr>
                <w:rFonts w:hint="eastAsia" w:ascii="宋体" w:hAnsi="宋体"/>
                <w:color w:val="auto"/>
                <w:szCs w:val="21"/>
              </w:rPr>
            </w:pPr>
            <w:r>
              <w:rPr>
                <w:rFonts w:hint="eastAsia" w:ascii="宋体" w:hAnsi="宋体"/>
                <w:color w:val="auto"/>
                <w:szCs w:val="21"/>
              </w:rPr>
              <w:t>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3</w:t>
            </w:r>
          </w:p>
        </w:tc>
        <w:tc>
          <w:tcPr>
            <w:tcW w:w="2340" w:type="dxa"/>
            <w:noWrap w:val="0"/>
            <w:vAlign w:val="center"/>
          </w:tcPr>
          <w:p>
            <w:pPr>
              <w:rPr>
                <w:rFonts w:hint="eastAsia" w:ascii="宋体" w:hAnsi="宋体"/>
                <w:color w:val="auto"/>
                <w:szCs w:val="21"/>
              </w:rPr>
            </w:pPr>
            <w:r>
              <w:rPr>
                <w:rFonts w:hint="eastAsia" w:ascii="宋体" w:hAnsi="宋体"/>
                <w:color w:val="auto"/>
                <w:szCs w:val="21"/>
              </w:rPr>
              <w:t>企业利润</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4</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材料补差</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5</w:t>
            </w:r>
          </w:p>
        </w:tc>
        <w:tc>
          <w:tcPr>
            <w:tcW w:w="2340" w:type="dxa"/>
            <w:noWrap w:val="0"/>
            <w:vAlign w:val="center"/>
          </w:tcPr>
          <w:p>
            <w:pPr>
              <w:rPr>
                <w:rFonts w:hint="eastAsia" w:ascii="宋体" w:hAnsi="宋体"/>
                <w:color w:val="auto"/>
                <w:szCs w:val="21"/>
              </w:rPr>
            </w:pPr>
            <w:r>
              <w:rPr>
                <w:rFonts w:hint="eastAsia" w:ascii="宋体" w:hAnsi="宋体"/>
                <w:color w:val="auto"/>
                <w:szCs w:val="21"/>
              </w:rPr>
              <w:t>税金</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r>
              <w:rPr>
                <w:rFonts w:hint="eastAsia" w:ascii="宋体" w:hAnsi="宋体"/>
                <w:color w:val="auto"/>
                <w:szCs w:val="21"/>
              </w:rPr>
              <w:t>合计</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bl>
    <w:p>
      <w:pPr>
        <w:spacing w:before="120" w:beforeLines="50" w:after="120" w:afterLines="50" w:line="540" w:lineRule="exact"/>
        <w:jc w:val="center"/>
        <w:rPr>
          <w:rFonts w:ascii="宋体" w:hAnsi="宋体"/>
          <w:color w:val="auto"/>
          <w:sz w:val="28"/>
          <w:szCs w:val="28"/>
        </w:rPr>
      </w:pPr>
    </w:p>
    <w:p>
      <w:pPr>
        <w:spacing w:before="120" w:beforeLines="50" w:after="120" w:afterLines="50" w:line="540" w:lineRule="exact"/>
        <w:jc w:val="center"/>
        <w:rPr>
          <w:rFonts w:hint="eastAsia" w:ascii="宋体" w:hAnsi="宋体"/>
          <w:color w:val="auto"/>
          <w:sz w:val="32"/>
        </w:rPr>
      </w:pPr>
      <w:r>
        <w:rPr>
          <w:rFonts w:hint="eastAsia" w:ascii="宋体" w:hAnsi="宋体"/>
          <w:color w:val="auto"/>
          <w:sz w:val="28"/>
          <w:szCs w:val="28"/>
        </w:rPr>
        <w:t>安装工程单价计算表</w:t>
      </w:r>
    </w:p>
    <w:p>
      <w:pPr>
        <w:jc w:val="center"/>
        <w:rPr>
          <w:rFonts w:hint="eastAsia" w:ascii="宋体" w:hAnsi="宋体"/>
          <w:color w:val="auto"/>
          <w:sz w:val="28"/>
          <w:szCs w:val="28"/>
        </w:rPr>
      </w:pPr>
      <w:r>
        <w:rPr>
          <w:rFonts w:hint="eastAsia" w:ascii="宋体" w:hAnsi="宋体"/>
          <w:color w:val="auto"/>
          <w:sz w:val="28"/>
          <w:szCs w:val="28"/>
          <w:u w:val="single"/>
        </w:rPr>
        <w:t xml:space="preserve">            </w:t>
      </w:r>
      <w:r>
        <w:rPr>
          <w:rFonts w:hint="eastAsia" w:ascii="宋体" w:hAnsi="宋体"/>
          <w:color w:val="auto"/>
          <w:sz w:val="28"/>
          <w:szCs w:val="28"/>
        </w:rPr>
        <w:t>工程</w:t>
      </w:r>
    </w:p>
    <w:p>
      <w:pPr>
        <w:rPr>
          <w:rFonts w:hint="eastAsia" w:ascii="宋体" w:hAnsi="宋体"/>
          <w:color w:val="auto"/>
          <w:szCs w:val="21"/>
        </w:rPr>
      </w:pPr>
      <w:r>
        <w:rPr>
          <w:rFonts w:hint="eastAsia" w:ascii="宋体" w:hAnsi="宋体"/>
          <w:color w:val="auto"/>
          <w:szCs w:val="21"/>
        </w:rPr>
        <w:t>单价编号:                            定额单位：                           单价：</w:t>
      </w:r>
    </w:p>
    <w:tbl>
      <w:tblPr>
        <w:tblStyle w:val="38"/>
        <w:tblW w:w="91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2340"/>
        <w:gridCol w:w="1260"/>
        <w:gridCol w:w="1080"/>
        <w:gridCol w:w="1080"/>
        <w:gridCol w:w="1459"/>
        <w:gridCol w:w="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07" w:type="dxa"/>
            <w:gridSpan w:val="7"/>
            <w:noWrap w:val="0"/>
            <w:vAlign w:val="center"/>
          </w:tcPr>
          <w:p>
            <w:pPr>
              <w:rPr>
                <w:rFonts w:hint="eastAsia" w:ascii="宋体" w:hAnsi="宋体"/>
                <w:color w:val="auto"/>
                <w:szCs w:val="21"/>
              </w:rPr>
            </w:pPr>
            <w:r>
              <w:rPr>
                <w:rFonts w:hint="eastAsia" w:ascii="宋体" w:hAnsi="宋体"/>
                <w:color w:val="auto"/>
                <w:szCs w:val="21"/>
              </w:rPr>
              <w:t>施工方法：</w:t>
            </w:r>
          </w:p>
          <w:p>
            <w:pPr>
              <w:rPr>
                <w:rFonts w:hint="eastAsia" w:ascii="宋体" w:hAnsi="宋体"/>
                <w:color w:val="auto"/>
                <w:szCs w:val="21"/>
              </w:rPr>
            </w:pPr>
          </w:p>
          <w:p>
            <w:pP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2340" w:type="dxa"/>
            <w:noWrap w:val="0"/>
            <w:vAlign w:val="center"/>
          </w:tcPr>
          <w:p>
            <w:pPr>
              <w:jc w:val="center"/>
              <w:rPr>
                <w:rFonts w:hint="eastAsia" w:ascii="宋体" w:hAnsi="宋体"/>
                <w:color w:val="auto"/>
                <w:szCs w:val="21"/>
              </w:rPr>
            </w:pPr>
            <w:r>
              <w:rPr>
                <w:rFonts w:hint="eastAsia" w:ascii="宋体" w:hAnsi="宋体"/>
                <w:color w:val="auto"/>
                <w:szCs w:val="21"/>
              </w:rPr>
              <w:t>名称</w:t>
            </w:r>
          </w:p>
        </w:tc>
        <w:tc>
          <w:tcPr>
            <w:tcW w:w="1260" w:type="dxa"/>
            <w:noWrap w:val="0"/>
            <w:vAlign w:val="center"/>
          </w:tcPr>
          <w:p>
            <w:pPr>
              <w:jc w:val="center"/>
              <w:rPr>
                <w:rFonts w:hint="eastAsia" w:ascii="宋体" w:hAnsi="宋体"/>
                <w:color w:val="auto"/>
                <w:szCs w:val="21"/>
              </w:rPr>
            </w:pPr>
            <w:r>
              <w:rPr>
                <w:rFonts w:hint="eastAsia" w:ascii="宋体" w:hAnsi="宋体"/>
                <w:color w:val="auto"/>
                <w:szCs w:val="21"/>
              </w:rPr>
              <w:t>规格型号</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计量单位</w:t>
            </w:r>
          </w:p>
        </w:tc>
        <w:tc>
          <w:tcPr>
            <w:tcW w:w="1080" w:type="dxa"/>
            <w:noWrap w:val="0"/>
            <w:vAlign w:val="center"/>
          </w:tcPr>
          <w:p>
            <w:pPr>
              <w:jc w:val="center"/>
              <w:rPr>
                <w:rFonts w:hint="eastAsia" w:ascii="宋体" w:hAnsi="宋体"/>
                <w:color w:val="auto"/>
                <w:szCs w:val="21"/>
              </w:rPr>
            </w:pPr>
            <w:r>
              <w:rPr>
                <w:rFonts w:hint="eastAsia" w:ascii="宋体" w:hAnsi="宋体"/>
                <w:color w:val="auto"/>
                <w:szCs w:val="21"/>
              </w:rPr>
              <w:t>数量</w:t>
            </w:r>
          </w:p>
        </w:tc>
        <w:tc>
          <w:tcPr>
            <w:tcW w:w="1459" w:type="dxa"/>
            <w:noWrap w:val="0"/>
            <w:vAlign w:val="center"/>
          </w:tcPr>
          <w:p>
            <w:pPr>
              <w:jc w:val="center"/>
              <w:rPr>
                <w:rFonts w:hint="eastAsia" w:ascii="宋体" w:hAnsi="宋体"/>
                <w:color w:val="auto"/>
                <w:szCs w:val="21"/>
              </w:rPr>
            </w:pPr>
            <w:r>
              <w:rPr>
                <w:rFonts w:hint="eastAsia" w:ascii="宋体" w:hAnsi="宋体"/>
                <w:color w:val="auto"/>
                <w:szCs w:val="21"/>
              </w:rPr>
              <w:t>单价(元)</w:t>
            </w:r>
          </w:p>
        </w:tc>
        <w:tc>
          <w:tcPr>
            <w:tcW w:w="789" w:type="dxa"/>
            <w:noWrap w:val="0"/>
            <w:vAlign w:val="center"/>
          </w:tcPr>
          <w:p>
            <w:pPr>
              <w:jc w:val="center"/>
              <w:rPr>
                <w:rFonts w:hint="eastAsia" w:ascii="宋体" w:hAnsi="宋体"/>
                <w:color w:val="auto"/>
                <w:szCs w:val="21"/>
              </w:rPr>
            </w:pPr>
            <w:r>
              <w:rPr>
                <w:rFonts w:hint="eastAsia" w:ascii="宋体" w:hAnsi="宋体"/>
                <w:color w:val="auto"/>
                <w:szCs w:val="21"/>
              </w:rPr>
              <w:t>合价(元)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w:t>
            </w:r>
          </w:p>
        </w:tc>
        <w:tc>
          <w:tcPr>
            <w:tcW w:w="2340" w:type="dxa"/>
            <w:noWrap w:val="0"/>
            <w:vAlign w:val="center"/>
          </w:tcPr>
          <w:p>
            <w:pPr>
              <w:rPr>
                <w:rFonts w:hint="eastAsia" w:ascii="宋体" w:hAnsi="宋体"/>
                <w:color w:val="auto"/>
                <w:szCs w:val="21"/>
              </w:rPr>
            </w:pPr>
            <w:r>
              <w:rPr>
                <w:rFonts w:hint="eastAsia" w:ascii="宋体" w:hAnsi="宋体"/>
                <w:color w:val="auto"/>
                <w:szCs w:val="21"/>
              </w:rPr>
              <w:t>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w:t>
            </w:r>
          </w:p>
        </w:tc>
        <w:tc>
          <w:tcPr>
            <w:tcW w:w="2340" w:type="dxa"/>
            <w:noWrap w:val="0"/>
            <w:vAlign w:val="center"/>
          </w:tcPr>
          <w:p>
            <w:pPr>
              <w:rPr>
                <w:rFonts w:hint="eastAsia" w:ascii="宋体" w:hAnsi="宋体"/>
                <w:color w:val="auto"/>
                <w:szCs w:val="21"/>
              </w:rPr>
            </w:pPr>
            <w:r>
              <w:rPr>
                <w:rFonts w:hint="eastAsia" w:ascii="宋体" w:hAnsi="宋体"/>
                <w:color w:val="auto"/>
                <w:szCs w:val="21"/>
              </w:rPr>
              <w:t>基本直接费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1.1.1</w:t>
            </w:r>
          </w:p>
        </w:tc>
        <w:tc>
          <w:tcPr>
            <w:tcW w:w="2340" w:type="dxa"/>
            <w:noWrap w:val="0"/>
            <w:vAlign w:val="center"/>
          </w:tcPr>
          <w:p>
            <w:pPr>
              <w:rPr>
                <w:rFonts w:hint="eastAsia" w:ascii="宋体" w:hAnsi="宋体"/>
                <w:color w:val="auto"/>
                <w:szCs w:val="21"/>
              </w:rPr>
            </w:pPr>
            <w:r>
              <w:rPr>
                <w:rFonts w:hint="eastAsia" w:ascii="宋体" w:hAnsi="宋体"/>
                <w:color w:val="auto"/>
                <w:szCs w:val="21"/>
              </w:rPr>
              <w:t>人工费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1.1.2</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1.1.3</w:t>
            </w:r>
          </w:p>
        </w:tc>
        <w:tc>
          <w:tcPr>
            <w:tcW w:w="2340" w:type="dxa"/>
            <w:noWrap w:val="0"/>
            <w:vAlign w:val="center"/>
          </w:tcPr>
          <w:p>
            <w:pPr>
              <w:rPr>
                <w:rFonts w:hint="eastAsia" w:ascii="宋体" w:hAnsi="宋体"/>
                <w:color w:val="auto"/>
                <w:szCs w:val="21"/>
              </w:rPr>
            </w:pPr>
            <w:r>
              <w:rPr>
                <w:rFonts w:hint="eastAsia" w:ascii="宋体" w:hAnsi="宋体"/>
                <w:color w:val="auto"/>
                <w:szCs w:val="21"/>
              </w:rPr>
              <w:t>机械使用费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1.2</w:t>
            </w:r>
          </w:p>
        </w:tc>
        <w:tc>
          <w:tcPr>
            <w:tcW w:w="2340" w:type="dxa"/>
            <w:noWrap w:val="0"/>
            <w:vAlign w:val="center"/>
          </w:tcPr>
          <w:p>
            <w:pPr>
              <w:rPr>
                <w:rFonts w:hint="eastAsia" w:ascii="宋体" w:hAnsi="宋体"/>
                <w:color w:val="auto"/>
                <w:szCs w:val="21"/>
              </w:rPr>
            </w:pPr>
            <w:r>
              <w:rPr>
                <w:rFonts w:hint="eastAsia" w:ascii="宋体" w:hAnsi="宋体"/>
                <w:color w:val="auto"/>
                <w:szCs w:val="21"/>
              </w:rPr>
              <w:t>其他直接费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2</w:t>
            </w:r>
          </w:p>
        </w:tc>
        <w:tc>
          <w:tcPr>
            <w:tcW w:w="2340" w:type="dxa"/>
            <w:noWrap w:val="0"/>
            <w:vAlign w:val="center"/>
          </w:tcPr>
          <w:p>
            <w:pPr>
              <w:rPr>
                <w:rFonts w:hint="eastAsia" w:ascii="宋体" w:hAnsi="宋体"/>
                <w:color w:val="auto"/>
                <w:szCs w:val="21"/>
              </w:rPr>
            </w:pPr>
            <w:r>
              <w:rPr>
                <w:rFonts w:hint="eastAsia" w:ascii="宋体" w:hAnsi="宋体"/>
                <w:color w:val="auto"/>
                <w:szCs w:val="21"/>
              </w:rPr>
              <w:t>间接费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3</w:t>
            </w:r>
          </w:p>
        </w:tc>
        <w:tc>
          <w:tcPr>
            <w:tcW w:w="2340" w:type="dxa"/>
            <w:noWrap w:val="0"/>
            <w:vAlign w:val="center"/>
          </w:tcPr>
          <w:p>
            <w:pPr>
              <w:rPr>
                <w:rFonts w:hint="eastAsia" w:ascii="宋体" w:hAnsi="宋体"/>
                <w:color w:val="auto"/>
                <w:szCs w:val="21"/>
              </w:rPr>
            </w:pPr>
            <w:r>
              <w:rPr>
                <w:rFonts w:hint="eastAsia" w:ascii="宋体" w:hAnsi="宋体"/>
                <w:color w:val="auto"/>
                <w:szCs w:val="21"/>
              </w:rPr>
              <w:t>企业利润</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4</w:t>
            </w:r>
          </w:p>
        </w:tc>
        <w:tc>
          <w:tcPr>
            <w:tcW w:w="2340" w:type="dxa"/>
            <w:noWrap w:val="0"/>
            <w:vAlign w:val="center"/>
          </w:tcPr>
          <w:p>
            <w:pPr>
              <w:rPr>
                <w:rFonts w:hint="eastAsia" w:ascii="宋体" w:hAnsi="宋体"/>
                <w:color w:val="auto"/>
                <w:szCs w:val="21"/>
              </w:rPr>
            </w:pPr>
            <w:r>
              <w:rPr>
                <w:rFonts w:hint="eastAsia" w:ascii="宋体" w:hAnsi="宋体"/>
                <w:color w:val="auto"/>
                <w:szCs w:val="21"/>
              </w:rPr>
              <w:t>材料补差</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5</w:t>
            </w:r>
          </w:p>
        </w:tc>
        <w:tc>
          <w:tcPr>
            <w:tcW w:w="2340" w:type="dxa"/>
            <w:noWrap w:val="0"/>
            <w:vAlign w:val="center"/>
          </w:tcPr>
          <w:p>
            <w:pPr>
              <w:rPr>
                <w:rFonts w:hint="eastAsia" w:ascii="宋体" w:hAnsi="宋体"/>
                <w:color w:val="auto"/>
                <w:szCs w:val="21"/>
              </w:rPr>
            </w:pPr>
            <w:r>
              <w:rPr>
                <w:rFonts w:hint="eastAsia" w:ascii="宋体" w:hAnsi="宋体"/>
                <w:color w:val="auto"/>
                <w:szCs w:val="21"/>
              </w:rPr>
              <w:t>未计价装置性材料费</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r>
              <w:rPr>
                <w:rFonts w:hint="eastAsia" w:ascii="宋体" w:hAnsi="宋体"/>
                <w:color w:val="auto"/>
                <w:szCs w:val="21"/>
              </w:rPr>
              <w:t>6</w:t>
            </w:r>
          </w:p>
        </w:tc>
        <w:tc>
          <w:tcPr>
            <w:tcW w:w="2340" w:type="dxa"/>
            <w:noWrap w:val="0"/>
            <w:vAlign w:val="center"/>
          </w:tcPr>
          <w:p>
            <w:pPr>
              <w:rPr>
                <w:rFonts w:hint="eastAsia" w:ascii="宋体" w:hAnsi="宋体"/>
                <w:color w:val="auto"/>
                <w:szCs w:val="21"/>
              </w:rPr>
            </w:pPr>
            <w:r>
              <w:rPr>
                <w:rFonts w:hint="eastAsia" w:ascii="宋体" w:hAnsi="宋体"/>
                <w:color w:val="auto"/>
                <w:szCs w:val="21"/>
              </w:rPr>
              <w:t>税金</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99" w:type="dxa"/>
            <w:noWrap w:val="0"/>
            <w:vAlign w:val="center"/>
          </w:tcPr>
          <w:p>
            <w:pPr>
              <w:jc w:val="center"/>
              <w:rPr>
                <w:rFonts w:hint="eastAsia" w:ascii="宋体" w:hAnsi="宋体"/>
                <w:color w:val="auto"/>
                <w:szCs w:val="21"/>
              </w:rPr>
            </w:pPr>
          </w:p>
        </w:tc>
        <w:tc>
          <w:tcPr>
            <w:tcW w:w="2340" w:type="dxa"/>
            <w:noWrap w:val="0"/>
            <w:vAlign w:val="center"/>
          </w:tcPr>
          <w:p>
            <w:pPr>
              <w:rPr>
                <w:rFonts w:hint="eastAsia" w:ascii="宋体" w:hAnsi="宋体"/>
                <w:color w:val="auto"/>
                <w:szCs w:val="21"/>
              </w:rPr>
            </w:pPr>
            <w:r>
              <w:rPr>
                <w:rFonts w:hint="eastAsia" w:ascii="宋体" w:hAnsi="宋体"/>
                <w:color w:val="auto"/>
                <w:szCs w:val="21"/>
              </w:rPr>
              <w:t>合计</w:t>
            </w:r>
          </w:p>
        </w:tc>
        <w:tc>
          <w:tcPr>
            <w:tcW w:w="1260" w:type="dxa"/>
            <w:noWrap w:val="0"/>
            <w:vAlign w:val="top"/>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080" w:type="dxa"/>
            <w:noWrap w:val="0"/>
            <w:vAlign w:val="center"/>
          </w:tcPr>
          <w:p>
            <w:pPr>
              <w:jc w:val="center"/>
              <w:rPr>
                <w:rFonts w:hint="eastAsia" w:ascii="宋体" w:hAnsi="宋体"/>
                <w:color w:val="auto"/>
                <w:szCs w:val="21"/>
              </w:rPr>
            </w:pPr>
          </w:p>
        </w:tc>
        <w:tc>
          <w:tcPr>
            <w:tcW w:w="1459" w:type="dxa"/>
            <w:noWrap w:val="0"/>
            <w:vAlign w:val="center"/>
          </w:tcPr>
          <w:p>
            <w:pPr>
              <w:jc w:val="center"/>
              <w:rPr>
                <w:rFonts w:hint="eastAsia" w:ascii="宋体" w:hAnsi="宋体"/>
                <w:color w:val="auto"/>
                <w:szCs w:val="21"/>
              </w:rPr>
            </w:pPr>
          </w:p>
        </w:tc>
        <w:tc>
          <w:tcPr>
            <w:tcW w:w="789" w:type="dxa"/>
            <w:noWrap w:val="0"/>
            <w:vAlign w:val="center"/>
          </w:tcPr>
          <w:p>
            <w:pPr>
              <w:jc w:val="center"/>
              <w:rPr>
                <w:rFonts w:hint="eastAsia" w:ascii="宋体" w:hAnsi="宋体"/>
                <w:color w:val="auto"/>
                <w:szCs w:val="21"/>
              </w:rPr>
            </w:pPr>
          </w:p>
        </w:tc>
      </w:tr>
    </w:tbl>
    <w:p>
      <w:pPr>
        <w:rPr>
          <w:rFonts w:hint="eastAsia" w:ascii="宋体" w:hAnsi="宋体"/>
          <w:color w:val="auto"/>
          <w:sz w:val="28"/>
        </w:rPr>
        <w:sectPr>
          <w:footerReference r:id="rId14" w:type="default"/>
          <w:footerReference r:id="rId15" w:type="even"/>
          <w:pgSz w:w="11906" w:h="16838"/>
          <w:pgMar w:top="1418" w:right="1469" w:bottom="1418" w:left="1418" w:header="851" w:footer="992" w:gutter="0"/>
          <w:pgNumType w:fmt="decimal"/>
          <w:cols w:space="720" w:num="1"/>
          <w:docGrid w:linePitch="312" w:charSpace="0"/>
        </w:sectPr>
      </w:pPr>
    </w:p>
    <w:p>
      <w:pPr>
        <w:spacing w:after="120" w:afterLines="50"/>
        <w:jc w:val="center"/>
        <w:outlineLvl w:val="2"/>
        <w:rPr>
          <w:rFonts w:ascii="宋体" w:hAnsi="宋体"/>
          <w:color w:val="auto"/>
          <w:sz w:val="28"/>
          <w:szCs w:val="28"/>
        </w:rPr>
      </w:pPr>
      <w:bookmarkStart w:id="2458" w:name="_Toc29013"/>
      <w:r>
        <w:rPr>
          <w:rFonts w:hint="eastAsia" w:ascii="宋体" w:hAnsi="宋体"/>
          <w:color w:val="auto"/>
          <w:sz w:val="28"/>
          <w:szCs w:val="28"/>
        </w:rPr>
        <w:t>3.15 人工费单价汇总表</w:t>
      </w:r>
      <w:bookmarkEnd w:id="2458"/>
    </w:p>
    <w:p>
      <w:pPr>
        <w:rPr>
          <w:rFonts w:hint="eastAsia" w:ascii="宋体" w:hAnsi="宋体"/>
          <w:color w:val="auto"/>
          <w:sz w:val="30"/>
          <w:u w:val="single"/>
        </w:rPr>
      </w:pPr>
      <w:r>
        <w:rPr>
          <w:rFonts w:hint="eastAsia" w:ascii="宋体" w:hAnsi="宋体"/>
          <w:color w:val="auto"/>
          <w:szCs w:val="21"/>
        </w:rPr>
        <w:t>合同编号:</w:t>
      </w:r>
      <w:r>
        <w:rPr>
          <w:rFonts w:hint="eastAsia" w:ascii="宋体" w:hAnsi="宋体"/>
          <w:color w:val="auto"/>
          <w:szCs w:val="21"/>
          <w:u w:val="single"/>
        </w:rPr>
        <w:t xml:space="preserve">                         </w:t>
      </w:r>
      <w:r>
        <w:rPr>
          <w:rFonts w:hint="eastAsia" w:ascii="宋体" w:hAnsi="宋体"/>
          <w:color w:val="auto"/>
          <w:sz w:val="30"/>
          <w:u w:val="single"/>
        </w:rPr>
        <w:t xml:space="preserve"> </w:t>
      </w:r>
      <w:r>
        <w:rPr>
          <w:rFonts w:hint="eastAsia" w:ascii="宋体" w:hAnsi="宋体"/>
          <w:color w:val="auto"/>
          <w:szCs w:val="21"/>
          <w:u w:val="single"/>
        </w:rPr>
        <w:t xml:space="preserve"> </w:t>
      </w:r>
      <w:r>
        <w:rPr>
          <w:rFonts w:hint="eastAsia"/>
          <w:color w:val="auto"/>
          <w:u w:val="single"/>
        </w:rPr>
        <w:t xml:space="preserve">  </w:t>
      </w:r>
      <w:r>
        <w:rPr>
          <w:rFonts w:hint="eastAsia" w:ascii="宋体" w:hAnsi="宋体"/>
          <w:color w:val="auto"/>
          <w:sz w:val="30"/>
          <w:u w:val="single"/>
        </w:rPr>
        <w:t xml:space="preserve">     </w:t>
      </w:r>
    </w:p>
    <w:p>
      <w:pPr>
        <w:rPr>
          <w:rFonts w:hint="eastAsia"/>
          <w:color w:val="auto"/>
        </w:rPr>
      </w:pPr>
      <w:r>
        <w:rPr>
          <w:rFonts w:hint="eastAsia"/>
          <w:color w:val="auto"/>
        </w:rPr>
        <w:t>合同名称：</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(项目名称)   </w:t>
      </w:r>
      <w:r>
        <w:rPr>
          <w:rFonts w:hint="eastAsia" w:ascii="宋体" w:hAnsi="宋体"/>
          <w:color w:val="auto"/>
          <w:sz w:val="30"/>
          <w:u w:val="single"/>
        </w:rPr>
        <w:t xml:space="preserve">        </w:t>
      </w:r>
      <w:r>
        <w:rPr>
          <w:rFonts w:hint="eastAsia" w:ascii="宋体" w:hAnsi="宋体"/>
          <w:color w:val="auto"/>
          <w:szCs w:val="21"/>
        </w:rPr>
        <w:t xml:space="preserve">  </w:t>
      </w:r>
      <w:r>
        <w:rPr>
          <w:rFonts w:hint="eastAsia"/>
          <w:color w:val="auto"/>
        </w:rPr>
        <w:t xml:space="preserve"> (标段名称)  </w:t>
      </w:r>
    </w:p>
    <w:tbl>
      <w:tblPr>
        <w:tblStyle w:val="38"/>
        <w:tblW w:w="0" w:type="auto"/>
        <w:tblInd w:w="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2189"/>
        <w:gridCol w:w="1716"/>
        <w:gridCol w:w="1765"/>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center"/>
          </w:tcPr>
          <w:p>
            <w:pPr>
              <w:spacing w:line="0" w:lineRule="atLeast"/>
              <w:ind w:left="108"/>
              <w:jc w:val="center"/>
              <w:rPr>
                <w:rFonts w:hint="eastAsia"/>
                <w:color w:val="auto"/>
              </w:rPr>
            </w:pPr>
            <w:r>
              <w:rPr>
                <w:rFonts w:hint="eastAsia"/>
                <w:color w:val="auto"/>
              </w:rPr>
              <w:t>序   号</w:t>
            </w:r>
          </w:p>
        </w:tc>
        <w:tc>
          <w:tcPr>
            <w:tcW w:w="2189" w:type="dxa"/>
            <w:noWrap w:val="0"/>
            <w:vAlign w:val="center"/>
          </w:tcPr>
          <w:p>
            <w:pPr>
              <w:spacing w:line="0" w:lineRule="atLeast"/>
              <w:ind w:left="108"/>
              <w:jc w:val="center"/>
              <w:rPr>
                <w:rFonts w:hint="eastAsia"/>
                <w:color w:val="auto"/>
              </w:rPr>
            </w:pPr>
            <w:r>
              <w:rPr>
                <w:rFonts w:hint="eastAsia"/>
                <w:color w:val="auto"/>
              </w:rPr>
              <w:t>工        种</w:t>
            </w:r>
          </w:p>
        </w:tc>
        <w:tc>
          <w:tcPr>
            <w:tcW w:w="1716" w:type="dxa"/>
            <w:noWrap w:val="0"/>
            <w:vAlign w:val="center"/>
          </w:tcPr>
          <w:p>
            <w:pPr>
              <w:spacing w:line="0" w:lineRule="atLeast"/>
              <w:ind w:left="108"/>
              <w:jc w:val="center"/>
              <w:rPr>
                <w:rFonts w:hint="eastAsia"/>
                <w:color w:val="auto"/>
              </w:rPr>
            </w:pPr>
            <w:r>
              <w:rPr>
                <w:rFonts w:hint="eastAsia"/>
                <w:color w:val="auto"/>
              </w:rPr>
              <w:t>单     位</w:t>
            </w:r>
          </w:p>
        </w:tc>
        <w:tc>
          <w:tcPr>
            <w:tcW w:w="1765" w:type="dxa"/>
            <w:noWrap w:val="0"/>
            <w:vAlign w:val="center"/>
          </w:tcPr>
          <w:p>
            <w:pPr>
              <w:spacing w:line="0" w:lineRule="atLeast"/>
              <w:ind w:left="108"/>
              <w:jc w:val="center"/>
              <w:rPr>
                <w:rFonts w:hint="eastAsia"/>
                <w:color w:val="auto"/>
              </w:rPr>
            </w:pPr>
            <w:r>
              <w:rPr>
                <w:rFonts w:hint="eastAsia"/>
                <w:color w:val="auto"/>
              </w:rPr>
              <w:t>单    价</w:t>
            </w:r>
          </w:p>
          <w:p>
            <w:pPr>
              <w:spacing w:line="0" w:lineRule="atLeast"/>
              <w:ind w:left="108"/>
              <w:jc w:val="center"/>
              <w:rPr>
                <w:rFonts w:hint="eastAsia"/>
                <w:color w:val="auto"/>
              </w:rPr>
            </w:pPr>
            <w:r>
              <w:rPr>
                <w:rFonts w:hint="eastAsia"/>
                <w:color w:val="auto"/>
              </w:rPr>
              <w:t>（元）</w:t>
            </w:r>
          </w:p>
        </w:tc>
        <w:tc>
          <w:tcPr>
            <w:tcW w:w="1418" w:type="dxa"/>
            <w:noWrap w:val="0"/>
            <w:vAlign w:val="center"/>
          </w:tcPr>
          <w:p>
            <w:pPr>
              <w:spacing w:line="0" w:lineRule="atLeast"/>
              <w:jc w:val="center"/>
              <w:rPr>
                <w:rFonts w:hint="eastAsia"/>
                <w:color w:val="auto"/>
              </w:rPr>
            </w:pPr>
            <w:r>
              <w:rPr>
                <w:rFonts w:hint="eastAsia"/>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41" w:type="dxa"/>
            <w:noWrap w:val="0"/>
            <w:vAlign w:val="top"/>
          </w:tcPr>
          <w:p>
            <w:pPr>
              <w:ind w:left="107"/>
              <w:rPr>
                <w:rFonts w:hint="eastAsia"/>
                <w:color w:val="auto"/>
              </w:rPr>
            </w:pPr>
          </w:p>
        </w:tc>
        <w:tc>
          <w:tcPr>
            <w:tcW w:w="2189" w:type="dxa"/>
            <w:noWrap w:val="0"/>
            <w:vAlign w:val="top"/>
          </w:tcPr>
          <w:p>
            <w:pPr>
              <w:ind w:left="107"/>
              <w:rPr>
                <w:rFonts w:hint="eastAsia"/>
                <w:color w:val="auto"/>
              </w:rPr>
            </w:pPr>
          </w:p>
        </w:tc>
        <w:tc>
          <w:tcPr>
            <w:tcW w:w="1716" w:type="dxa"/>
            <w:noWrap w:val="0"/>
            <w:vAlign w:val="top"/>
          </w:tcPr>
          <w:p>
            <w:pPr>
              <w:ind w:left="107"/>
              <w:rPr>
                <w:rFonts w:hint="eastAsia"/>
                <w:color w:val="auto"/>
              </w:rPr>
            </w:pPr>
          </w:p>
        </w:tc>
        <w:tc>
          <w:tcPr>
            <w:tcW w:w="1765" w:type="dxa"/>
            <w:noWrap w:val="0"/>
            <w:vAlign w:val="top"/>
          </w:tcPr>
          <w:p>
            <w:pPr>
              <w:ind w:left="107"/>
              <w:rPr>
                <w:rFonts w:hint="eastAsia"/>
                <w:color w:val="auto"/>
              </w:rPr>
            </w:pPr>
          </w:p>
        </w:tc>
        <w:tc>
          <w:tcPr>
            <w:tcW w:w="1418" w:type="dxa"/>
            <w:noWrap w:val="0"/>
            <w:vAlign w:val="top"/>
          </w:tcPr>
          <w:p>
            <w:pPr>
              <w:ind w:left="107"/>
              <w:rPr>
                <w:rFonts w:hint="eastAsia"/>
                <w:color w:val="auto"/>
              </w:rPr>
            </w:pPr>
          </w:p>
        </w:tc>
      </w:tr>
    </w:tbl>
    <w:p>
      <w:pPr>
        <w:rPr>
          <w:color w:val="auto"/>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rPr>
          <w:rFonts w:hint="eastAsia" w:ascii="黑体" w:hAnsi="黑体" w:eastAsia="黑体"/>
          <w:bCs/>
          <w:color w:val="auto"/>
          <w:sz w:val="32"/>
        </w:rPr>
      </w:pPr>
    </w:p>
    <w:p>
      <w:pPr>
        <w:pStyle w:val="2"/>
        <w:spacing w:before="120" w:after="120" w:line="400" w:lineRule="exact"/>
        <w:rPr>
          <w:rFonts w:hint="eastAsia" w:ascii="黑体" w:hAnsi="黑体" w:eastAsia="黑体"/>
          <w:b w:val="0"/>
          <w:bCs w:val="0"/>
          <w:color w:val="auto"/>
          <w:sz w:val="36"/>
          <w:szCs w:val="36"/>
        </w:rPr>
      </w:pPr>
      <w:bookmarkStart w:id="2459" w:name="_Toc491089791"/>
      <w:bookmarkStart w:id="2460" w:name="_Toc387753618"/>
      <w:bookmarkStart w:id="2461" w:name="_Toc9394"/>
      <w:r>
        <w:rPr>
          <w:rFonts w:hint="eastAsia" w:ascii="黑体" w:hAnsi="黑体" w:eastAsia="黑体"/>
          <w:b w:val="0"/>
          <w:bCs w:val="0"/>
          <w:color w:val="auto"/>
          <w:sz w:val="36"/>
          <w:szCs w:val="36"/>
        </w:rPr>
        <w:t>第  二  卷</w:t>
      </w:r>
      <w:bookmarkEnd w:id="2459"/>
      <w:bookmarkEnd w:id="2460"/>
      <w:bookmarkEnd w:id="2461"/>
      <w:r>
        <w:rPr>
          <w:rFonts w:hint="eastAsia" w:ascii="黑体" w:hAnsi="黑体" w:eastAsia="黑体"/>
          <w:b w:val="0"/>
          <w:bCs w:val="0"/>
          <w:color w:val="auto"/>
          <w:sz w:val="36"/>
          <w:szCs w:val="36"/>
        </w:rPr>
        <w:t xml:space="preserve">  </w:t>
      </w: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2"/>
        <w:spacing w:before="120" w:after="120" w:line="400" w:lineRule="exact"/>
        <w:rPr>
          <w:rFonts w:hint="eastAsia" w:ascii="黑体" w:hAnsi="黑体" w:eastAsia="黑体"/>
          <w:b w:val="0"/>
          <w:bCs w:val="0"/>
          <w:color w:val="auto"/>
          <w:sz w:val="32"/>
        </w:rPr>
      </w:pPr>
      <w:bookmarkStart w:id="2462" w:name="_Toc387753619"/>
      <w:bookmarkStart w:id="2463" w:name="_Toc491089792"/>
      <w:bookmarkStart w:id="2464" w:name="_Toc22399"/>
      <w:bookmarkStart w:id="2465" w:name="_Toc221952224"/>
      <w:bookmarkStart w:id="2466" w:name="_Toc222033927"/>
      <w:bookmarkStart w:id="2467" w:name="_Toc222032745"/>
      <w:bookmarkStart w:id="2468" w:name="_Toc221948392"/>
      <w:bookmarkStart w:id="2469" w:name="_Toc222031078"/>
      <w:bookmarkStart w:id="2470" w:name="_Toc229305436"/>
      <w:bookmarkStart w:id="2471" w:name="_Toc222029576"/>
      <w:r>
        <w:rPr>
          <w:rFonts w:hint="eastAsia" w:ascii="黑体" w:hAnsi="黑体" w:eastAsia="黑体"/>
          <w:b w:val="0"/>
          <w:bCs w:val="0"/>
          <w:color w:val="auto"/>
          <w:sz w:val="32"/>
        </w:rPr>
        <w:t>第六章 图纸（招标图纸）</w:t>
      </w:r>
      <w:bookmarkEnd w:id="2462"/>
      <w:bookmarkEnd w:id="2463"/>
      <w:bookmarkEnd w:id="2464"/>
    </w:p>
    <w:p>
      <w:pPr>
        <w:pStyle w:val="80"/>
        <w:spacing w:before="120" w:after="120" w:afterLines="50"/>
        <w:rPr>
          <w:rFonts w:hint="eastAsia"/>
          <w:color w:val="auto"/>
        </w:rPr>
      </w:pPr>
      <w:bookmarkStart w:id="2472" w:name="_Toc22"/>
      <w:bookmarkStart w:id="2473" w:name="_Toc491089793"/>
      <w:bookmarkStart w:id="2474" w:name="_Toc387753620"/>
      <w:r>
        <w:rPr>
          <w:rFonts w:hint="eastAsia"/>
          <w:color w:val="auto"/>
        </w:rPr>
        <w:t>1. 招标图纸组成</w:t>
      </w:r>
      <w:bookmarkEnd w:id="2465"/>
      <w:bookmarkEnd w:id="2466"/>
      <w:bookmarkEnd w:id="2467"/>
      <w:bookmarkEnd w:id="2468"/>
      <w:bookmarkEnd w:id="2469"/>
      <w:bookmarkEnd w:id="2470"/>
      <w:bookmarkEnd w:id="2471"/>
      <w:bookmarkEnd w:id="2472"/>
      <w:bookmarkEnd w:id="2473"/>
      <w:bookmarkEnd w:id="2474"/>
    </w:p>
    <w:p>
      <w:pPr>
        <w:spacing w:line="360" w:lineRule="auto"/>
        <w:ind w:firstLine="420" w:firstLineChars="200"/>
        <w:rPr>
          <w:rFonts w:hint="eastAsia" w:ascii="宋体" w:hAnsi="宋体"/>
          <w:color w:val="auto"/>
          <w:szCs w:val="21"/>
        </w:rPr>
      </w:pPr>
      <w:bookmarkStart w:id="2475" w:name="_Toc221952225"/>
      <w:r>
        <w:rPr>
          <w:rFonts w:hint="eastAsia" w:ascii="宋体" w:hAnsi="宋体"/>
          <w:color w:val="auto"/>
          <w:szCs w:val="21"/>
        </w:rPr>
        <w:t>附入招标文件中的图纸应包括以下各项图纸（不限于）：</w:t>
      </w:r>
      <w:bookmarkEnd w:id="2475"/>
    </w:p>
    <w:p>
      <w:pPr>
        <w:spacing w:line="360" w:lineRule="auto"/>
        <w:ind w:firstLine="420" w:firstLineChars="200"/>
        <w:rPr>
          <w:rFonts w:hint="eastAsia"/>
          <w:bCs/>
          <w:color w:val="auto"/>
          <w:szCs w:val="21"/>
        </w:rPr>
      </w:pPr>
      <w:bookmarkStart w:id="2476" w:name="_Toc221952226"/>
      <w:r>
        <w:rPr>
          <w:rFonts w:hint="eastAsia"/>
          <w:bCs/>
          <w:color w:val="auto"/>
          <w:szCs w:val="21"/>
        </w:rPr>
        <w:t>（1）本工程流域水系有关测站的洪峰、洪量，以及工程场址的水位、流量、泥沙等的水文图表；</w:t>
      </w:r>
      <w:bookmarkEnd w:id="2476"/>
    </w:p>
    <w:p>
      <w:pPr>
        <w:spacing w:line="360" w:lineRule="auto"/>
        <w:ind w:firstLine="420" w:firstLineChars="200"/>
        <w:rPr>
          <w:rFonts w:hint="eastAsia"/>
          <w:bCs/>
          <w:color w:val="auto"/>
          <w:szCs w:val="21"/>
        </w:rPr>
      </w:pPr>
      <w:bookmarkStart w:id="2477" w:name="_Toc221952227"/>
      <w:r>
        <w:rPr>
          <w:rFonts w:hint="eastAsia"/>
          <w:bCs/>
          <w:color w:val="auto"/>
          <w:szCs w:val="21"/>
        </w:rPr>
        <w:t>（2）本工程水库和各项工程建筑物（包括天然建筑材料场地）的平面地质总图、平面地质填图、地质剖面和平切面图，以及各永久工程建筑物基础与天然建筑材料的物理力学试验成果；</w:t>
      </w:r>
      <w:bookmarkEnd w:id="2477"/>
    </w:p>
    <w:p>
      <w:pPr>
        <w:spacing w:line="360" w:lineRule="auto"/>
        <w:ind w:firstLine="420" w:firstLineChars="200"/>
        <w:rPr>
          <w:rFonts w:hint="eastAsia"/>
          <w:bCs/>
          <w:color w:val="auto"/>
          <w:szCs w:val="21"/>
        </w:rPr>
      </w:pPr>
      <w:bookmarkStart w:id="2478" w:name="_Toc221952228"/>
      <w:r>
        <w:rPr>
          <w:rFonts w:hint="eastAsia"/>
          <w:bCs/>
          <w:color w:val="auto"/>
          <w:szCs w:val="21"/>
        </w:rPr>
        <w:t>（3）工程枢纽建筑物布置总图、各项工程建筑物总布置图、体形图、结构布置详图、开挖和支护图、基础处理及灌浆与排水详图、边坡处理图、各项工程建筑物的典型钢筋配置图、压力输水管道和其他钢结构的制造安装图、工程建筑物细部的典型大样图，以及各项工程建筑物的安全监测详图等；</w:t>
      </w:r>
      <w:bookmarkEnd w:id="2478"/>
    </w:p>
    <w:p>
      <w:pPr>
        <w:spacing w:line="360" w:lineRule="auto"/>
        <w:ind w:firstLine="315" w:firstLineChars="150"/>
        <w:rPr>
          <w:rFonts w:hint="eastAsia"/>
          <w:bCs/>
          <w:color w:val="auto"/>
          <w:szCs w:val="21"/>
        </w:rPr>
      </w:pPr>
      <w:bookmarkStart w:id="2479" w:name="_Toc221952229"/>
      <w:r>
        <w:rPr>
          <w:rFonts w:hint="eastAsia"/>
          <w:bCs/>
          <w:color w:val="auto"/>
          <w:szCs w:val="21"/>
        </w:rPr>
        <w:t>（4）本工程机电设备和金属结构的布置及制造安装总图、消防、采暖通风、火灾报警，以及计算机控制等的布置和系统安装图等；</w:t>
      </w:r>
      <w:bookmarkEnd w:id="2479"/>
    </w:p>
    <w:p>
      <w:pPr>
        <w:spacing w:line="360" w:lineRule="auto"/>
        <w:ind w:firstLine="315" w:firstLineChars="150"/>
        <w:rPr>
          <w:rFonts w:hint="eastAsia"/>
          <w:bCs/>
          <w:color w:val="auto"/>
          <w:szCs w:val="21"/>
        </w:rPr>
      </w:pPr>
      <w:bookmarkStart w:id="2480" w:name="_Toc221952230"/>
      <w:r>
        <w:rPr>
          <w:rFonts w:hint="eastAsia"/>
          <w:bCs/>
          <w:color w:val="auto"/>
          <w:szCs w:val="21"/>
        </w:rPr>
        <w:t>（5）工程枢纽建筑物施工组织设计所需的工程位置和对外交通图、施工场地范围图（包括土料场、砂石料场、存渣场和弃渣场）等；</w:t>
      </w:r>
      <w:bookmarkEnd w:id="2480"/>
    </w:p>
    <w:p>
      <w:pPr>
        <w:spacing w:line="360" w:lineRule="auto"/>
        <w:ind w:firstLine="315" w:firstLineChars="150"/>
        <w:rPr>
          <w:rFonts w:hint="eastAsia"/>
          <w:bCs/>
          <w:color w:val="auto"/>
          <w:szCs w:val="21"/>
        </w:rPr>
      </w:pPr>
      <w:bookmarkStart w:id="2481" w:name="_Toc221952231"/>
      <w:r>
        <w:rPr>
          <w:rFonts w:hint="eastAsia"/>
          <w:bCs/>
          <w:color w:val="auto"/>
          <w:szCs w:val="21"/>
        </w:rPr>
        <w:t>（6）施工总布置图，以及各项施工临时辅助设施布置图等；</w:t>
      </w:r>
      <w:bookmarkEnd w:id="2481"/>
    </w:p>
    <w:p>
      <w:pPr>
        <w:spacing w:line="360" w:lineRule="auto"/>
        <w:ind w:firstLine="315" w:firstLineChars="150"/>
        <w:rPr>
          <w:rFonts w:hint="eastAsia"/>
          <w:bCs/>
          <w:color w:val="auto"/>
          <w:szCs w:val="21"/>
        </w:rPr>
      </w:pPr>
      <w:bookmarkStart w:id="2482" w:name="_Toc221952232"/>
      <w:r>
        <w:rPr>
          <w:rFonts w:hint="eastAsia"/>
          <w:bCs/>
          <w:color w:val="auto"/>
          <w:szCs w:val="21"/>
        </w:rPr>
        <w:t>（7）施工导流工程方案布置图、导流工程建筑物施工布置图、施工期通航方案布置图；</w:t>
      </w:r>
      <w:bookmarkEnd w:id="2482"/>
    </w:p>
    <w:p>
      <w:pPr>
        <w:spacing w:line="360" w:lineRule="auto"/>
        <w:ind w:firstLine="315" w:firstLineChars="150"/>
        <w:rPr>
          <w:rFonts w:hint="eastAsia"/>
          <w:bCs/>
          <w:color w:val="auto"/>
          <w:szCs w:val="21"/>
        </w:rPr>
      </w:pPr>
      <w:bookmarkStart w:id="2483" w:name="_Toc221952233"/>
      <w:r>
        <w:rPr>
          <w:rFonts w:hint="eastAsia"/>
          <w:bCs/>
          <w:color w:val="auto"/>
          <w:szCs w:val="21"/>
        </w:rPr>
        <w:t>（8）施工控制性进度表，以及发包人建议的施工总进度网络图。</w:t>
      </w:r>
      <w:bookmarkEnd w:id="2483"/>
    </w:p>
    <w:p>
      <w:pPr>
        <w:pStyle w:val="80"/>
        <w:spacing w:before="120" w:after="120" w:afterLines="50"/>
        <w:rPr>
          <w:rFonts w:hint="eastAsia"/>
          <w:color w:val="auto"/>
        </w:rPr>
      </w:pPr>
      <w:bookmarkStart w:id="2484" w:name="_Toc3144"/>
      <w:bookmarkStart w:id="2485" w:name="_Toc221948393"/>
      <w:bookmarkStart w:id="2486" w:name="_Toc387753621"/>
      <w:bookmarkStart w:id="2487" w:name="_Toc491089794"/>
      <w:bookmarkStart w:id="2488" w:name="_Toc222032746"/>
      <w:bookmarkStart w:id="2489" w:name="_Toc222029577"/>
      <w:bookmarkStart w:id="2490" w:name="_Toc221952234"/>
      <w:bookmarkStart w:id="2491" w:name="_Toc229305437"/>
      <w:bookmarkStart w:id="2492" w:name="_Toc222031079"/>
      <w:bookmarkStart w:id="2493" w:name="_Toc222033928"/>
      <w:r>
        <w:rPr>
          <w:rFonts w:hint="eastAsia"/>
          <w:color w:val="auto"/>
        </w:rPr>
        <w:t>2. 招标图纸的编绘</w:t>
      </w:r>
      <w:bookmarkEnd w:id="2484"/>
      <w:bookmarkEnd w:id="2485"/>
      <w:bookmarkEnd w:id="2486"/>
      <w:bookmarkEnd w:id="2487"/>
      <w:bookmarkEnd w:id="2488"/>
      <w:bookmarkEnd w:id="2489"/>
      <w:bookmarkEnd w:id="2490"/>
      <w:bookmarkEnd w:id="2491"/>
      <w:bookmarkEnd w:id="2492"/>
      <w:bookmarkEnd w:id="2493"/>
    </w:p>
    <w:p>
      <w:pPr>
        <w:spacing w:line="360" w:lineRule="auto"/>
        <w:ind w:firstLine="315" w:firstLineChars="150"/>
        <w:rPr>
          <w:rFonts w:hint="eastAsia"/>
          <w:bCs/>
          <w:color w:val="auto"/>
          <w:szCs w:val="21"/>
        </w:rPr>
      </w:pPr>
      <w:bookmarkStart w:id="2494" w:name="_Toc221952236"/>
      <w:r>
        <w:rPr>
          <w:rFonts w:hint="eastAsia"/>
          <w:bCs/>
          <w:color w:val="auto"/>
          <w:szCs w:val="21"/>
        </w:rPr>
        <w:t>2.1  图纸的幅面及图框尺寸，应符合《水利水电工程制图标准基础制图》（SL73.1-1995）的规定。招标文件附图的幅面，推荐采用A3。</w:t>
      </w:r>
      <w:bookmarkEnd w:id="2494"/>
    </w:p>
    <w:p>
      <w:pPr>
        <w:spacing w:line="360" w:lineRule="auto"/>
        <w:ind w:firstLine="315" w:firstLineChars="150"/>
        <w:rPr>
          <w:rFonts w:hint="eastAsia"/>
          <w:bCs/>
          <w:color w:val="auto"/>
          <w:szCs w:val="21"/>
        </w:rPr>
      </w:pPr>
      <w:bookmarkStart w:id="2495" w:name="_Toc221952237"/>
      <w:r>
        <w:rPr>
          <w:rFonts w:hint="eastAsia"/>
          <w:bCs/>
          <w:color w:val="auto"/>
          <w:szCs w:val="21"/>
        </w:rPr>
        <w:t>2.2  图纸的幅面及图框尺寸见表1，图1。</w:t>
      </w:r>
    </w:p>
    <w:p>
      <w:pPr>
        <w:spacing w:line="360" w:lineRule="auto"/>
        <w:ind w:firstLine="315" w:firstLineChars="150"/>
        <w:rPr>
          <w:rFonts w:hint="eastAsia"/>
          <w:bCs/>
          <w:color w:val="auto"/>
          <w:szCs w:val="21"/>
        </w:rPr>
      </w:pPr>
      <w:r>
        <w:rPr>
          <w:rFonts w:hint="eastAsia"/>
          <w:bCs/>
          <w:color w:val="auto"/>
          <w:szCs w:val="21"/>
        </w:rPr>
        <w:t>2.3  图纸的加长应遵守《水利水电工程制图标准基础制图》（SL73.1-1995）的规定。</w:t>
      </w:r>
    </w:p>
    <w:p>
      <w:pPr>
        <w:spacing w:line="360" w:lineRule="auto"/>
        <w:ind w:firstLine="315" w:firstLineChars="150"/>
        <w:rPr>
          <w:rFonts w:hint="eastAsia"/>
          <w:bCs/>
          <w:color w:val="auto"/>
          <w:szCs w:val="21"/>
        </w:rPr>
      </w:pPr>
      <w:r>
        <w:rPr>
          <w:rFonts w:hint="eastAsia"/>
          <w:bCs/>
          <w:color w:val="auto"/>
          <w:szCs w:val="21"/>
        </w:rPr>
        <w:t>2.4  标题栏</w:t>
      </w:r>
    </w:p>
    <w:p>
      <w:pPr>
        <w:spacing w:line="360" w:lineRule="auto"/>
        <w:ind w:firstLine="283" w:firstLineChars="135"/>
        <w:rPr>
          <w:rFonts w:hint="eastAsia"/>
          <w:bCs/>
          <w:color w:val="auto"/>
          <w:szCs w:val="21"/>
        </w:rPr>
      </w:pPr>
      <w:r>
        <w:rPr>
          <w:rFonts w:hint="eastAsia"/>
          <w:bCs/>
          <w:color w:val="auto"/>
          <w:szCs w:val="21"/>
        </w:rPr>
        <w:t>标题栏设在图纸右下角，其格式和尺寸应遵守《水利水电工程制图标准基础制图》（SL73.1-1995）的规定。</w:t>
      </w:r>
    </w:p>
    <w:bookmarkEnd w:id="2495"/>
    <w:p>
      <w:pPr>
        <w:jc w:val="center"/>
        <w:rPr>
          <w:rFonts w:hint="eastAsia" w:ascii="Arial" w:hAnsi="Arial" w:eastAsia="黑体"/>
          <w:color w:val="auto"/>
          <w:szCs w:val="21"/>
        </w:rPr>
      </w:pPr>
      <w:bookmarkStart w:id="2496" w:name="_Toc221952238"/>
      <w:r>
        <w:rPr>
          <w:rFonts w:hint="eastAsia" w:ascii="Arial" w:hAnsi="Arial" w:eastAsia="黑体"/>
          <w:color w:val="auto"/>
          <w:szCs w:val="21"/>
        </w:rPr>
        <w:t xml:space="preserve"> 幅面及图框尺寸</w:t>
      </w:r>
      <w:bookmarkEnd w:id="2496"/>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2"/>
        <w:gridCol w:w="1803"/>
        <w:gridCol w:w="1352"/>
        <w:gridCol w:w="1352"/>
        <w:gridCol w:w="1352"/>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497" w:name="_Toc221952239"/>
            <w:r>
              <w:rPr>
                <w:rFonts w:hint="eastAsia" w:ascii="Arial" w:hAnsi="Arial" w:eastAsia="黑体"/>
                <w:color w:val="auto"/>
                <w:szCs w:val="21"/>
              </w:rPr>
              <w:t>幅面代号</w:t>
            </w:r>
            <w:bookmarkEnd w:id="2497"/>
          </w:p>
        </w:tc>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498" w:name="_Toc221952240"/>
            <w:r>
              <w:rPr>
                <w:rFonts w:ascii="Arial" w:hAnsi="Arial" w:eastAsia="黑体"/>
                <w:color w:val="auto"/>
                <w:szCs w:val="21"/>
              </w:rPr>
              <w:t>A0</w:t>
            </w:r>
            <w:bookmarkEnd w:id="2498"/>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499" w:name="_Toc221952241"/>
            <w:r>
              <w:rPr>
                <w:rFonts w:ascii="Arial" w:hAnsi="Arial" w:eastAsia="黑体"/>
                <w:color w:val="auto"/>
                <w:szCs w:val="21"/>
              </w:rPr>
              <w:t>A1</w:t>
            </w:r>
            <w:bookmarkEnd w:id="2499"/>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500" w:name="_Toc221952242"/>
            <w:r>
              <w:rPr>
                <w:rFonts w:ascii="Arial" w:hAnsi="Arial" w:eastAsia="黑体"/>
                <w:color w:val="auto"/>
                <w:szCs w:val="21"/>
              </w:rPr>
              <w:t>A2</w:t>
            </w:r>
            <w:bookmarkEnd w:id="2500"/>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501" w:name="_Toc221952243"/>
            <w:r>
              <w:rPr>
                <w:rFonts w:ascii="Arial" w:hAnsi="Arial" w:eastAsia="黑体"/>
                <w:color w:val="auto"/>
                <w:szCs w:val="21"/>
              </w:rPr>
              <w:t>A3</w:t>
            </w:r>
            <w:bookmarkEnd w:id="2501"/>
          </w:p>
        </w:tc>
        <w:tc>
          <w:tcPr>
            <w:tcW w:w="85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Arial" w:hAnsi="Arial" w:eastAsia="黑体"/>
                <w:color w:val="auto"/>
                <w:szCs w:val="21"/>
              </w:rPr>
            </w:pPr>
            <w:bookmarkStart w:id="2502" w:name="_Toc221952244"/>
            <w:r>
              <w:rPr>
                <w:rFonts w:ascii="Arial" w:hAnsi="Arial" w:eastAsia="黑体"/>
                <w:color w:val="auto"/>
                <w:szCs w:val="21"/>
              </w:rPr>
              <w:t>A4</w:t>
            </w:r>
            <w:bookmarkEnd w:id="25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3" w:name="_Toc221952245"/>
            <w:r>
              <w:rPr>
                <w:color w:val="auto"/>
                <w:szCs w:val="21"/>
              </w:rPr>
              <w:t>B×L</w:t>
            </w:r>
            <w:bookmarkEnd w:id="2503"/>
            <w:r>
              <w:rPr>
                <w:rFonts w:hint="eastAsia"/>
                <w:color w:val="auto"/>
                <w:szCs w:val="21"/>
              </w:rPr>
              <w:t>（mm）</w:t>
            </w:r>
          </w:p>
        </w:tc>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4" w:name="_Toc221952246"/>
            <w:r>
              <w:rPr>
                <w:color w:val="auto"/>
                <w:szCs w:val="21"/>
              </w:rPr>
              <w:t>841×1189</w:t>
            </w:r>
            <w:bookmarkEnd w:id="2504"/>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5" w:name="_Toc221952247"/>
            <w:r>
              <w:rPr>
                <w:color w:val="auto"/>
                <w:szCs w:val="21"/>
              </w:rPr>
              <w:t>594×841</w:t>
            </w:r>
            <w:bookmarkEnd w:id="2505"/>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6" w:name="_Toc221952248"/>
            <w:r>
              <w:rPr>
                <w:color w:val="auto"/>
                <w:szCs w:val="21"/>
              </w:rPr>
              <w:t>420×594</w:t>
            </w:r>
            <w:bookmarkEnd w:id="2506"/>
          </w:p>
        </w:tc>
        <w:tc>
          <w:tcPr>
            <w:tcW w:w="732"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7" w:name="_Toc221952249"/>
            <w:r>
              <w:rPr>
                <w:color w:val="auto"/>
                <w:szCs w:val="21"/>
              </w:rPr>
              <w:t>297×420</w:t>
            </w:r>
            <w:bookmarkEnd w:id="2507"/>
          </w:p>
        </w:tc>
        <w:tc>
          <w:tcPr>
            <w:tcW w:w="854"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8" w:name="_Toc221952250"/>
            <w:r>
              <w:rPr>
                <w:color w:val="auto"/>
                <w:szCs w:val="21"/>
              </w:rPr>
              <w:t>210×297</w:t>
            </w:r>
            <w:bookmarkEnd w:id="25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09" w:name="_Toc221952251"/>
            <w:r>
              <w:rPr>
                <w:color w:val="auto"/>
                <w:szCs w:val="21"/>
              </w:rPr>
              <w:t>c</w:t>
            </w:r>
            <w:bookmarkEnd w:id="2509"/>
            <w:r>
              <w:rPr>
                <w:rFonts w:hint="eastAsia"/>
                <w:color w:val="auto"/>
                <w:szCs w:val="21"/>
              </w:rPr>
              <w:t>（mm）</w:t>
            </w:r>
          </w:p>
        </w:tc>
        <w:tc>
          <w:tcPr>
            <w:tcW w:w="2439"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10" w:name="_Toc221952252"/>
            <w:r>
              <w:rPr>
                <w:color w:val="auto"/>
                <w:szCs w:val="21"/>
              </w:rPr>
              <w:t>10</w:t>
            </w:r>
            <w:bookmarkEnd w:id="2510"/>
          </w:p>
        </w:tc>
        <w:tc>
          <w:tcPr>
            <w:tcW w:w="1585" w:type="pct"/>
            <w:gridSpan w:val="2"/>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11" w:name="_Toc221952253"/>
            <w:r>
              <w:rPr>
                <w:color w:val="auto"/>
                <w:szCs w:val="21"/>
              </w:rPr>
              <w:t>5</w:t>
            </w:r>
            <w:bookmarkEnd w:id="25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76" w:type="pct"/>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12" w:name="_Toc221952254"/>
            <w:r>
              <w:rPr>
                <w:color w:val="auto"/>
                <w:szCs w:val="21"/>
              </w:rPr>
              <w:t>a</w:t>
            </w:r>
            <w:bookmarkEnd w:id="2512"/>
            <w:r>
              <w:rPr>
                <w:rFonts w:hint="eastAsia"/>
                <w:color w:val="auto"/>
                <w:szCs w:val="21"/>
              </w:rPr>
              <w:t>（mm）</w:t>
            </w:r>
          </w:p>
        </w:tc>
        <w:tc>
          <w:tcPr>
            <w:tcW w:w="4024" w:type="pct"/>
            <w:gridSpan w:val="5"/>
            <w:tcBorders>
              <w:top w:val="single" w:color="auto" w:sz="4" w:space="0"/>
              <w:left w:val="single" w:color="auto" w:sz="4" w:space="0"/>
              <w:bottom w:val="single" w:color="auto" w:sz="4" w:space="0"/>
              <w:right w:val="single" w:color="auto" w:sz="4" w:space="0"/>
            </w:tcBorders>
            <w:noWrap w:val="0"/>
            <w:vAlign w:val="center"/>
          </w:tcPr>
          <w:p>
            <w:pPr>
              <w:jc w:val="center"/>
              <w:rPr>
                <w:color w:val="auto"/>
                <w:szCs w:val="21"/>
              </w:rPr>
            </w:pPr>
            <w:bookmarkStart w:id="2513" w:name="_Toc221952255"/>
            <w:r>
              <w:rPr>
                <w:color w:val="auto"/>
                <w:szCs w:val="21"/>
              </w:rPr>
              <w:t>25</w:t>
            </w:r>
            <w:bookmarkEnd w:id="2513"/>
          </w:p>
        </w:tc>
      </w:tr>
    </w:tbl>
    <w:p>
      <w:pPr>
        <w:jc w:val="center"/>
        <w:rPr>
          <w:rFonts w:hint="eastAsia" w:ascii="Arial" w:hAnsi="Arial" w:eastAsia="黑体"/>
          <w:color w:val="auto"/>
          <w:szCs w:val="21"/>
        </w:rPr>
      </w:pPr>
      <w:bookmarkStart w:id="2514" w:name="_Toc221952256"/>
    </w:p>
    <w:p>
      <w:pPr>
        <w:jc w:val="center"/>
        <w:rPr>
          <w:rFonts w:hint="eastAsia" w:ascii="Arial" w:hAnsi="Arial" w:eastAsia="黑体"/>
          <w:color w:val="auto"/>
          <w:szCs w:val="21"/>
        </w:rPr>
      </w:pPr>
    </w:p>
    <w:p>
      <w:pPr>
        <w:jc w:val="center"/>
        <w:rPr>
          <w:rFonts w:hint="eastAsia" w:ascii="Arial" w:hAnsi="Arial" w:eastAsia="黑体"/>
          <w:color w:val="auto"/>
          <w:szCs w:val="21"/>
        </w:rPr>
      </w:pPr>
    </w:p>
    <w:p>
      <w:pPr>
        <w:jc w:val="center"/>
        <w:rPr>
          <w:rFonts w:hint="eastAsia" w:ascii="Arial" w:hAnsi="Arial" w:eastAsia="黑体"/>
          <w:color w:val="auto"/>
          <w:szCs w:val="21"/>
        </w:rPr>
      </w:pPr>
      <w:r>
        <w:rPr>
          <w:rFonts w:hint="eastAsia" w:ascii="Arial" w:hAnsi="Arial" w:eastAsia="黑体"/>
          <w:color w:val="auto"/>
          <w:szCs w:val="21"/>
        </w:rPr>
        <w:t>图1：   图框</w:t>
      </w:r>
      <w:bookmarkEnd w:id="2514"/>
    </w:p>
    <w:p>
      <w:pPr>
        <w:rPr>
          <w:rFonts w:hint="eastAsia" w:ascii="Arial" w:hAnsi="Arial" w:eastAsia="黑体"/>
          <w:color w:val="auto"/>
          <w:szCs w:val="21"/>
        </w:rPr>
      </w:pPr>
      <w:r>
        <w:rPr>
          <w:rFonts w:hint="eastAsia" w:ascii="Arial" w:hAnsi="Arial" w:eastAsia="黑体"/>
          <w:color w:val="auto"/>
          <w:szCs w:val="21"/>
        </w:rPr>
        <w:drawing>
          <wp:anchor distT="0" distB="0" distL="114300" distR="114300" simplePos="0" relativeHeight="251659264" behindDoc="0" locked="0" layoutInCell="1" allowOverlap="1">
            <wp:simplePos x="0" y="0"/>
            <wp:positionH relativeFrom="column">
              <wp:posOffset>449580</wp:posOffset>
            </wp:positionH>
            <wp:positionV relativeFrom="paragraph">
              <wp:posOffset>59690</wp:posOffset>
            </wp:positionV>
            <wp:extent cx="5273040" cy="4754880"/>
            <wp:effectExtent l="0" t="0" r="3810" b="7620"/>
            <wp:wrapNone/>
            <wp:docPr id="1"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true"/>
                    </pic:cNvPicPr>
                  </pic:nvPicPr>
                  <pic:blipFill>
                    <a:blip r:embed="rId32"/>
                    <a:stretch>
                      <a:fillRect/>
                    </a:stretch>
                  </pic:blipFill>
                  <pic:spPr>
                    <a:xfrm>
                      <a:off x="0" y="0"/>
                      <a:ext cx="5273040" cy="4754880"/>
                    </a:xfrm>
                    <a:prstGeom prst="rect">
                      <a:avLst/>
                    </a:prstGeom>
                    <a:noFill/>
                    <a:ln>
                      <a:noFill/>
                    </a:ln>
                  </pic:spPr>
                </pic:pic>
              </a:graphicData>
            </a:graphic>
          </wp:anchor>
        </w:drawing>
      </w: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r>
        <w:rPr>
          <w:rFonts w:hint="eastAsia" w:ascii="Arial" w:hAnsi="Arial" w:eastAsia="黑体"/>
          <w:color w:val="auto"/>
          <w:szCs w:val="21"/>
        </w:rPr>
        <w:t xml:space="preserve">  </w:t>
      </w:r>
    </w:p>
    <w:p>
      <w:pPr>
        <w:jc w:val="center"/>
        <w:rPr>
          <w:rFonts w:ascii="Arial" w:hAnsi="Arial" w:eastAsia="黑体"/>
          <w:color w:val="auto"/>
          <w:szCs w:val="21"/>
        </w:rPr>
      </w:pPr>
      <w:bookmarkStart w:id="2515" w:name="_Toc221952259"/>
      <w:r>
        <w:rPr>
          <w:rFonts w:hint="eastAsia" w:ascii="Arial" w:hAnsi="Arial" w:eastAsia="黑体"/>
          <w:color w:val="auto"/>
          <w:szCs w:val="21"/>
        </w:rPr>
        <w:t>表2  图纸长边加长尺寸表</w:t>
      </w:r>
      <w:bookmarkEnd w:id="2515"/>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0"/>
        <w:gridCol w:w="1210"/>
        <w:gridCol w:w="1008"/>
        <w:gridCol w:w="1008"/>
        <w:gridCol w:w="1012"/>
        <w:gridCol w:w="997"/>
        <w:gridCol w:w="1075"/>
        <w:gridCol w:w="959"/>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16" w:name="_Toc221952260"/>
            <w:r>
              <w:rPr>
                <w:rFonts w:hint="eastAsia" w:ascii="Arial" w:hAnsi="Arial" w:eastAsia="黑体"/>
                <w:color w:val="auto"/>
                <w:szCs w:val="21"/>
              </w:rPr>
              <w:t>幅面号</w:t>
            </w:r>
            <w:bookmarkEnd w:id="2516"/>
          </w:p>
        </w:tc>
        <w:tc>
          <w:tcPr>
            <w:tcW w:w="655" w:type="pct"/>
            <w:noWrap w:val="0"/>
            <w:vAlign w:val="center"/>
          </w:tcPr>
          <w:p>
            <w:pPr>
              <w:jc w:val="center"/>
              <w:rPr>
                <w:rFonts w:hint="eastAsia" w:ascii="Arial" w:hAnsi="Arial" w:eastAsia="黑体"/>
                <w:color w:val="auto"/>
                <w:szCs w:val="21"/>
              </w:rPr>
            </w:pPr>
            <w:bookmarkStart w:id="2517" w:name="_Toc221952261"/>
            <w:r>
              <w:rPr>
                <w:rFonts w:hint="eastAsia" w:ascii="Arial" w:hAnsi="Arial" w:eastAsia="黑体"/>
                <w:color w:val="auto"/>
                <w:szCs w:val="21"/>
              </w:rPr>
              <w:t>长边尺寸</w:t>
            </w:r>
            <w:bookmarkEnd w:id="2517"/>
          </w:p>
        </w:tc>
        <w:tc>
          <w:tcPr>
            <w:tcW w:w="3798" w:type="pct"/>
            <w:gridSpan w:val="7"/>
            <w:noWrap w:val="0"/>
            <w:vAlign w:val="center"/>
          </w:tcPr>
          <w:p>
            <w:pPr>
              <w:jc w:val="center"/>
              <w:rPr>
                <w:rFonts w:hint="eastAsia" w:ascii="Arial" w:hAnsi="Arial" w:eastAsia="黑体"/>
                <w:color w:val="auto"/>
                <w:szCs w:val="21"/>
              </w:rPr>
            </w:pPr>
            <w:bookmarkStart w:id="2518" w:name="_Toc221952262"/>
            <w:r>
              <w:rPr>
                <w:rFonts w:hint="eastAsia" w:ascii="Arial" w:hAnsi="Arial" w:eastAsia="黑体"/>
                <w:color w:val="auto"/>
                <w:szCs w:val="21"/>
              </w:rPr>
              <w:t>长边加长后的尺寸</w:t>
            </w:r>
            <w:bookmarkEnd w:id="25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19" w:name="_Toc221952263"/>
            <w:r>
              <w:rPr>
                <w:rFonts w:hint="eastAsia" w:ascii="Arial" w:hAnsi="Arial" w:eastAsia="黑体"/>
                <w:color w:val="auto"/>
                <w:szCs w:val="21"/>
              </w:rPr>
              <w:t>A0</w:t>
            </w:r>
            <w:bookmarkEnd w:id="2519"/>
          </w:p>
        </w:tc>
        <w:tc>
          <w:tcPr>
            <w:tcW w:w="655" w:type="pct"/>
            <w:noWrap w:val="0"/>
            <w:vAlign w:val="center"/>
          </w:tcPr>
          <w:p>
            <w:pPr>
              <w:jc w:val="center"/>
              <w:rPr>
                <w:rFonts w:hint="eastAsia" w:ascii="Arial" w:hAnsi="Arial" w:eastAsia="黑体"/>
                <w:color w:val="auto"/>
                <w:szCs w:val="21"/>
              </w:rPr>
            </w:pPr>
            <w:bookmarkStart w:id="2520" w:name="_Toc221952264"/>
            <w:r>
              <w:rPr>
                <w:rFonts w:hint="eastAsia" w:ascii="Arial" w:hAnsi="Arial" w:eastAsia="黑体"/>
                <w:color w:val="auto"/>
                <w:szCs w:val="21"/>
              </w:rPr>
              <w:t>1189</w:t>
            </w:r>
            <w:bookmarkEnd w:id="2520"/>
          </w:p>
        </w:tc>
        <w:tc>
          <w:tcPr>
            <w:tcW w:w="546" w:type="pct"/>
            <w:noWrap w:val="0"/>
            <w:vAlign w:val="center"/>
          </w:tcPr>
          <w:p>
            <w:pPr>
              <w:jc w:val="center"/>
              <w:rPr>
                <w:rFonts w:hint="eastAsia" w:ascii="Arial" w:hAnsi="Arial" w:eastAsia="黑体"/>
                <w:color w:val="auto"/>
                <w:szCs w:val="21"/>
              </w:rPr>
            </w:pPr>
          </w:p>
        </w:tc>
        <w:tc>
          <w:tcPr>
            <w:tcW w:w="546" w:type="pct"/>
            <w:noWrap w:val="0"/>
            <w:vAlign w:val="center"/>
          </w:tcPr>
          <w:p>
            <w:pPr>
              <w:jc w:val="center"/>
              <w:rPr>
                <w:rFonts w:hint="eastAsia" w:ascii="Arial" w:hAnsi="Arial" w:eastAsia="黑体"/>
                <w:color w:val="auto"/>
                <w:szCs w:val="21"/>
              </w:rPr>
            </w:pPr>
            <w:bookmarkStart w:id="2521" w:name="_Toc221952265"/>
            <w:r>
              <w:rPr>
                <w:rFonts w:hint="eastAsia" w:ascii="Arial" w:hAnsi="Arial" w:eastAsia="黑体"/>
                <w:color w:val="auto"/>
                <w:szCs w:val="21"/>
              </w:rPr>
              <w:t>1652</w:t>
            </w:r>
            <w:bookmarkEnd w:id="2521"/>
          </w:p>
          <w:p>
            <w:pPr>
              <w:jc w:val="center"/>
              <w:rPr>
                <w:rFonts w:hint="eastAsia" w:ascii="Arial" w:hAnsi="Arial" w:eastAsia="黑体"/>
                <w:color w:val="auto"/>
                <w:szCs w:val="21"/>
              </w:rPr>
            </w:pPr>
            <w:bookmarkStart w:id="2522" w:name="_Toc221952266"/>
            <w:r>
              <w:rPr>
                <w:rFonts w:hint="eastAsia" w:ascii="Arial" w:hAnsi="Arial" w:eastAsia="黑体"/>
                <w:color w:val="auto"/>
                <w:szCs w:val="21"/>
              </w:rPr>
              <w:t>A0×2</w:t>
            </w:r>
            <w:bookmarkEnd w:id="2522"/>
          </w:p>
        </w:tc>
        <w:tc>
          <w:tcPr>
            <w:tcW w:w="548" w:type="pct"/>
            <w:noWrap w:val="0"/>
            <w:vAlign w:val="center"/>
          </w:tcPr>
          <w:p>
            <w:pPr>
              <w:jc w:val="center"/>
              <w:rPr>
                <w:rFonts w:hint="eastAsia" w:ascii="Arial" w:hAnsi="Arial" w:eastAsia="黑体"/>
                <w:color w:val="auto"/>
                <w:szCs w:val="21"/>
              </w:rPr>
            </w:pPr>
            <w:bookmarkStart w:id="2523" w:name="_Toc221952267"/>
            <w:r>
              <w:rPr>
                <w:rFonts w:hint="eastAsia" w:ascii="Arial" w:hAnsi="Arial" w:eastAsia="黑体"/>
                <w:color w:val="auto"/>
                <w:szCs w:val="21"/>
              </w:rPr>
              <w:t>2523</w:t>
            </w:r>
            <w:bookmarkEnd w:id="2523"/>
          </w:p>
          <w:p>
            <w:pPr>
              <w:jc w:val="center"/>
              <w:rPr>
                <w:rFonts w:hint="eastAsia" w:ascii="Arial" w:hAnsi="Arial" w:eastAsia="黑体"/>
                <w:color w:val="auto"/>
                <w:szCs w:val="21"/>
              </w:rPr>
            </w:pPr>
            <w:bookmarkStart w:id="2524" w:name="_Toc221952268"/>
            <w:r>
              <w:rPr>
                <w:rFonts w:hint="eastAsia" w:ascii="Arial" w:hAnsi="Arial" w:eastAsia="黑体"/>
                <w:color w:val="auto"/>
                <w:szCs w:val="21"/>
              </w:rPr>
              <w:t>A0×3</w:t>
            </w:r>
            <w:bookmarkEnd w:id="2524"/>
          </w:p>
        </w:tc>
        <w:tc>
          <w:tcPr>
            <w:tcW w:w="540" w:type="pct"/>
            <w:noWrap w:val="0"/>
            <w:vAlign w:val="center"/>
          </w:tcPr>
          <w:p>
            <w:pPr>
              <w:jc w:val="center"/>
              <w:rPr>
                <w:rFonts w:hint="eastAsia" w:ascii="Arial" w:hAnsi="Arial" w:eastAsia="黑体"/>
                <w:color w:val="auto"/>
                <w:szCs w:val="21"/>
              </w:rPr>
            </w:pPr>
          </w:p>
        </w:tc>
        <w:tc>
          <w:tcPr>
            <w:tcW w:w="582" w:type="pct"/>
            <w:noWrap w:val="0"/>
            <w:vAlign w:val="center"/>
          </w:tcPr>
          <w:p>
            <w:pPr>
              <w:jc w:val="center"/>
              <w:rPr>
                <w:rFonts w:hint="eastAsia" w:ascii="Arial" w:hAnsi="Arial" w:eastAsia="黑体"/>
                <w:color w:val="auto"/>
                <w:szCs w:val="21"/>
              </w:rPr>
            </w:pPr>
          </w:p>
        </w:tc>
        <w:tc>
          <w:tcPr>
            <w:tcW w:w="519" w:type="pct"/>
            <w:noWrap w:val="0"/>
            <w:vAlign w:val="center"/>
          </w:tcPr>
          <w:p>
            <w:pPr>
              <w:jc w:val="center"/>
              <w:rPr>
                <w:rFonts w:hint="eastAsia" w:ascii="Arial" w:hAnsi="Arial" w:eastAsia="黑体"/>
                <w:color w:val="auto"/>
                <w:szCs w:val="21"/>
              </w:rPr>
            </w:pPr>
          </w:p>
        </w:tc>
        <w:tc>
          <w:tcPr>
            <w:tcW w:w="516" w:type="pct"/>
            <w:noWrap w:val="0"/>
            <w:vAlign w:val="center"/>
          </w:tcPr>
          <w:p>
            <w:pPr>
              <w:jc w:val="center"/>
              <w:rPr>
                <w:rFonts w:hint="eastAsia" w:ascii="Arial" w:hAnsi="Arial"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25" w:name="_Toc221952269"/>
            <w:r>
              <w:rPr>
                <w:rFonts w:hint="eastAsia" w:ascii="Arial" w:hAnsi="Arial" w:eastAsia="黑体"/>
                <w:color w:val="auto"/>
                <w:szCs w:val="21"/>
              </w:rPr>
              <w:t>A1</w:t>
            </w:r>
            <w:bookmarkEnd w:id="2525"/>
          </w:p>
        </w:tc>
        <w:tc>
          <w:tcPr>
            <w:tcW w:w="655" w:type="pct"/>
            <w:noWrap w:val="0"/>
            <w:vAlign w:val="center"/>
          </w:tcPr>
          <w:p>
            <w:pPr>
              <w:jc w:val="center"/>
              <w:rPr>
                <w:rFonts w:hint="eastAsia" w:ascii="Arial" w:hAnsi="Arial" w:eastAsia="黑体"/>
                <w:color w:val="auto"/>
                <w:szCs w:val="21"/>
              </w:rPr>
            </w:pPr>
            <w:bookmarkStart w:id="2526" w:name="_Toc221952270"/>
            <w:r>
              <w:rPr>
                <w:rFonts w:hint="eastAsia" w:ascii="Arial" w:hAnsi="Arial" w:eastAsia="黑体"/>
                <w:color w:val="auto"/>
                <w:szCs w:val="21"/>
              </w:rPr>
              <w:t>841</w:t>
            </w:r>
            <w:bookmarkEnd w:id="2526"/>
          </w:p>
        </w:tc>
        <w:tc>
          <w:tcPr>
            <w:tcW w:w="546" w:type="pct"/>
            <w:noWrap w:val="0"/>
            <w:vAlign w:val="center"/>
          </w:tcPr>
          <w:p>
            <w:pPr>
              <w:jc w:val="center"/>
              <w:rPr>
                <w:rFonts w:hint="eastAsia" w:ascii="Arial" w:hAnsi="Arial" w:eastAsia="黑体"/>
                <w:color w:val="auto"/>
                <w:szCs w:val="21"/>
              </w:rPr>
            </w:pPr>
          </w:p>
        </w:tc>
        <w:tc>
          <w:tcPr>
            <w:tcW w:w="546" w:type="pct"/>
            <w:noWrap w:val="0"/>
            <w:vAlign w:val="center"/>
          </w:tcPr>
          <w:p>
            <w:pPr>
              <w:jc w:val="center"/>
              <w:rPr>
                <w:rFonts w:hint="eastAsia" w:ascii="Arial" w:hAnsi="Arial" w:eastAsia="黑体"/>
                <w:color w:val="auto"/>
                <w:szCs w:val="21"/>
              </w:rPr>
            </w:pPr>
            <w:bookmarkStart w:id="2527" w:name="_Toc221952271"/>
            <w:r>
              <w:rPr>
                <w:rFonts w:hint="eastAsia" w:ascii="Arial" w:hAnsi="Arial" w:eastAsia="黑体"/>
                <w:color w:val="auto"/>
                <w:szCs w:val="21"/>
              </w:rPr>
              <w:t>1783</w:t>
            </w:r>
            <w:bookmarkEnd w:id="2527"/>
          </w:p>
          <w:p>
            <w:pPr>
              <w:jc w:val="center"/>
              <w:rPr>
                <w:rFonts w:hint="eastAsia" w:ascii="Arial" w:hAnsi="Arial" w:eastAsia="黑体"/>
                <w:color w:val="auto"/>
                <w:szCs w:val="21"/>
              </w:rPr>
            </w:pPr>
            <w:bookmarkStart w:id="2528" w:name="_Toc221952272"/>
            <w:r>
              <w:rPr>
                <w:rFonts w:hint="eastAsia" w:ascii="Arial" w:hAnsi="Arial" w:eastAsia="黑体"/>
                <w:color w:val="auto"/>
                <w:szCs w:val="21"/>
              </w:rPr>
              <w:t>A1×3</w:t>
            </w:r>
            <w:bookmarkEnd w:id="2528"/>
          </w:p>
        </w:tc>
        <w:tc>
          <w:tcPr>
            <w:tcW w:w="548" w:type="pct"/>
            <w:noWrap w:val="0"/>
            <w:vAlign w:val="center"/>
          </w:tcPr>
          <w:p>
            <w:pPr>
              <w:jc w:val="center"/>
              <w:rPr>
                <w:rFonts w:hint="eastAsia" w:ascii="Arial" w:hAnsi="Arial" w:eastAsia="黑体"/>
                <w:color w:val="auto"/>
                <w:szCs w:val="21"/>
              </w:rPr>
            </w:pPr>
            <w:bookmarkStart w:id="2529" w:name="_Toc221952273"/>
            <w:r>
              <w:rPr>
                <w:rFonts w:hint="eastAsia" w:ascii="Arial" w:hAnsi="Arial" w:eastAsia="黑体"/>
                <w:color w:val="auto"/>
                <w:szCs w:val="21"/>
              </w:rPr>
              <w:t>2378</w:t>
            </w:r>
            <w:bookmarkEnd w:id="2529"/>
          </w:p>
          <w:p>
            <w:pPr>
              <w:jc w:val="center"/>
              <w:rPr>
                <w:rFonts w:hint="eastAsia" w:ascii="Arial" w:hAnsi="Arial" w:eastAsia="黑体"/>
                <w:color w:val="auto"/>
                <w:szCs w:val="21"/>
              </w:rPr>
            </w:pPr>
            <w:bookmarkStart w:id="2530" w:name="_Toc221952274"/>
            <w:r>
              <w:rPr>
                <w:rFonts w:hint="eastAsia" w:ascii="Arial" w:hAnsi="Arial" w:eastAsia="黑体"/>
                <w:color w:val="auto"/>
                <w:szCs w:val="21"/>
              </w:rPr>
              <w:t>A1×4</w:t>
            </w:r>
            <w:bookmarkEnd w:id="2530"/>
          </w:p>
        </w:tc>
        <w:tc>
          <w:tcPr>
            <w:tcW w:w="540" w:type="pct"/>
            <w:noWrap w:val="0"/>
            <w:vAlign w:val="center"/>
          </w:tcPr>
          <w:p>
            <w:pPr>
              <w:jc w:val="center"/>
              <w:rPr>
                <w:rFonts w:hint="eastAsia" w:ascii="Arial" w:hAnsi="Arial" w:eastAsia="黑体"/>
                <w:color w:val="auto"/>
                <w:szCs w:val="21"/>
              </w:rPr>
            </w:pPr>
          </w:p>
        </w:tc>
        <w:tc>
          <w:tcPr>
            <w:tcW w:w="582" w:type="pct"/>
            <w:noWrap w:val="0"/>
            <w:vAlign w:val="center"/>
          </w:tcPr>
          <w:p>
            <w:pPr>
              <w:jc w:val="center"/>
              <w:rPr>
                <w:rFonts w:hint="eastAsia" w:ascii="Arial" w:hAnsi="Arial" w:eastAsia="黑体"/>
                <w:color w:val="auto"/>
                <w:szCs w:val="21"/>
              </w:rPr>
            </w:pPr>
          </w:p>
        </w:tc>
        <w:tc>
          <w:tcPr>
            <w:tcW w:w="519" w:type="pct"/>
            <w:noWrap w:val="0"/>
            <w:vAlign w:val="center"/>
          </w:tcPr>
          <w:p>
            <w:pPr>
              <w:jc w:val="center"/>
              <w:rPr>
                <w:rFonts w:hint="eastAsia" w:ascii="Arial" w:hAnsi="Arial" w:eastAsia="黑体"/>
                <w:color w:val="auto"/>
                <w:szCs w:val="21"/>
              </w:rPr>
            </w:pPr>
          </w:p>
        </w:tc>
        <w:tc>
          <w:tcPr>
            <w:tcW w:w="516" w:type="pct"/>
            <w:noWrap w:val="0"/>
            <w:vAlign w:val="center"/>
          </w:tcPr>
          <w:p>
            <w:pPr>
              <w:jc w:val="center"/>
              <w:rPr>
                <w:rFonts w:hint="eastAsia" w:ascii="Arial" w:hAnsi="Arial"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31" w:name="_Toc221952275"/>
            <w:r>
              <w:rPr>
                <w:rFonts w:hint="eastAsia" w:ascii="Arial" w:hAnsi="Arial" w:eastAsia="黑体"/>
                <w:color w:val="auto"/>
                <w:szCs w:val="21"/>
              </w:rPr>
              <w:t>A2</w:t>
            </w:r>
            <w:bookmarkEnd w:id="2531"/>
          </w:p>
        </w:tc>
        <w:tc>
          <w:tcPr>
            <w:tcW w:w="655" w:type="pct"/>
            <w:noWrap w:val="0"/>
            <w:vAlign w:val="center"/>
          </w:tcPr>
          <w:p>
            <w:pPr>
              <w:jc w:val="center"/>
              <w:rPr>
                <w:rFonts w:hint="eastAsia" w:ascii="Arial" w:hAnsi="Arial" w:eastAsia="黑体"/>
                <w:color w:val="auto"/>
                <w:szCs w:val="21"/>
              </w:rPr>
            </w:pPr>
            <w:bookmarkStart w:id="2532" w:name="_Toc221952276"/>
            <w:r>
              <w:rPr>
                <w:rFonts w:hint="eastAsia" w:ascii="Arial" w:hAnsi="Arial" w:eastAsia="黑体"/>
                <w:color w:val="auto"/>
                <w:szCs w:val="21"/>
              </w:rPr>
              <w:t>594</w:t>
            </w:r>
            <w:bookmarkEnd w:id="2532"/>
          </w:p>
        </w:tc>
        <w:tc>
          <w:tcPr>
            <w:tcW w:w="546" w:type="pct"/>
            <w:noWrap w:val="0"/>
            <w:vAlign w:val="center"/>
          </w:tcPr>
          <w:p>
            <w:pPr>
              <w:jc w:val="center"/>
              <w:rPr>
                <w:rFonts w:hint="eastAsia" w:ascii="Arial" w:hAnsi="Arial" w:eastAsia="黑体"/>
                <w:color w:val="auto"/>
                <w:szCs w:val="21"/>
              </w:rPr>
            </w:pPr>
          </w:p>
        </w:tc>
        <w:tc>
          <w:tcPr>
            <w:tcW w:w="546" w:type="pct"/>
            <w:noWrap w:val="0"/>
            <w:vAlign w:val="center"/>
          </w:tcPr>
          <w:p>
            <w:pPr>
              <w:jc w:val="center"/>
              <w:rPr>
                <w:rFonts w:hint="eastAsia" w:ascii="Arial" w:hAnsi="Arial" w:eastAsia="黑体"/>
                <w:color w:val="auto"/>
                <w:szCs w:val="21"/>
              </w:rPr>
            </w:pPr>
            <w:bookmarkStart w:id="2533" w:name="_Toc221952277"/>
            <w:r>
              <w:rPr>
                <w:rFonts w:hint="eastAsia" w:ascii="Arial" w:hAnsi="Arial" w:eastAsia="黑体"/>
                <w:color w:val="auto"/>
                <w:szCs w:val="21"/>
              </w:rPr>
              <w:t>1261</w:t>
            </w:r>
            <w:bookmarkEnd w:id="2533"/>
          </w:p>
          <w:p>
            <w:pPr>
              <w:jc w:val="center"/>
              <w:rPr>
                <w:rFonts w:hint="eastAsia" w:ascii="Arial" w:hAnsi="Arial" w:eastAsia="黑体"/>
                <w:color w:val="auto"/>
                <w:szCs w:val="21"/>
              </w:rPr>
            </w:pPr>
            <w:bookmarkStart w:id="2534" w:name="_Toc221952278"/>
            <w:r>
              <w:rPr>
                <w:rFonts w:hint="eastAsia" w:ascii="Arial" w:hAnsi="Arial" w:eastAsia="黑体"/>
                <w:color w:val="auto"/>
                <w:szCs w:val="21"/>
              </w:rPr>
              <w:t>A2×3</w:t>
            </w:r>
            <w:bookmarkEnd w:id="2534"/>
          </w:p>
        </w:tc>
        <w:tc>
          <w:tcPr>
            <w:tcW w:w="548" w:type="pct"/>
            <w:noWrap w:val="0"/>
            <w:vAlign w:val="center"/>
          </w:tcPr>
          <w:p>
            <w:pPr>
              <w:jc w:val="center"/>
              <w:rPr>
                <w:rFonts w:hint="eastAsia" w:ascii="Arial" w:hAnsi="Arial" w:eastAsia="黑体"/>
                <w:color w:val="auto"/>
                <w:szCs w:val="21"/>
              </w:rPr>
            </w:pPr>
            <w:bookmarkStart w:id="2535" w:name="_Toc221952279"/>
            <w:r>
              <w:rPr>
                <w:rFonts w:hint="eastAsia" w:ascii="Arial" w:hAnsi="Arial" w:eastAsia="黑体"/>
                <w:color w:val="auto"/>
                <w:szCs w:val="21"/>
              </w:rPr>
              <w:t>1682</w:t>
            </w:r>
            <w:bookmarkEnd w:id="2535"/>
          </w:p>
          <w:p>
            <w:pPr>
              <w:jc w:val="center"/>
              <w:rPr>
                <w:rFonts w:hint="eastAsia" w:ascii="Arial" w:hAnsi="Arial" w:eastAsia="黑体"/>
                <w:color w:val="auto"/>
                <w:szCs w:val="21"/>
              </w:rPr>
            </w:pPr>
            <w:bookmarkStart w:id="2536" w:name="_Toc221952280"/>
            <w:r>
              <w:rPr>
                <w:rFonts w:hint="eastAsia" w:ascii="Arial" w:hAnsi="Arial" w:eastAsia="黑体"/>
                <w:color w:val="auto"/>
                <w:szCs w:val="21"/>
              </w:rPr>
              <w:t>A2×4</w:t>
            </w:r>
            <w:bookmarkEnd w:id="2536"/>
          </w:p>
        </w:tc>
        <w:tc>
          <w:tcPr>
            <w:tcW w:w="540" w:type="pct"/>
            <w:noWrap w:val="0"/>
            <w:vAlign w:val="center"/>
          </w:tcPr>
          <w:p>
            <w:pPr>
              <w:jc w:val="center"/>
              <w:rPr>
                <w:rFonts w:hint="eastAsia" w:ascii="Arial" w:hAnsi="Arial" w:eastAsia="黑体"/>
                <w:color w:val="auto"/>
                <w:szCs w:val="21"/>
              </w:rPr>
            </w:pPr>
            <w:bookmarkStart w:id="2537" w:name="_Toc221952281"/>
            <w:r>
              <w:rPr>
                <w:rFonts w:hint="eastAsia" w:ascii="Arial" w:hAnsi="Arial" w:eastAsia="黑体"/>
                <w:color w:val="auto"/>
                <w:szCs w:val="21"/>
              </w:rPr>
              <w:t>2102</w:t>
            </w:r>
            <w:bookmarkEnd w:id="2537"/>
          </w:p>
          <w:p>
            <w:pPr>
              <w:jc w:val="center"/>
              <w:rPr>
                <w:rFonts w:hint="eastAsia" w:ascii="Arial" w:hAnsi="Arial" w:eastAsia="黑体"/>
                <w:color w:val="auto"/>
                <w:szCs w:val="21"/>
              </w:rPr>
            </w:pPr>
            <w:bookmarkStart w:id="2538" w:name="_Toc221952282"/>
            <w:r>
              <w:rPr>
                <w:rFonts w:hint="eastAsia" w:ascii="Arial" w:hAnsi="Arial" w:eastAsia="黑体"/>
                <w:color w:val="auto"/>
                <w:szCs w:val="21"/>
              </w:rPr>
              <w:t>A2×5</w:t>
            </w:r>
            <w:bookmarkEnd w:id="2538"/>
          </w:p>
        </w:tc>
        <w:tc>
          <w:tcPr>
            <w:tcW w:w="582" w:type="pct"/>
            <w:noWrap w:val="0"/>
            <w:vAlign w:val="center"/>
          </w:tcPr>
          <w:p>
            <w:pPr>
              <w:jc w:val="center"/>
              <w:rPr>
                <w:rFonts w:hint="eastAsia" w:ascii="Arial" w:hAnsi="Arial" w:eastAsia="黑体"/>
                <w:color w:val="auto"/>
                <w:szCs w:val="21"/>
              </w:rPr>
            </w:pPr>
          </w:p>
        </w:tc>
        <w:tc>
          <w:tcPr>
            <w:tcW w:w="519" w:type="pct"/>
            <w:noWrap w:val="0"/>
            <w:vAlign w:val="center"/>
          </w:tcPr>
          <w:p>
            <w:pPr>
              <w:jc w:val="center"/>
              <w:rPr>
                <w:rFonts w:hint="eastAsia" w:ascii="Arial" w:hAnsi="Arial" w:eastAsia="黑体"/>
                <w:color w:val="auto"/>
                <w:szCs w:val="21"/>
              </w:rPr>
            </w:pPr>
          </w:p>
        </w:tc>
        <w:tc>
          <w:tcPr>
            <w:tcW w:w="516" w:type="pct"/>
            <w:noWrap w:val="0"/>
            <w:vAlign w:val="center"/>
          </w:tcPr>
          <w:p>
            <w:pPr>
              <w:jc w:val="center"/>
              <w:rPr>
                <w:rFonts w:hint="eastAsia" w:ascii="Arial" w:hAnsi="Arial"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39" w:name="_Toc221952283"/>
            <w:r>
              <w:rPr>
                <w:rFonts w:hint="eastAsia" w:ascii="Arial" w:hAnsi="Arial" w:eastAsia="黑体"/>
                <w:color w:val="auto"/>
                <w:szCs w:val="21"/>
              </w:rPr>
              <w:t>A3</w:t>
            </w:r>
            <w:bookmarkEnd w:id="2539"/>
          </w:p>
        </w:tc>
        <w:tc>
          <w:tcPr>
            <w:tcW w:w="655" w:type="pct"/>
            <w:noWrap w:val="0"/>
            <w:vAlign w:val="center"/>
          </w:tcPr>
          <w:p>
            <w:pPr>
              <w:jc w:val="center"/>
              <w:rPr>
                <w:rFonts w:hint="eastAsia" w:ascii="Arial" w:hAnsi="Arial" w:eastAsia="黑体"/>
                <w:color w:val="auto"/>
                <w:szCs w:val="21"/>
              </w:rPr>
            </w:pPr>
            <w:bookmarkStart w:id="2540" w:name="_Toc221952284"/>
            <w:r>
              <w:rPr>
                <w:rFonts w:hint="eastAsia" w:ascii="Arial" w:hAnsi="Arial" w:eastAsia="黑体"/>
                <w:color w:val="auto"/>
                <w:szCs w:val="21"/>
              </w:rPr>
              <w:t>430</w:t>
            </w:r>
            <w:bookmarkEnd w:id="2540"/>
          </w:p>
        </w:tc>
        <w:tc>
          <w:tcPr>
            <w:tcW w:w="546" w:type="pct"/>
            <w:noWrap w:val="0"/>
            <w:vAlign w:val="center"/>
          </w:tcPr>
          <w:p>
            <w:pPr>
              <w:jc w:val="center"/>
              <w:rPr>
                <w:rFonts w:hint="eastAsia" w:ascii="Arial" w:hAnsi="Arial" w:eastAsia="黑体"/>
                <w:color w:val="auto"/>
                <w:szCs w:val="21"/>
              </w:rPr>
            </w:pPr>
          </w:p>
        </w:tc>
        <w:tc>
          <w:tcPr>
            <w:tcW w:w="546" w:type="pct"/>
            <w:noWrap w:val="0"/>
            <w:vAlign w:val="center"/>
          </w:tcPr>
          <w:p>
            <w:pPr>
              <w:jc w:val="center"/>
              <w:rPr>
                <w:rFonts w:hint="eastAsia" w:ascii="Arial" w:hAnsi="Arial" w:eastAsia="黑体"/>
                <w:color w:val="auto"/>
                <w:szCs w:val="21"/>
              </w:rPr>
            </w:pPr>
            <w:bookmarkStart w:id="2541" w:name="_Toc221952285"/>
            <w:r>
              <w:rPr>
                <w:rFonts w:hint="eastAsia" w:ascii="Arial" w:hAnsi="Arial" w:eastAsia="黑体"/>
                <w:color w:val="auto"/>
                <w:szCs w:val="21"/>
              </w:rPr>
              <w:t>891</w:t>
            </w:r>
            <w:bookmarkEnd w:id="2541"/>
          </w:p>
          <w:p>
            <w:pPr>
              <w:jc w:val="center"/>
              <w:rPr>
                <w:rFonts w:hint="eastAsia" w:ascii="Arial" w:hAnsi="Arial" w:eastAsia="黑体"/>
                <w:color w:val="auto"/>
                <w:szCs w:val="21"/>
              </w:rPr>
            </w:pPr>
            <w:bookmarkStart w:id="2542" w:name="_Toc221952286"/>
            <w:r>
              <w:rPr>
                <w:rFonts w:hint="eastAsia" w:ascii="Arial" w:hAnsi="Arial" w:eastAsia="黑体"/>
                <w:color w:val="auto"/>
                <w:szCs w:val="21"/>
              </w:rPr>
              <w:t>A3 ×3</w:t>
            </w:r>
            <w:bookmarkEnd w:id="2542"/>
          </w:p>
        </w:tc>
        <w:tc>
          <w:tcPr>
            <w:tcW w:w="548" w:type="pct"/>
            <w:noWrap w:val="0"/>
            <w:vAlign w:val="center"/>
          </w:tcPr>
          <w:p>
            <w:pPr>
              <w:jc w:val="center"/>
              <w:rPr>
                <w:rFonts w:hint="eastAsia" w:ascii="Arial" w:hAnsi="Arial" w:eastAsia="黑体"/>
                <w:color w:val="auto"/>
                <w:szCs w:val="21"/>
              </w:rPr>
            </w:pPr>
            <w:bookmarkStart w:id="2543" w:name="_Toc221952287"/>
            <w:r>
              <w:rPr>
                <w:rFonts w:hint="eastAsia" w:ascii="Arial" w:hAnsi="Arial" w:eastAsia="黑体"/>
                <w:color w:val="auto"/>
                <w:szCs w:val="21"/>
              </w:rPr>
              <w:t>1189</w:t>
            </w:r>
            <w:bookmarkEnd w:id="2543"/>
          </w:p>
          <w:p>
            <w:pPr>
              <w:jc w:val="center"/>
              <w:rPr>
                <w:rFonts w:hint="eastAsia" w:ascii="Arial" w:hAnsi="Arial" w:eastAsia="黑体"/>
                <w:color w:val="auto"/>
                <w:szCs w:val="21"/>
              </w:rPr>
            </w:pPr>
            <w:bookmarkStart w:id="2544" w:name="_Toc221952288"/>
            <w:r>
              <w:rPr>
                <w:rFonts w:hint="eastAsia" w:ascii="Arial" w:hAnsi="Arial" w:eastAsia="黑体"/>
                <w:color w:val="auto"/>
                <w:szCs w:val="21"/>
              </w:rPr>
              <w:t>A3×4</w:t>
            </w:r>
            <w:bookmarkEnd w:id="2544"/>
          </w:p>
        </w:tc>
        <w:tc>
          <w:tcPr>
            <w:tcW w:w="540" w:type="pct"/>
            <w:noWrap w:val="0"/>
            <w:vAlign w:val="center"/>
          </w:tcPr>
          <w:p>
            <w:pPr>
              <w:jc w:val="center"/>
              <w:rPr>
                <w:rFonts w:hint="eastAsia" w:ascii="Arial" w:hAnsi="Arial" w:eastAsia="黑体"/>
                <w:color w:val="auto"/>
                <w:szCs w:val="21"/>
              </w:rPr>
            </w:pPr>
            <w:bookmarkStart w:id="2545" w:name="_Toc221952289"/>
            <w:r>
              <w:rPr>
                <w:rFonts w:hint="eastAsia" w:ascii="Arial" w:hAnsi="Arial" w:eastAsia="黑体"/>
                <w:color w:val="auto"/>
                <w:szCs w:val="21"/>
              </w:rPr>
              <w:t>1486</w:t>
            </w:r>
            <w:bookmarkEnd w:id="2545"/>
          </w:p>
          <w:p>
            <w:pPr>
              <w:jc w:val="center"/>
              <w:rPr>
                <w:rFonts w:hint="eastAsia" w:ascii="Arial" w:hAnsi="Arial" w:eastAsia="黑体"/>
                <w:color w:val="auto"/>
                <w:szCs w:val="21"/>
              </w:rPr>
            </w:pPr>
            <w:bookmarkStart w:id="2546" w:name="_Toc221952290"/>
            <w:r>
              <w:rPr>
                <w:rFonts w:hint="eastAsia" w:ascii="Arial" w:hAnsi="Arial" w:eastAsia="黑体"/>
                <w:color w:val="auto"/>
                <w:szCs w:val="21"/>
              </w:rPr>
              <w:t>A3×5</w:t>
            </w:r>
            <w:bookmarkEnd w:id="2546"/>
          </w:p>
        </w:tc>
        <w:tc>
          <w:tcPr>
            <w:tcW w:w="582" w:type="pct"/>
            <w:noWrap w:val="0"/>
            <w:vAlign w:val="center"/>
          </w:tcPr>
          <w:p>
            <w:pPr>
              <w:jc w:val="center"/>
              <w:rPr>
                <w:rFonts w:hint="eastAsia" w:ascii="Arial" w:hAnsi="Arial" w:eastAsia="黑体"/>
                <w:color w:val="auto"/>
                <w:szCs w:val="21"/>
              </w:rPr>
            </w:pPr>
            <w:bookmarkStart w:id="2547" w:name="_Toc221952291"/>
            <w:r>
              <w:rPr>
                <w:rFonts w:hint="eastAsia" w:ascii="Arial" w:hAnsi="Arial" w:eastAsia="黑体"/>
                <w:color w:val="auto"/>
                <w:szCs w:val="21"/>
              </w:rPr>
              <w:t>1783</w:t>
            </w:r>
            <w:bookmarkEnd w:id="2547"/>
          </w:p>
          <w:p>
            <w:pPr>
              <w:jc w:val="center"/>
              <w:rPr>
                <w:rFonts w:hint="eastAsia" w:ascii="Arial" w:hAnsi="Arial" w:eastAsia="黑体"/>
                <w:color w:val="auto"/>
                <w:szCs w:val="21"/>
              </w:rPr>
            </w:pPr>
            <w:bookmarkStart w:id="2548" w:name="_Toc221952292"/>
            <w:r>
              <w:rPr>
                <w:rFonts w:hint="eastAsia" w:ascii="Arial" w:hAnsi="Arial" w:eastAsia="黑体"/>
                <w:color w:val="auto"/>
                <w:szCs w:val="21"/>
              </w:rPr>
              <w:t>A3×6</w:t>
            </w:r>
            <w:bookmarkEnd w:id="2548"/>
          </w:p>
        </w:tc>
        <w:tc>
          <w:tcPr>
            <w:tcW w:w="519" w:type="pct"/>
            <w:noWrap w:val="0"/>
            <w:vAlign w:val="center"/>
          </w:tcPr>
          <w:p>
            <w:pPr>
              <w:jc w:val="center"/>
              <w:rPr>
                <w:rFonts w:hint="eastAsia" w:ascii="Arial" w:hAnsi="Arial" w:eastAsia="黑体"/>
                <w:color w:val="auto"/>
                <w:szCs w:val="21"/>
              </w:rPr>
            </w:pPr>
          </w:p>
        </w:tc>
        <w:tc>
          <w:tcPr>
            <w:tcW w:w="516" w:type="pct"/>
            <w:noWrap w:val="0"/>
            <w:vAlign w:val="center"/>
          </w:tcPr>
          <w:p>
            <w:pPr>
              <w:jc w:val="center"/>
              <w:rPr>
                <w:rFonts w:hint="eastAsia" w:ascii="Arial" w:hAnsi="Arial" w:eastAsia="黑体"/>
                <w:color w:val="auto"/>
                <w:szCs w:val="21"/>
              </w:rPr>
            </w:pPr>
            <w:bookmarkStart w:id="2549" w:name="_Toc221952293"/>
            <w:r>
              <w:rPr>
                <w:rFonts w:hint="eastAsia" w:ascii="Arial" w:hAnsi="Arial" w:eastAsia="黑体"/>
                <w:color w:val="auto"/>
                <w:szCs w:val="21"/>
              </w:rPr>
              <w:t>2080</w:t>
            </w:r>
            <w:bookmarkEnd w:id="2549"/>
          </w:p>
          <w:p>
            <w:pPr>
              <w:jc w:val="center"/>
              <w:rPr>
                <w:rFonts w:hint="eastAsia" w:ascii="Arial" w:hAnsi="Arial" w:eastAsia="黑体"/>
                <w:color w:val="auto"/>
                <w:szCs w:val="21"/>
              </w:rPr>
            </w:pPr>
            <w:bookmarkStart w:id="2550" w:name="_Toc221952294"/>
            <w:r>
              <w:rPr>
                <w:rFonts w:hint="eastAsia" w:ascii="Arial" w:hAnsi="Arial" w:eastAsia="黑体"/>
                <w:color w:val="auto"/>
                <w:szCs w:val="21"/>
              </w:rPr>
              <w:t>A3×7</w:t>
            </w:r>
            <w:bookmarkEnd w:id="25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47" w:type="pct"/>
            <w:noWrap w:val="0"/>
            <w:vAlign w:val="center"/>
          </w:tcPr>
          <w:p>
            <w:pPr>
              <w:jc w:val="center"/>
              <w:rPr>
                <w:rFonts w:hint="eastAsia" w:ascii="Arial" w:hAnsi="Arial" w:eastAsia="黑体"/>
                <w:color w:val="auto"/>
                <w:szCs w:val="21"/>
              </w:rPr>
            </w:pPr>
            <w:bookmarkStart w:id="2551" w:name="_Toc221952295"/>
            <w:r>
              <w:rPr>
                <w:rFonts w:hint="eastAsia" w:ascii="Arial" w:hAnsi="Arial" w:eastAsia="黑体"/>
                <w:color w:val="auto"/>
                <w:szCs w:val="21"/>
              </w:rPr>
              <w:t>A4</w:t>
            </w:r>
            <w:bookmarkEnd w:id="2551"/>
          </w:p>
        </w:tc>
        <w:tc>
          <w:tcPr>
            <w:tcW w:w="655" w:type="pct"/>
            <w:noWrap w:val="0"/>
            <w:vAlign w:val="center"/>
          </w:tcPr>
          <w:p>
            <w:pPr>
              <w:jc w:val="center"/>
              <w:rPr>
                <w:rFonts w:hint="eastAsia" w:ascii="Arial" w:hAnsi="Arial" w:eastAsia="黑体"/>
                <w:color w:val="auto"/>
                <w:szCs w:val="21"/>
              </w:rPr>
            </w:pPr>
            <w:bookmarkStart w:id="2552" w:name="_Toc221952296"/>
            <w:r>
              <w:rPr>
                <w:rFonts w:hint="eastAsia" w:ascii="Arial" w:hAnsi="Arial" w:eastAsia="黑体"/>
                <w:color w:val="auto"/>
                <w:szCs w:val="21"/>
              </w:rPr>
              <w:t>297</w:t>
            </w:r>
            <w:bookmarkEnd w:id="2552"/>
          </w:p>
        </w:tc>
        <w:tc>
          <w:tcPr>
            <w:tcW w:w="546" w:type="pct"/>
            <w:noWrap w:val="0"/>
            <w:vAlign w:val="center"/>
          </w:tcPr>
          <w:p>
            <w:pPr>
              <w:jc w:val="center"/>
              <w:rPr>
                <w:rFonts w:hint="eastAsia" w:ascii="Arial" w:hAnsi="Arial" w:eastAsia="黑体"/>
                <w:color w:val="auto"/>
                <w:szCs w:val="21"/>
              </w:rPr>
            </w:pPr>
            <w:bookmarkStart w:id="2553" w:name="_Toc221952297"/>
            <w:r>
              <w:rPr>
                <w:rFonts w:hint="eastAsia" w:ascii="Arial" w:hAnsi="Arial" w:eastAsia="黑体"/>
                <w:color w:val="auto"/>
                <w:szCs w:val="21"/>
              </w:rPr>
              <w:t>630</w:t>
            </w:r>
            <w:bookmarkEnd w:id="2553"/>
          </w:p>
          <w:p>
            <w:pPr>
              <w:jc w:val="center"/>
              <w:rPr>
                <w:rFonts w:hint="eastAsia" w:ascii="Arial" w:hAnsi="Arial" w:eastAsia="黑体"/>
                <w:color w:val="auto"/>
                <w:szCs w:val="21"/>
              </w:rPr>
            </w:pPr>
            <w:bookmarkStart w:id="2554" w:name="_Toc221952298"/>
            <w:r>
              <w:rPr>
                <w:rFonts w:hint="eastAsia" w:ascii="Arial" w:hAnsi="Arial" w:eastAsia="黑体"/>
                <w:color w:val="auto"/>
                <w:szCs w:val="21"/>
              </w:rPr>
              <w:t>A4×3</w:t>
            </w:r>
            <w:bookmarkEnd w:id="2554"/>
          </w:p>
        </w:tc>
        <w:tc>
          <w:tcPr>
            <w:tcW w:w="546" w:type="pct"/>
            <w:noWrap w:val="0"/>
            <w:vAlign w:val="center"/>
          </w:tcPr>
          <w:p>
            <w:pPr>
              <w:jc w:val="center"/>
              <w:rPr>
                <w:rFonts w:hint="eastAsia" w:ascii="Arial" w:hAnsi="Arial" w:eastAsia="黑体"/>
                <w:color w:val="auto"/>
                <w:szCs w:val="21"/>
              </w:rPr>
            </w:pPr>
            <w:bookmarkStart w:id="2555" w:name="_Toc221952299"/>
            <w:r>
              <w:rPr>
                <w:rFonts w:hint="eastAsia" w:ascii="Arial" w:hAnsi="Arial" w:eastAsia="黑体"/>
                <w:color w:val="auto"/>
                <w:szCs w:val="21"/>
              </w:rPr>
              <w:t>841</w:t>
            </w:r>
            <w:bookmarkEnd w:id="2555"/>
          </w:p>
          <w:p>
            <w:pPr>
              <w:jc w:val="center"/>
              <w:rPr>
                <w:rFonts w:hint="eastAsia" w:ascii="Arial" w:hAnsi="Arial" w:eastAsia="黑体"/>
                <w:color w:val="auto"/>
                <w:szCs w:val="21"/>
              </w:rPr>
            </w:pPr>
            <w:bookmarkStart w:id="2556" w:name="_Toc221952300"/>
            <w:r>
              <w:rPr>
                <w:rFonts w:hint="eastAsia" w:ascii="Arial" w:hAnsi="Arial" w:eastAsia="黑体"/>
                <w:color w:val="auto"/>
                <w:szCs w:val="21"/>
              </w:rPr>
              <w:t>A4×4</w:t>
            </w:r>
            <w:bookmarkEnd w:id="2556"/>
          </w:p>
        </w:tc>
        <w:tc>
          <w:tcPr>
            <w:tcW w:w="548" w:type="pct"/>
            <w:noWrap w:val="0"/>
            <w:vAlign w:val="center"/>
          </w:tcPr>
          <w:p>
            <w:pPr>
              <w:jc w:val="center"/>
              <w:rPr>
                <w:rFonts w:hint="eastAsia" w:ascii="Arial" w:hAnsi="Arial" w:eastAsia="黑体"/>
                <w:color w:val="auto"/>
                <w:szCs w:val="21"/>
              </w:rPr>
            </w:pPr>
            <w:bookmarkStart w:id="2557" w:name="_Toc221952301"/>
            <w:r>
              <w:rPr>
                <w:rFonts w:hint="eastAsia" w:ascii="Arial" w:hAnsi="Arial" w:eastAsia="黑体"/>
                <w:color w:val="auto"/>
                <w:szCs w:val="21"/>
              </w:rPr>
              <w:t>1051</w:t>
            </w:r>
            <w:bookmarkEnd w:id="2557"/>
          </w:p>
          <w:p>
            <w:pPr>
              <w:jc w:val="center"/>
              <w:rPr>
                <w:rFonts w:hint="eastAsia" w:ascii="Arial" w:hAnsi="Arial" w:eastAsia="黑体"/>
                <w:color w:val="auto"/>
                <w:szCs w:val="21"/>
              </w:rPr>
            </w:pPr>
            <w:bookmarkStart w:id="2558" w:name="_Toc221952302"/>
            <w:r>
              <w:rPr>
                <w:rFonts w:hint="eastAsia" w:ascii="Arial" w:hAnsi="Arial" w:eastAsia="黑体"/>
                <w:color w:val="auto"/>
                <w:szCs w:val="21"/>
              </w:rPr>
              <w:t>A4×5</w:t>
            </w:r>
            <w:bookmarkEnd w:id="2558"/>
          </w:p>
        </w:tc>
        <w:tc>
          <w:tcPr>
            <w:tcW w:w="540" w:type="pct"/>
            <w:noWrap w:val="0"/>
            <w:vAlign w:val="center"/>
          </w:tcPr>
          <w:p>
            <w:pPr>
              <w:jc w:val="center"/>
              <w:rPr>
                <w:rFonts w:hint="eastAsia" w:ascii="Arial" w:hAnsi="Arial" w:eastAsia="黑体"/>
                <w:color w:val="auto"/>
                <w:szCs w:val="21"/>
              </w:rPr>
            </w:pPr>
            <w:bookmarkStart w:id="2559" w:name="_Toc221952303"/>
            <w:r>
              <w:rPr>
                <w:rFonts w:hint="eastAsia" w:ascii="Arial" w:hAnsi="Arial" w:eastAsia="黑体"/>
                <w:color w:val="auto"/>
                <w:szCs w:val="21"/>
              </w:rPr>
              <w:t>1261</w:t>
            </w:r>
            <w:bookmarkEnd w:id="2559"/>
          </w:p>
          <w:p>
            <w:pPr>
              <w:jc w:val="center"/>
              <w:rPr>
                <w:rFonts w:hint="eastAsia" w:ascii="Arial" w:hAnsi="Arial" w:eastAsia="黑体"/>
                <w:color w:val="auto"/>
                <w:szCs w:val="21"/>
              </w:rPr>
            </w:pPr>
            <w:bookmarkStart w:id="2560" w:name="_Toc221952304"/>
            <w:r>
              <w:rPr>
                <w:rFonts w:hint="eastAsia" w:ascii="Arial" w:hAnsi="Arial" w:eastAsia="黑体"/>
                <w:color w:val="auto"/>
                <w:szCs w:val="21"/>
              </w:rPr>
              <w:t>A4×6</w:t>
            </w:r>
            <w:bookmarkEnd w:id="2560"/>
          </w:p>
        </w:tc>
        <w:tc>
          <w:tcPr>
            <w:tcW w:w="582" w:type="pct"/>
            <w:noWrap w:val="0"/>
            <w:vAlign w:val="center"/>
          </w:tcPr>
          <w:p>
            <w:pPr>
              <w:jc w:val="center"/>
              <w:rPr>
                <w:rFonts w:hint="eastAsia" w:ascii="Arial" w:hAnsi="Arial" w:eastAsia="黑体"/>
                <w:color w:val="auto"/>
                <w:szCs w:val="21"/>
              </w:rPr>
            </w:pPr>
            <w:bookmarkStart w:id="2561" w:name="_Toc221952305"/>
            <w:r>
              <w:rPr>
                <w:rFonts w:hint="eastAsia" w:ascii="Arial" w:hAnsi="Arial" w:eastAsia="黑体"/>
                <w:color w:val="auto"/>
                <w:szCs w:val="21"/>
              </w:rPr>
              <w:t>1471</w:t>
            </w:r>
            <w:bookmarkEnd w:id="2561"/>
          </w:p>
          <w:p>
            <w:pPr>
              <w:jc w:val="center"/>
              <w:rPr>
                <w:rFonts w:hint="eastAsia" w:ascii="Arial" w:hAnsi="Arial" w:eastAsia="黑体"/>
                <w:color w:val="auto"/>
                <w:szCs w:val="21"/>
              </w:rPr>
            </w:pPr>
            <w:bookmarkStart w:id="2562" w:name="_Toc221952306"/>
            <w:r>
              <w:rPr>
                <w:rFonts w:hint="eastAsia" w:ascii="Arial" w:hAnsi="Arial" w:eastAsia="黑体"/>
                <w:color w:val="auto"/>
                <w:szCs w:val="21"/>
              </w:rPr>
              <w:t>A4×7</w:t>
            </w:r>
            <w:bookmarkEnd w:id="2562"/>
          </w:p>
        </w:tc>
        <w:tc>
          <w:tcPr>
            <w:tcW w:w="519" w:type="pct"/>
            <w:noWrap w:val="0"/>
            <w:vAlign w:val="center"/>
          </w:tcPr>
          <w:p>
            <w:pPr>
              <w:jc w:val="center"/>
              <w:rPr>
                <w:rFonts w:hint="eastAsia" w:ascii="Arial" w:hAnsi="Arial" w:eastAsia="黑体"/>
                <w:color w:val="auto"/>
                <w:szCs w:val="21"/>
              </w:rPr>
            </w:pPr>
            <w:bookmarkStart w:id="2563" w:name="_Toc221952307"/>
            <w:r>
              <w:rPr>
                <w:rFonts w:hint="eastAsia" w:ascii="Arial" w:hAnsi="Arial" w:eastAsia="黑体"/>
                <w:color w:val="auto"/>
                <w:szCs w:val="21"/>
              </w:rPr>
              <w:t>1682</w:t>
            </w:r>
            <w:bookmarkEnd w:id="2563"/>
          </w:p>
          <w:p>
            <w:pPr>
              <w:jc w:val="center"/>
              <w:rPr>
                <w:rFonts w:hint="eastAsia" w:ascii="Arial" w:hAnsi="Arial" w:eastAsia="黑体"/>
                <w:color w:val="auto"/>
                <w:szCs w:val="21"/>
              </w:rPr>
            </w:pPr>
            <w:bookmarkStart w:id="2564" w:name="_Toc221952308"/>
            <w:r>
              <w:rPr>
                <w:rFonts w:hint="eastAsia" w:ascii="Arial" w:hAnsi="Arial" w:eastAsia="黑体"/>
                <w:color w:val="auto"/>
                <w:szCs w:val="21"/>
              </w:rPr>
              <w:t>A4×8</w:t>
            </w:r>
            <w:bookmarkEnd w:id="2564"/>
          </w:p>
        </w:tc>
        <w:tc>
          <w:tcPr>
            <w:tcW w:w="516" w:type="pct"/>
            <w:noWrap w:val="0"/>
            <w:vAlign w:val="center"/>
          </w:tcPr>
          <w:p>
            <w:pPr>
              <w:jc w:val="center"/>
              <w:rPr>
                <w:rFonts w:hint="eastAsia" w:ascii="Arial" w:hAnsi="Arial" w:eastAsia="黑体"/>
                <w:color w:val="auto"/>
                <w:szCs w:val="21"/>
              </w:rPr>
            </w:pPr>
            <w:bookmarkStart w:id="2565" w:name="_Toc221952309"/>
            <w:r>
              <w:rPr>
                <w:rFonts w:hint="eastAsia" w:ascii="Arial" w:hAnsi="Arial" w:eastAsia="黑体"/>
                <w:color w:val="auto"/>
                <w:szCs w:val="21"/>
              </w:rPr>
              <w:t>1892</w:t>
            </w:r>
            <w:bookmarkEnd w:id="2565"/>
          </w:p>
          <w:p>
            <w:pPr>
              <w:jc w:val="center"/>
              <w:rPr>
                <w:rFonts w:hint="eastAsia" w:ascii="Arial" w:hAnsi="Arial" w:eastAsia="黑体"/>
                <w:color w:val="auto"/>
                <w:szCs w:val="21"/>
              </w:rPr>
            </w:pPr>
            <w:bookmarkStart w:id="2566" w:name="_Toc221952310"/>
            <w:r>
              <w:rPr>
                <w:rFonts w:hint="eastAsia" w:ascii="Arial" w:hAnsi="Arial" w:eastAsia="黑体"/>
                <w:color w:val="auto"/>
                <w:szCs w:val="21"/>
              </w:rPr>
              <w:t>A4×9</w:t>
            </w:r>
            <w:bookmarkEnd w:id="2566"/>
          </w:p>
        </w:tc>
      </w:tr>
    </w:tbl>
    <w:p>
      <w:pPr>
        <w:spacing w:before="120" w:beforeLines="50"/>
        <w:rPr>
          <w:rFonts w:hint="eastAsia" w:ascii="Arial" w:hAnsi="Arial" w:eastAsia="黑体"/>
          <w:color w:val="auto"/>
          <w:szCs w:val="21"/>
        </w:rPr>
      </w:pPr>
      <w:r>
        <w:rPr>
          <w:rFonts w:hint="eastAsia" w:ascii="Arial" w:hAnsi="Arial" w:eastAsia="黑体"/>
          <w:color w:val="auto"/>
          <w:szCs w:val="21"/>
        </w:rPr>
        <w:t xml:space="preserve">  </w:t>
      </w:r>
      <w:bookmarkStart w:id="2567" w:name="_Toc221952311"/>
      <w:r>
        <w:rPr>
          <w:rFonts w:hint="eastAsia" w:ascii="Arial" w:hAnsi="Arial" w:eastAsia="黑体"/>
          <w:color w:val="auto"/>
          <w:szCs w:val="21"/>
        </w:rPr>
        <w:t>附注： A0×n即幅面代号乘短边加长倍数。</w:t>
      </w:r>
      <w:bookmarkEnd w:id="2567"/>
    </w:p>
    <w:p>
      <w:pPr>
        <w:spacing w:before="240" w:beforeLines="100"/>
        <w:rPr>
          <w:rFonts w:hint="eastAsia"/>
          <w:color w:val="auto"/>
        </w:rPr>
      </w:pPr>
      <w:bookmarkStart w:id="2568" w:name="_Toc221952312"/>
      <w:r>
        <w:rPr>
          <w:rFonts w:hint="eastAsia"/>
          <w:color w:val="auto"/>
        </w:rPr>
        <w:t>2.1.4. 标题栏</w:t>
      </w:r>
      <w:bookmarkEnd w:id="2568"/>
    </w:p>
    <w:p>
      <w:pPr>
        <w:spacing w:line="360" w:lineRule="auto"/>
        <w:ind w:firstLine="315" w:firstLineChars="150"/>
        <w:rPr>
          <w:rFonts w:hint="eastAsia"/>
          <w:bCs/>
          <w:color w:val="auto"/>
          <w:szCs w:val="21"/>
        </w:rPr>
      </w:pPr>
      <w:r>
        <w:rPr>
          <w:rFonts w:hint="eastAsia"/>
          <w:bCs/>
          <w:color w:val="auto"/>
          <w:szCs w:val="21"/>
        </w:rPr>
        <w:t xml:space="preserve">    </w:t>
      </w:r>
      <w:bookmarkStart w:id="2569" w:name="_Toc221952313"/>
      <w:r>
        <w:rPr>
          <w:rFonts w:hint="eastAsia"/>
          <w:bCs/>
          <w:color w:val="auto"/>
          <w:szCs w:val="21"/>
        </w:rPr>
        <w:t>标题栏设在图纸右下角，其格式和尺寸应遵守SL73.1-1995的规定。其格式如下图2所示。</w:t>
      </w:r>
      <w:bookmarkEnd w:id="2569"/>
    </w:p>
    <w:p>
      <w:pPr>
        <w:jc w:val="center"/>
        <w:rPr>
          <w:rFonts w:ascii="Arial" w:hAnsi="Arial" w:eastAsia="黑体"/>
          <w:color w:val="auto"/>
          <w:szCs w:val="21"/>
        </w:rPr>
      </w:pPr>
      <w:bookmarkStart w:id="2570" w:name="_Toc221952314"/>
      <w:r>
        <w:rPr>
          <w:rFonts w:hint="eastAsia" w:ascii="Arial" w:hAnsi="Arial" w:eastAsia="黑体"/>
          <w:color w:val="auto"/>
          <w:szCs w:val="21"/>
        </w:rPr>
        <w:t>图2</w:t>
      </w:r>
      <w:r>
        <w:rPr>
          <w:rFonts w:ascii="Arial" w:hAnsi="Arial" w:eastAsia="黑体"/>
          <w:color w:val="auto"/>
          <w:szCs w:val="21"/>
        </w:rPr>
        <w:t xml:space="preserve">  </w:t>
      </w:r>
      <w:r>
        <w:rPr>
          <w:rFonts w:hint="eastAsia" w:ascii="Arial" w:hAnsi="Arial" w:eastAsia="黑体"/>
          <w:color w:val="auto"/>
          <w:szCs w:val="21"/>
        </w:rPr>
        <w:t>标题栏</w:t>
      </w:r>
      <w:bookmarkEnd w:id="2570"/>
    </w:p>
    <w:p>
      <w:pPr>
        <w:pStyle w:val="80"/>
        <w:spacing w:before="120" w:after="120" w:afterLines="50"/>
        <w:rPr>
          <w:rFonts w:hint="eastAsia"/>
          <w:color w:val="auto"/>
        </w:rPr>
      </w:pPr>
      <w:bookmarkStart w:id="2571" w:name="_Toc15099"/>
      <w:bookmarkStart w:id="2572" w:name="_Toc491089795"/>
      <w:r>
        <w:rPr>
          <w:rFonts w:hint="eastAsia"/>
          <w:color w:val="auto"/>
        </w:rPr>
        <w:t>3. 图纸目录</w:t>
      </w:r>
      <w:bookmarkEnd w:id="2571"/>
      <w:bookmarkEnd w:id="2572"/>
    </w:p>
    <w:tbl>
      <w:tblPr>
        <w:tblStyle w:val="38"/>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980"/>
        <w:gridCol w:w="1620"/>
        <w:gridCol w:w="1634"/>
        <w:gridCol w:w="1276"/>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1980" w:type="dxa"/>
            <w:noWrap w:val="0"/>
            <w:vAlign w:val="center"/>
          </w:tcPr>
          <w:p>
            <w:pPr>
              <w:ind w:firstLine="21" w:firstLineChars="10"/>
              <w:jc w:val="center"/>
              <w:rPr>
                <w:rFonts w:hint="eastAsia" w:ascii="宋体" w:hAnsi="宋体"/>
                <w:color w:val="auto"/>
                <w:szCs w:val="21"/>
              </w:rPr>
            </w:pPr>
            <w:r>
              <w:rPr>
                <w:rFonts w:hint="eastAsia" w:ascii="宋体" w:hAnsi="宋体"/>
                <w:color w:val="auto"/>
                <w:szCs w:val="21"/>
              </w:rPr>
              <w:t>图名</w:t>
            </w:r>
          </w:p>
        </w:tc>
        <w:tc>
          <w:tcPr>
            <w:tcW w:w="1620" w:type="dxa"/>
            <w:noWrap w:val="0"/>
            <w:vAlign w:val="center"/>
          </w:tcPr>
          <w:p>
            <w:pPr>
              <w:ind w:left="27"/>
              <w:jc w:val="center"/>
              <w:rPr>
                <w:rFonts w:hint="eastAsia" w:ascii="宋体" w:hAnsi="宋体"/>
                <w:color w:val="auto"/>
                <w:szCs w:val="21"/>
              </w:rPr>
            </w:pPr>
            <w:r>
              <w:rPr>
                <w:rFonts w:hint="eastAsia" w:ascii="宋体" w:hAnsi="宋体"/>
                <w:color w:val="auto"/>
                <w:szCs w:val="21"/>
              </w:rPr>
              <w:t>图号</w:t>
            </w:r>
          </w:p>
        </w:tc>
        <w:tc>
          <w:tcPr>
            <w:tcW w:w="1634" w:type="dxa"/>
            <w:noWrap w:val="0"/>
            <w:vAlign w:val="center"/>
          </w:tcPr>
          <w:p>
            <w:pPr>
              <w:ind w:left="-33" w:firstLine="31" w:firstLineChars="15"/>
              <w:jc w:val="center"/>
              <w:rPr>
                <w:rFonts w:hint="eastAsia" w:ascii="宋体" w:hAnsi="宋体"/>
                <w:color w:val="auto"/>
                <w:szCs w:val="21"/>
              </w:rPr>
            </w:pPr>
            <w:r>
              <w:rPr>
                <w:rFonts w:hint="eastAsia" w:ascii="宋体" w:hAnsi="宋体"/>
                <w:color w:val="auto"/>
                <w:szCs w:val="21"/>
              </w:rPr>
              <w:t>版本</w:t>
            </w:r>
          </w:p>
        </w:tc>
        <w:tc>
          <w:tcPr>
            <w:tcW w:w="1276" w:type="dxa"/>
            <w:noWrap w:val="0"/>
            <w:vAlign w:val="center"/>
          </w:tcPr>
          <w:p>
            <w:pPr>
              <w:jc w:val="center"/>
              <w:rPr>
                <w:rFonts w:hint="eastAsia" w:ascii="宋体" w:hAnsi="宋体"/>
                <w:color w:val="auto"/>
                <w:szCs w:val="21"/>
              </w:rPr>
            </w:pPr>
            <w:r>
              <w:rPr>
                <w:rFonts w:hint="eastAsia" w:ascii="宋体" w:hAnsi="宋体"/>
                <w:color w:val="auto"/>
                <w:szCs w:val="21"/>
              </w:rPr>
              <w:t>出图日期</w:t>
            </w:r>
          </w:p>
        </w:tc>
        <w:tc>
          <w:tcPr>
            <w:tcW w:w="1559" w:type="dxa"/>
            <w:noWrap w:val="0"/>
            <w:vAlign w:val="center"/>
          </w:tcPr>
          <w:p>
            <w:pPr>
              <w:ind w:left="33"/>
              <w:jc w:val="center"/>
              <w:rPr>
                <w:rFonts w:hint="eastAsia"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noWrap w:val="0"/>
            <w:vAlign w:val="center"/>
          </w:tcPr>
          <w:p>
            <w:pPr>
              <w:ind w:left="180"/>
              <w:jc w:val="center"/>
              <w:rPr>
                <w:rFonts w:hint="eastAsia" w:ascii="宋体" w:hAnsi="宋体"/>
                <w:color w:val="auto"/>
                <w:szCs w:val="21"/>
              </w:rPr>
            </w:pPr>
          </w:p>
        </w:tc>
        <w:tc>
          <w:tcPr>
            <w:tcW w:w="1980" w:type="dxa"/>
            <w:noWrap w:val="0"/>
            <w:vAlign w:val="center"/>
          </w:tcPr>
          <w:p>
            <w:pPr>
              <w:ind w:left="180"/>
              <w:jc w:val="center"/>
              <w:rPr>
                <w:rFonts w:hint="eastAsia" w:ascii="宋体" w:hAnsi="宋体"/>
                <w:color w:val="auto"/>
                <w:szCs w:val="21"/>
              </w:rPr>
            </w:pPr>
          </w:p>
        </w:tc>
        <w:tc>
          <w:tcPr>
            <w:tcW w:w="1620" w:type="dxa"/>
            <w:noWrap w:val="0"/>
            <w:vAlign w:val="center"/>
          </w:tcPr>
          <w:p>
            <w:pPr>
              <w:ind w:left="180"/>
              <w:jc w:val="center"/>
              <w:rPr>
                <w:rFonts w:hint="eastAsia" w:ascii="宋体" w:hAnsi="宋体"/>
                <w:color w:val="auto"/>
                <w:szCs w:val="21"/>
              </w:rPr>
            </w:pPr>
          </w:p>
        </w:tc>
        <w:tc>
          <w:tcPr>
            <w:tcW w:w="1634" w:type="dxa"/>
            <w:noWrap w:val="0"/>
            <w:vAlign w:val="center"/>
          </w:tcPr>
          <w:p>
            <w:pPr>
              <w:ind w:left="180"/>
              <w:jc w:val="center"/>
              <w:rPr>
                <w:rFonts w:hint="eastAsia" w:ascii="宋体" w:hAnsi="宋体"/>
                <w:color w:val="auto"/>
                <w:szCs w:val="21"/>
              </w:rPr>
            </w:pPr>
          </w:p>
        </w:tc>
        <w:tc>
          <w:tcPr>
            <w:tcW w:w="1276" w:type="dxa"/>
            <w:noWrap w:val="0"/>
            <w:vAlign w:val="center"/>
          </w:tcPr>
          <w:p>
            <w:pPr>
              <w:ind w:left="180"/>
              <w:jc w:val="center"/>
              <w:rPr>
                <w:rFonts w:hint="eastAsia" w:ascii="宋体" w:hAnsi="宋体"/>
                <w:color w:val="auto"/>
                <w:szCs w:val="21"/>
              </w:rPr>
            </w:pPr>
          </w:p>
        </w:tc>
        <w:tc>
          <w:tcPr>
            <w:tcW w:w="1559" w:type="dxa"/>
            <w:noWrap w:val="0"/>
            <w:vAlign w:val="center"/>
          </w:tcPr>
          <w:p>
            <w:pPr>
              <w:ind w:left="180"/>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00" w:type="dxa"/>
            <w:noWrap w:val="0"/>
            <w:vAlign w:val="center"/>
          </w:tcPr>
          <w:p>
            <w:pPr>
              <w:ind w:left="180"/>
              <w:jc w:val="center"/>
              <w:rPr>
                <w:rFonts w:hint="eastAsia" w:ascii="宋体" w:hAnsi="宋体"/>
                <w:color w:val="auto"/>
                <w:sz w:val="28"/>
                <w:szCs w:val="28"/>
              </w:rPr>
            </w:pPr>
          </w:p>
        </w:tc>
        <w:tc>
          <w:tcPr>
            <w:tcW w:w="1980" w:type="dxa"/>
            <w:noWrap w:val="0"/>
            <w:vAlign w:val="center"/>
          </w:tcPr>
          <w:p>
            <w:pPr>
              <w:ind w:left="180"/>
              <w:jc w:val="center"/>
              <w:rPr>
                <w:rFonts w:hint="eastAsia" w:ascii="宋体" w:hAnsi="宋体"/>
                <w:color w:val="auto"/>
                <w:sz w:val="28"/>
                <w:szCs w:val="28"/>
              </w:rPr>
            </w:pPr>
          </w:p>
        </w:tc>
        <w:tc>
          <w:tcPr>
            <w:tcW w:w="1620" w:type="dxa"/>
            <w:noWrap w:val="0"/>
            <w:vAlign w:val="center"/>
          </w:tcPr>
          <w:p>
            <w:pPr>
              <w:ind w:left="180"/>
              <w:jc w:val="center"/>
              <w:rPr>
                <w:rFonts w:hint="eastAsia" w:ascii="宋体" w:hAnsi="宋体"/>
                <w:color w:val="auto"/>
                <w:sz w:val="28"/>
                <w:szCs w:val="28"/>
              </w:rPr>
            </w:pPr>
          </w:p>
        </w:tc>
        <w:tc>
          <w:tcPr>
            <w:tcW w:w="1634" w:type="dxa"/>
            <w:noWrap w:val="0"/>
            <w:vAlign w:val="center"/>
          </w:tcPr>
          <w:p>
            <w:pPr>
              <w:ind w:left="180"/>
              <w:jc w:val="center"/>
              <w:rPr>
                <w:rFonts w:hint="eastAsia" w:ascii="宋体" w:hAnsi="宋体"/>
                <w:color w:val="auto"/>
                <w:sz w:val="28"/>
                <w:szCs w:val="28"/>
              </w:rPr>
            </w:pPr>
          </w:p>
        </w:tc>
        <w:tc>
          <w:tcPr>
            <w:tcW w:w="1276" w:type="dxa"/>
            <w:noWrap w:val="0"/>
            <w:vAlign w:val="center"/>
          </w:tcPr>
          <w:p>
            <w:pPr>
              <w:ind w:left="180"/>
              <w:jc w:val="center"/>
              <w:rPr>
                <w:rFonts w:hint="eastAsia" w:ascii="宋体" w:hAnsi="宋体"/>
                <w:color w:val="auto"/>
                <w:sz w:val="28"/>
                <w:szCs w:val="28"/>
              </w:rPr>
            </w:pPr>
          </w:p>
        </w:tc>
        <w:tc>
          <w:tcPr>
            <w:tcW w:w="1559" w:type="dxa"/>
            <w:noWrap w:val="0"/>
            <w:vAlign w:val="center"/>
          </w:tcPr>
          <w:p>
            <w:pPr>
              <w:ind w:left="180"/>
              <w:jc w:val="center"/>
              <w:rPr>
                <w:rFonts w:hint="eastAsia" w:ascii="宋体" w:hAnsi="宋体"/>
                <w:color w:val="auto"/>
                <w:sz w:val="28"/>
                <w:szCs w:val="28"/>
              </w:rPr>
            </w:pPr>
          </w:p>
        </w:tc>
      </w:tr>
    </w:tbl>
    <w:p>
      <w:pPr>
        <w:spacing w:before="120" w:beforeLines="50" w:line="360" w:lineRule="auto"/>
        <w:rPr>
          <w:rFonts w:hint="eastAsia" w:ascii="宋体" w:hAnsi="宋体"/>
          <w:color w:val="auto"/>
          <w:szCs w:val="21"/>
        </w:rPr>
      </w:pPr>
      <w:r>
        <w:rPr>
          <w:rFonts w:hint="eastAsia" w:ascii="宋体" w:hAnsi="宋体"/>
          <w:color w:val="auto"/>
          <w:szCs w:val="21"/>
        </w:rPr>
        <w:t>注：招标图纸另册。</w:t>
      </w:r>
    </w:p>
    <w:p>
      <w:pPr>
        <w:spacing w:line="360" w:lineRule="auto"/>
        <w:rPr>
          <w:rFonts w:hint="eastAsia" w:ascii="宋体" w:hAnsi="宋体"/>
          <w:color w:val="auto"/>
          <w:sz w:val="28"/>
          <w:szCs w:val="28"/>
        </w:rPr>
      </w:pPr>
    </w:p>
    <w:p>
      <w:pPr>
        <w:spacing w:line="360" w:lineRule="auto"/>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spacing w:line="360" w:lineRule="auto"/>
        <w:jc w:val="center"/>
        <w:rPr>
          <w:rFonts w:hint="eastAsia" w:ascii="宋体" w:hAnsi="宋体"/>
          <w:color w:val="auto"/>
          <w:sz w:val="28"/>
          <w:szCs w:val="28"/>
        </w:rPr>
      </w:pPr>
    </w:p>
    <w:p>
      <w:pPr>
        <w:pStyle w:val="2"/>
        <w:spacing w:before="120" w:after="120" w:line="400" w:lineRule="exact"/>
        <w:rPr>
          <w:rFonts w:hint="eastAsia" w:ascii="黑体" w:hAnsi="黑体" w:eastAsia="黑体"/>
          <w:b w:val="0"/>
          <w:bCs w:val="0"/>
          <w:color w:val="auto"/>
          <w:sz w:val="36"/>
          <w:szCs w:val="36"/>
        </w:rPr>
      </w:pPr>
      <w:bookmarkStart w:id="2573" w:name="_Toc17783"/>
      <w:bookmarkStart w:id="2574" w:name="_Toc491089796"/>
      <w:bookmarkStart w:id="2575" w:name="_Toc387753622"/>
      <w:bookmarkStart w:id="2576" w:name="_Toc229408535"/>
      <w:r>
        <w:rPr>
          <w:rFonts w:hint="eastAsia" w:ascii="黑体" w:hAnsi="黑体" w:eastAsia="黑体"/>
          <w:b w:val="0"/>
          <w:bCs w:val="0"/>
          <w:color w:val="auto"/>
          <w:sz w:val="36"/>
          <w:szCs w:val="36"/>
        </w:rPr>
        <w:t>第 三 卷</w:t>
      </w:r>
      <w:bookmarkEnd w:id="2573"/>
      <w:bookmarkEnd w:id="2574"/>
      <w:bookmarkEnd w:id="2575"/>
      <w:bookmarkEnd w:id="2576"/>
      <w:r>
        <w:rPr>
          <w:rFonts w:hint="eastAsia" w:ascii="黑体" w:hAnsi="黑体" w:eastAsia="黑体"/>
          <w:b w:val="0"/>
          <w:bCs w:val="0"/>
          <w:color w:val="auto"/>
          <w:sz w:val="36"/>
          <w:szCs w:val="36"/>
        </w:rPr>
        <w:t xml:space="preserve">   </w:t>
      </w: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2"/>
        <w:spacing w:before="120" w:after="120" w:line="400" w:lineRule="exact"/>
        <w:rPr>
          <w:rFonts w:hint="eastAsia" w:ascii="黑体" w:hAnsi="黑体" w:eastAsia="黑体"/>
          <w:b w:val="0"/>
          <w:bCs w:val="0"/>
          <w:color w:val="auto"/>
          <w:sz w:val="32"/>
        </w:rPr>
      </w:pPr>
      <w:bookmarkStart w:id="2577" w:name="_Toc28921"/>
      <w:bookmarkStart w:id="2578" w:name="_Toc387753623"/>
      <w:bookmarkStart w:id="2579" w:name="_Toc491089797"/>
      <w:r>
        <w:rPr>
          <w:rFonts w:hint="eastAsia" w:ascii="黑体" w:hAnsi="黑体" w:eastAsia="黑体"/>
          <w:b w:val="0"/>
          <w:bCs w:val="0"/>
          <w:color w:val="auto"/>
          <w:sz w:val="32"/>
        </w:rPr>
        <w:t>第七章  技术标准和要求（合同技术条款）</w:t>
      </w:r>
      <w:bookmarkEnd w:id="2577"/>
      <w:bookmarkEnd w:id="2578"/>
      <w:bookmarkEnd w:id="2579"/>
    </w:p>
    <w:p>
      <w:pPr>
        <w:rPr>
          <w:rFonts w:hint="eastAsia"/>
          <w:color w:val="auto"/>
        </w:rPr>
      </w:pPr>
    </w:p>
    <w:p>
      <w:pPr>
        <w:rPr>
          <w:rFonts w:hint="eastAsia" w:ascii="Arial" w:hAnsi="Arial" w:eastAsia="黑体"/>
          <w:color w:val="auto"/>
          <w:szCs w:val="21"/>
        </w:rPr>
      </w:pPr>
      <w:r>
        <w:rPr>
          <w:rFonts w:hint="eastAsia" w:ascii="Arial" w:hAnsi="Arial" w:eastAsia="黑体"/>
          <w:color w:val="auto"/>
          <w:szCs w:val="21"/>
        </w:rPr>
        <w:t xml:space="preserve">    </w:t>
      </w:r>
    </w:p>
    <w:p>
      <w:pPr>
        <w:spacing w:line="360" w:lineRule="auto"/>
        <w:ind w:left="630" w:hanging="630" w:hangingChars="300"/>
        <w:rPr>
          <w:rFonts w:hint="eastAsia" w:ascii="宋体" w:hAnsi="宋体"/>
          <w:color w:val="auto"/>
          <w:szCs w:val="21"/>
        </w:rPr>
      </w:pPr>
      <w:r>
        <w:rPr>
          <w:rFonts w:hint="eastAsia" w:ascii="宋体" w:hAnsi="宋体"/>
          <w:color w:val="auto"/>
          <w:szCs w:val="21"/>
        </w:rPr>
        <w:t>说明：本章技术标准和要求引用《水利水电工程标准施工招标文件》（技术标准和要求）（合同技术条款）（2009版）时，应结合招标工程实际以及现行规程规范进行修改。</w:t>
      </w: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宋体" w:hAnsi="宋体"/>
          <w:color w:val="auto"/>
          <w:szCs w:val="21"/>
          <w:bdr w:val="single" w:color="auto" w:sz="4" w:space="0"/>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pStyle w:val="2"/>
        <w:spacing w:before="120" w:after="120" w:line="400" w:lineRule="exact"/>
        <w:rPr>
          <w:rFonts w:hint="eastAsia" w:ascii="黑体" w:hAnsi="黑体" w:eastAsia="黑体"/>
          <w:b w:val="0"/>
          <w:bCs w:val="0"/>
          <w:color w:val="auto"/>
          <w:sz w:val="36"/>
          <w:szCs w:val="36"/>
        </w:rPr>
      </w:pPr>
      <w:bookmarkStart w:id="2580" w:name="_Toc491089798"/>
      <w:bookmarkStart w:id="2581" w:name="_Toc387753624"/>
      <w:bookmarkStart w:id="2582" w:name="_Toc8582"/>
      <w:bookmarkStart w:id="2583" w:name="_Toc229408537"/>
      <w:r>
        <w:rPr>
          <w:rFonts w:hint="eastAsia" w:ascii="黑体" w:hAnsi="黑体" w:eastAsia="黑体"/>
          <w:b w:val="0"/>
          <w:bCs w:val="0"/>
          <w:color w:val="auto"/>
          <w:sz w:val="36"/>
          <w:szCs w:val="36"/>
        </w:rPr>
        <w:t>第  四  卷</w:t>
      </w:r>
      <w:bookmarkEnd w:id="2580"/>
      <w:bookmarkEnd w:id="2581"/>
      <w:bookmarkEnd w:id="2582"/>
      <w:bookmarkEnd w:id="2583"/>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rPr>
          <w:rFonts w:hint="eastAsia" w:ascii="Arial" w:hAnsi="Arial" w:eastAsia="黑体"/>
          <w:color w:val="auto"/>
          <w:szCs w:val="21"/>
        </w:rPr>
      </w:pPr>
    </w:p>
    <w:p>
      <w:pPr>
        <w:pStyle w:val="2"/>
        <w:spacing w:before="120" w:after="120" w:line="400" w:lineRule="exact"/>
        <w:rPr>
          <w:rFonts w:hint="eastAsia" w:ascii="黑体" w:hAnsi="黑体" w:eastAsia="黑体"/>
          <w:b w:val="0"/>
          <w:bCs w:val="0"/>
          <w:color w:val="auto"/>
          <w:sz w:val="32"/>
        </w:rPr>
      </w:pPr>
      <w:bookmarkStart w:id="2584" w:name="_Toc387753625"/>
      <w:bookmarkStart w:id="2585" w:name="_Toc31446"/>
      <w:bookmarkStart w:id="2586" w:name="_Toc491089799"/>
      <w:r>
        <w:rPr>
          <w:rFonts w:hint="eastAsia" w:ascii="黑体" w:hAnsi="黑体" w:eastAsia="黑体"/>
          <w:b w:val="0"/>
          <w:bCs w:val="0"/>
          <w:color w:val="auto"/>
          <w:sz w:val="32"/>
        </w:rPr>
        <w:t>第八章  投标文件格式</w:t>
      </w:r>
      <w:bookmarkEnd w:id="2421"/>
      <w:bookmarkEnd w:id="2422"/>
      <w:bookmarkEnd w:id="2423"/>
      <w:bookmarkEnd w:id="2424"/>
      <w:bookmarkEnd w:id="2425"/>
      <w:bookmarkEnd w:id="2426"/>
      <w:bookmarkEnd w:id="2427"/>
      <w:bookmarkEnd w:id="2428"/>
      <w:bookmarkEnd w:id="2429"/>
      <w:bookmarkEnd w:id="2584"/>
      <w:bookmarkEnd w:id="2585"/>
      <w:bookmarkEnd w:id="2586"/>
    </w:p>
    <w:p>
      <w:pPr>
        <w:spacing w:line="400" w:lineRule="exact"/>
        <w:rPr>
          <w:color w:val="auto"/>
        </w:rPr>
      </w:pPr>
    </w:p>
    <w:p>
      <w:pPr>
        <w:spacing w:line="400" w:lineRule="exact"/>
        <w:rPr>
          <w:color w:val="auto"/>
        </w:rPr>
      </w:pPr>
    </w:p>
    <w:p>
      <w:pPr>
        <w:spacing w:line="400" w:lineRule="exact"/>
        <w:rPr>
          <w:color w:val="auto"/>
        </w:rPr>
      </w:pPr>
    </w:p>
    <w:p>
      <w:pPr>
        <w:spacing w:line="400" w:lineRule="exact"/>
        <w:rPr>
          <w:color w:val="auto"/>
        </w:rPr>
      </w:pPr>
    </w:p>
    <w:p>
      <w:pPr>
        <w:spacing w:line="400" w:lineRule="exact"/>
        <w:rPr>
          <w:rFonts w:eastAsia="黑体"/>
          <w:color w:val="auto"/>
          <w:sz w:val="20"/>
          <w:szCs w:val="20"/>
        </w:rPr>
      </w:pPr>
    </w:p>
    <w:p>
      <w:pPr>
        <w:jc w:val="center"/>
        <w:rPr>
          <w:rFonts w:hint="eastAsia" w:ascii="黑体" w:hAnsi="黑体" w:eastAsia="黑体"/>
          <w:color w:val="auto"/>
          <w:sz w:val="28"/>
          <w:szCs w:val="28"/>
        </w:rPr>
      </w:pPr>
      <w:r>
        <w:rPr>
          <w:rFonts w:hint="eastAsia" w:ascii="黑体" w:hAnsi="黑体" w:eastAsia="黑体"/>
          <w:color w:val="auto"/>
          <w:sz w:val="28"/>
          <w:szCs w:val="28"/>
          <w:u w:val="single"/>
        </w:rPr>
        <w:t xml:space="preserve">            </w:t>
      </w:r>
      <w:bookmarkStart w:id="2587" w:name="_Toc221951910"/>
      <w:r>
        <w:rPr>
          <w:rFonts w:ascii="黑体" w:hAnsi="黑体" w:eastAsia="黑体"/>
          <w:color w:val="auto"/>
          <w:sz w:val="28"/>
          <w:szCs w:val="28"/>
        </w:rPr>
        <w:t>（</w:t>
      </w:r>
      <w:r>
        <w:rPr>
          <w:rFonts w:hint="eastAsia" w:ascii="黑体" w:hAnsi="黑体" w:eastAsia="黑体"/>
          <w:color w:val="auto"/>
          <w:sz w:val="28"/>
          <w:szCs w:val="28"/>
        </w:rPr>
        <w:t>项目名称）</w:t>
      </w:r>
      <w:r>
        <w:rPr>
          <w:rFonts w:hint="eastAsia" w:ascii="黑体" w:hAnsi="黑体" w:eastAsia="黑体"/>
          <w:color w:val="auto"/>
          <w:sz w:val="28"/>
          <w:szCs w:val="28"/>
          <w:u w:val="single"/>
        </w:rPr>
        <w:t xml:space="preserve">            （</w:t>
      </w:r>
      <w:r>
        <w:rPr>
          <w:rFonts w:hint="eastAsia" w:ascii="黑体" w:hAnsi="黑体" w:eastAsia="黑体"/>
          <w:color w:val="auto"/>
          <w:sz w:val="28"/>
          <w:szCs w:val="28"/>
        </w:rPr>
        <w:t>标段名称）</w:t>
      </w:r>
      <w:bookmarkEnd w:id="2587"/>
      <w:r>
        <w:rPr>
          <w:rFonts w:hint="eastAsia" w:ascii="黑体" w:hAnsi="黑体" w:eastAsia="黑体"/>
          <w:color w:val="auto"/>
          <w:sz w:val="28"/>
          <w:szCs w:val="28"/>
        </w:rPr>
        <w:t xml:space="preserve"> </w:t>
      </w:r>
    </w:p>
    <w:p>
      <w:pPr>
        <w:rPr>
          <w:rFonts w:hint="eastAsia" w:eastAsia="黑体"/>
          <w:color w:val="auto"/>
          <w:sz w:val="20"/>
          <w:szCs w:val="20"/>
        </w:rPr>
      </w:pPr>
    </w:p>
    <w:p>
      <w:pPr>
        <w:rPr>
          <w:rFonts w:hint="eastAsia" w:eastAsia="黑体"/>
          <w:color w:val="auto"/>
          <w:sz w:val="20"/>
          <w:szCs w:val="20"/>
        </w:rPr>
      </w:pPr>
    </w:p>
    <w:p>
      <w:pPr>
        <w:jc w:val="center"/>
        <w:rPr>
          <w:rFonts w:hint="eastAsia" w:eastAsia="黑体"/>
          <w:color w:val="auto"/>
          <w:sz w:val="44"/>
          <w:szCs w:val="44"/>
        </w:rPr>
      </w:pPr>
      <w:bookmarkStart w:id="2588" w:name="_Toc221951911"/>
    </w:p>
    <w:p>
      <w:pPr>
        <w:jc w:val="center"/>
        <w:rPr>
          <w:rFonts w:hint="eastAsia" w:eastAsia="黑体"/>
          <w:color w:val="auto"/>
          <w:sz w:val="44"/>
          <w:szCs w:val="44"/>
        </w:rPr>
      </w:pPr>
    </w:p>
    <w:p>
      <w:pPr>
        <w:jc w:val="center"/>
        <w:rPr>
          <w:rFonts w:eastAsia="黑体"/>
          <w:color w:val="auto"/>
          <w:sz w:val="44"/>
          <w:szCs w:val="44"/>
        </w:rPr>
      </w:pPr>
      <w:r>
        <w:rPr>
          <w:rFonts w:eastAsia="黑体"/>
          <w:color w:val="auto"/>
          <w:sz w:val="44"/>
          <w:szCs w:val="44"/>
        </w:rPr>
        <w:t>投  标  文  件</w:t>
      </w:r>
      <w:bookmarkEnd w:id="2588"/>
    </w:p>
    <w:p>
      <w:pPr>
        <w:rPr>
          <w:rFonts w:eastAsia="黑体"/>
          <w:color w:val="auto"/>
          <w:sz w:val="28"/>
          <w:szCs w:val="28"/>
        </w:rPr>
      </w:pPr>
    </w:p>
    <w:p>
      <w:pPr>
        <w:ind w:firstLine="3080" w:firstLineChars="1100"/>
        <w:rPr>
          <w:rFonts w:hint="eastAsia" w:ascii="宋体" w:hAnsi="宋体" w:cs="宋体"/>
          <w:color w:val="auto"/>
          <w:sz w:val="28"/>
          <w:szCs w:val="28"/>
        </w:rPr>
      </w:pPr>
      <w:r>
        <w:rPr>
          <w:rFonts w:hint="eastAsia" w:ascii="宋体" w:hAnsi="宋体" w:cs="宋体"/>
          <w:color w:val="auto"/>
          <w:sz w:val="28"/>
          <w:szCs w:val="28"/>
        </w:rPr>
        <w:t xml:space="preserve">招标编号: </w:t>
      </w:r>
      <w:r>
        <w:rPr>
          <w:rFonts w:hint="eastAsia" w:ascii="宋体" w:hAnsi="宋体" w:cs="宋体"/>
          <w:color w:val="auto"/>
          <w:sz w:val="28"/>
          <w:szCs w:val="28"/>
          <w:u w:val="single"/>
        </w:rPr>
        <w:t xml:space="preserve">           </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hint="eastAsia"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hint="eastAsia" w:ascii="宋体" w:hAnsi="宋体"/>
          <w:color w:val="auto"/>
          <w:sz w:val="28"/>
          <w:szCs w:val="28"/>
        </w:rPr>
      </w:pPr>
      <w:r>
        <w:rPr>
          <w:rFonts w:ascii="宋体" w:hAnsi="宋体"/>
          <w:color w:val="auto"/>
          <w:sz w:val="28"/>
          <w:szCs w:val="28"/>
        </w:rPr>
        <w:t>投标人：</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r>
        <w:rPr>
          <w:rFonts w:ascii="宋体" w:hAnsi="宋体"/>
          <w:color w:val="auto"/>
          <w:sz w:val="28"/>
          <w:szCs w:val="28"/>
        </w:rPr>
        <w:t>（盖单位章）</w:t>
      </w:r>
    </w:p>
    <w:p>
      <w:pPr>
        <w:jc w:val="center"/>
        <w:rPr>
          <w:rFonts w:ascii="宋体" w:hAnsi="宋体"/>
          <w:color w:val="auto"/>
          <w:sz w:val="28"/>
          <w:szCs w:val="28"/>
          <w:u w:val="single"/>
        </w:rPr>
      </w:pPr>
    </w:p>
    <w:p>
      <w:pPr>
        <w:jc w:val="center"/>
        <w:rPr>
          <w:rFonts w:ascii="宋体" w:hAnsi="宋体"/>
          <w:color w:val="auto"/>
          <w:sz w:val="28"/>
          <w:szCs w:val="28"/>
        </w:rPr>
      </w:pPr>
      <w:r>
        <w:rPr>
          <w:rFonts w:ascii="宋体" w:hAnsi="宋体"/>
          <w:color w:val="auto"/>
          <w:sz w:val="28"/>
          <w:szCs w:val="28"/>
        </w:rPr>
        <w:t>法定代表人</w:t>
      </w:r>
      <w:r>
        <w:rPr>
          <w:rFonts w:hint="eastAsia" w:ascii="宋体" w:hAnsi="宋体"/>
          <w:color w:val="auto"/>
          <w:sz w:val="28"/>
          <w:szCs w:val="28"/>
        </w:rPr>
        <w:t xml:space="preserve"> </w:t>
      </w:r>
      <w:r>
        <w:rPr>
          <w:rFonts w:ascii="宋体" w:hAnsi="宋体"/>
          <w:color w:val="auto"/>
          <w:sz w:val="28"/>
          <w:szCs w:val="28"/>
        </w:rPr>
        <w:t>：</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r>
        <w:rPr>
          <w:rFonts w:ascii="宋体" w:hAnsi="宋体"/>
          <w:color w:val="auto"/>
          <w:sz w:val="28"/>
          <w:szCs w:val="28"/>
        </w:rPr>
        <w:t>（签字</w:t>
      </w:r>
      <w:r>
        <w:rPr>
          <w:rFonts w:hint="eastAsia" w:ascii="宋体" w:hAnsi="宋体"/>
          <w:color w:val="auto"/>
          <w:sz w:val="28"/>
          <w:szCs w:val="28"/>
        </w:rPr>
        <w:t>或盖章</w:t>
      </w:r>
      <w:r>
        <w:rPr>
          <w:rFonts w:ascii="宋体" w:hAnsi="宋体"/>
          <w:color w:val="auto"/>
          <w:sz w:val="28"/>
          <w:szCs w:val="28"/>
        </w:rPr>
        <w:t>）</w:t>
      </w:r>
    </w:p>
    <w:p>
      <w:pPr>
        <w:ind w:firstLine="2520" w:firstLineChars="900"/>
        <w:rPr>
          <w:rFonts w:ascii="宋体" w:hAnsi="宋体"/>
          <w:color w:val="auto"/>
          <w:sz w:val="28"/>
          <w:szCs w:val="28"/>
          <w:u w:val="single"/>
        </w:rPr>
      </w:pPr>
    </w:p>
    <w:p>
      <w:pPr>
        <w:jc w:val="center"/>
        <w:rPr>
          <w:rFonts w:hint="eastAsia" w:ascii="宋体" w:hAnsi="宋体"/>
          <w:color w:val="auto"/>
          <w:sz w:val="28"/>
          <w:szCs w:val="28"/>
        </w:rPr>
      </w:pPr>
      <w:bookmarkStart w:id="2589" w:name="_Toc221951914"/>
    </w:p>
    <w:p>
      <w:pPr>
        <w:jc w:val="center"/>
        <w:rPr>
          <w:rFonts w:hint="eastAsia" w:ascii="宋体" w:hAnsi="宋体"/>
          <w:color w:val="auto"/>
          <w:sz w:val="28"/>
          <w:szCs w:val="28"/>
        </w:rPr>
      </w:pPr>
      <w:r>
        <w:rPr>
          <w:rFonts w:hint="eastAsia" w:ascii="宋体" w:hAnsi="宋体"/>
          <w:color w:val="auto"/>
          <w:sz w:val="28"/>
          <w:szCs w:val="28"/>
          <w:u w:val="single"/>
        </w:rPr>
        <w:t xml:space="preserve">         </w:t>
      </w:r>
      <w:r>
        <w:rPr>
          <w:rFonts w:ascii="宋体" w:hAnsi="宋体"/>
          <w:color w:val="auto"/>
          <w:sz w:val="28"/>
          <w:szCs w:val="28"/>
        </w:rPr>
        <w:t>年</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r>
        <w:rPr>
          <w:rFonts w:ascii="宋体" w:hAnsi="宋体"/>
          <w:color w:val="auto"/>
          <w:sz w:val="28"/>
          <w:szCs w:val="28"/>
        </w:rPr>
        <w:t>月</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u w:val="single"/>
        </w:rPr>
        <w:t xml:space="preserve"> </w:t>
      </w:r>
      <w:r>
        <w:rPr>
          <w:rFonts w:hint="eastAsia" w:ascii="宋体" w:hAnsi="宋体"/>
          <w:color w:val="auto"/>
          <w:sz w:val="28"/>
          <w:szCs w:val="28"/>
          <w:u w:val="single"/>
        </w:rPr>
        <w:t xml:space="preserve"> </w:t>
      </w:r>
      <w:r>
        <w:rPr>
          <w:rFonts w:ascii="宋体" w:hAnsi="宋体"/>
          <w:color w:val="auto"/>
          <w:sz w:val="28"/>
          <w:szCs w:val="28"/>
        </w:rPr>
        <w:t>日</w:t>
      </w:r>
      <w:bookmarkEnd w:id="2589"/>
    </w:p>
    <w:p>
      <w:pPr>
        <w:jc w:val="center"/>
        <w:rPr>
          <w:rFonts w:hint="eastAsia" w:ascii="宋体" w:hAnsi="宋体"/>
          <w:color w:val="auto"/>
          <w:sz w:val="28"/>
          <w:szCs w:val="28"/>
        </w:rPr>
      </w:pPr>
      <w:r>
        <w:rPr>
          <w:rFonts w:hint="eastAsia" w:ascii="宋体" w:hAnsi="宋体"/>
          <w:color w:val="auto"/>
          <w:sz w:val="28"/>
          <w:szCs w:val="28"/>
        </w:rPr>
        <w:t xml:space="preserve"> </w:t>
      </w:r>
    </w:p>
    <w:p>
      <w:pPr>
        <w:jc w:val="center"/>
        <w:rPr>
          <w:rFonts w:hint="eastAsia" w:ascii="宋体" w:hAnsi="宋体"/>
          <w:color w:val="auto"/>
          <w:sz w:val="28"/>
          <w:szCs w:val="28"/>
        </w:rPr>
      </w:pPr>
    </w:p>
    <w:p>
      <w:pPr>
        <w:pStyle w:val="80"/>
        <w:spacing w:before="120" w:after="120" w:afterLines="50"/>
        <w:jc w:val="center"/>
        <w:rPr>
          <w:rFonts w:hint="eastAsia"/>
          <w:color w:val="auto"/>
        </w:rPr>
      </w:pPr>
      <w:bookmarkStart w:id="2590" w:name="_Toc144974856"/>
      <w:bookmarkStart w:id="2591" w:name="_Toc387753626"/>
      <w:bookmarkStart w:id="2592" w:name="_Toc152042576"/>
      <w:bookmarkStart w:id="2593" w:name="_Toc179632807"/>
      <w:bookmarkStart w:id="2594" w:name="_Toc491089800"/>
      <w:bookmarkStart w:id="2595" w:name="_Toc517172681"/>
      <w:bookmarkStart w:id="2596" w:name="_Toc24947"/>
      <w:bookmarkStart w:id="2597" w:name="_Toc152045787"/>
      <w:r>
        <w:rPr>
          <w:rFonts w:hint="eastAsia"/>
          <w:color w:val="auto"/>
        </w:rPr>
        <w:t>目    录</w:t>
      </w:r>
      <w:bookmarkEnd w:id="2590"/>
      <w:bookmarkEnd w:id="2591"/>
      <w:bookmarkEnd w:id="2592"/>
      <w:bookmarkEnd w:id="2593"/>
      <w:bookmarkEnd w:id="2594"/>
      <w:bookmarkEnd w:id="2595"/>
      <w:bookmarkEnd w:id="2596"/>
      <w:bookmarkEnd w:id="2597"/>
    </w:p>
    <w:p>
      <w:pPr>
        <w:spacing w:line="540" w:lineRule="exact"/>
        <w:rPr>
          <w:color w:val="auto"/>
        </w:rPr>
      </w:pPr>
    </w:p>
    <w:p>
      <w:pPr>
        <w:spacing w:line="540" w:lineRule="exact"/>
        <w:ind w:firstLine="1260" w:firstLineChars="600"/>
        <w:rPr>
          <w:rFonts w:hint="eastAsia"/>
          <w:color w:val="auto"/>
        </w:rPr>
      </w:pPr>
      <w:r>
        <w:rPr>
          <w:rFonts w:hint="eastAsia"/>
          <w:color w:val="auto"/>
        </w:rPr>
        <w:t>一、投标函及投标函附录</w:t>
      </w:r>
    </w:p>
    <w:p>
      <w:pPr>
        <w:spacing w:line="540" w:lineRule="exact"/>
        <w:ind w:firstLine="1260" w:firstLineChars="600"/>
        <w:rPr>
          <w:rFonts w:hint="eastAsia"/>
          <w:color w:val="auto"/>
        </w:rPr>
      </w:pPr>
      <w:r>
        <w:rPr>
          <w:rFonts w:hint="eastAsia"/>
          <w:color w:val="auto"/>
        </w:rPr>
        <w:t>二、法定代表人身份证明</w:t>
      </w:r>
    </w:p>
    <w:p>
      <w:pPr>
        <w:spacing w:line="540" w:lineRule="exact"/>
        <w:ind w:firstLine="1260" w:firstLineChars="600"/>
        <w:rPr>
          <w:rFonts w:hint="eastAsia"/>
          <w:color w:val="auto"/>
        </w:rPr>
      </w:pPr>
      <w:r>
        <w:rPr>
          <w:rFonts w:hint="eastAsia"/>
          <w:color w:val="auto"/>
        </w:rPr>
        <w:t>三、联合体协议书</w:t>
      </w:r>
    </w:p>
    <w:p>
      <w:pPr>
        <w:spacing w:line="540" w:lineRule="exact"/>
        <w:ind w:firstLine="1260" w:firstLineChars="600"/>
        <w:rPr>
          <w:rFonts w:hint="eastAsia"/>
          <w:color w:val="auto"/>
        </w:rPr>
      </w:pPr>
      <w:r>
        <w:rPr>
          <w:rFonts w:hint="eastAsia"/>
          <w:color w:val="auto"/>
        </w:rPr>
        <w:t>四、投标保证金</w:t>
      </w:r>
    </w:p>
    <w:p>
      <w:pPr>
        <w:spacing w:line="540" w:lineRule="exact"/>
        <w:ind w:firstLine="1260" w:firstLineChars="600"/>
        <w:rPr>
          <w:rFonts w:hint="eastAsia" w:eastAsia="宋体"/>
          <w:color w:val="auto"/>
          <w:lang w:eastAsia="zh-CN"/>
        </w:rPr>
      </w:pPr>
      <w:r>
        <w:rPr>
          <w:rFonts w:hint="eastAsia"/>
          <w:color w:val="auto"/>
        </w:rPr>
        <w:t>四、投标保证金</w:t>
      </w:r>
      <w:r>
        <w:rPr>
          <w:rFonts w:hint="eastAsia"/>
          <w:color w:val="auto"/>
          <w:highlight w:val="yellow"/>
          <w:lang w:eastAsia="zh-CN"/>
        </w:rPr>
        <w:t>（保函）</w:t>
      </w:r>
    </w:p>
    <w:p>
      <w:pPr>
        <w:spacing w:line="540" w:lineRule="exact"/>
        <w:ind w:firstLine="1260" w:firstLineChars="600"/>
        <w:rPr>
          <w:rFonts w:hint="eastAsia"/>
          <w:color w:val="auto"/>
        </w:rPr>
      </w:pPr>
      <w:r>
        <w:rPr>
          <w:rFonts w:hint="eastAsia"/>
          <w:color w:val="auto"/>
        </w:rPr>
        <w:t>五、施工组织设计</w:t>
      </w:r>
    </w:p>
    <w:p>
      <w:pPr>
        <w:spacing w:line="540" w:lineRule="exact"/>
        <w:ind w:firstLine="1260" w:firstLineChars="600"/>
        <w:rPr>
          <w:color w:val="auto"/>
        </w:rPr>
      </w:pPr>
      <w:r>
        <w:rPr>
          <w:rFonts w:hint="eastAsia"/>
          <w:color w:val="auto"/>
        </w:rPr>
        <w:t>六、项目管理机构</w:t>
      </w:r>
    </w:p>
    <w:p>
      <w:pPr>
        <w:spacing w:line="540" w:lineRule="exact"/>
        <w:ind w:left="420" w:leftChars="200" w:firstLine="1260" w:firstLineChars="600"/>
        <w:rPr>
          <w:color w:val="auto"/>
        </w:rPr>
      </w:pPr>
      <w:r>
        <w:rPr>
          <w:rFonts w:hint="eastAsia"/>
          <w:color w:val="auto"/>
        </w:rPr>
        <w:t>（一）项目管理机构主要人员表</w:t>
      </w:r>
    </w:p>
    <w:p>
      <w:pPr>
        <w:spacing w:line="540" w:lineRule="exact"/>
        <w:ind w:left="420" w:leftChars="200" w:firstLine="1260" w:firstLineChars="600"/>
        <w:rPr>
          <w:color w:val="auto"/>
        </w:rPr>
      </w:pPr>
      <w:r>
        <w:rPr>
          <w:rFonts w:hint="eastAsia"/>
          <w:color w:val="auto"/>
        </w:rPr>
        <w:t>（二）项目经理简历表</w:t>
      </w:r>
    </w:p>
    <w:p>
      <w:pPr>
        <w:spacing w:line="540" w:lineRule="exact"/>
        <w:ind w:left="420" w:leftChars="200" w:firstLine="1260" w:firstLineChars="600"/>
        <w:rPr>
          <w:color w:val="auto"/>
        </w:rPr>
      </w:pPr>
      <w:r>
        <w:rPr>
          <w:rFonts w:hint="eastAsia"/>
          <w:color w:val="auto"/>
        </w:rPr>
        <w:t>（三）拟任项目经理无在施项目的承诺书</w:t>
      </w:r>
    </w:p>
    <w:p>
      <w:pPr>
        <w:spacing w:line="540" w:lineRule="exact"/>
        <w:ind w:left="420" w:leftChars="200" w:firstLine="1260" w:firstLineChars="600"/>
        <w:rPr>
          <w:color w:val="auto"/>
        </w:rPr>
      </w:pPr>
      <w:r>
        <w:rPr>
          <w:rFonts w:hint="eastAsia"/>
          <w:color w:val="auto"/>
        </w:rPr>
        <w:t>（四）项目技术负责人简历表</w:t>
      </w:r>
    </w:p>
    <w:p>
      <w:pPr>
        <w:spacing w:line="540" w:lineRule="exact"/>
        <w:ind w:left="420" w:leftChars="200" w:firstLine="1260" w:firstLineChars="600"/>
        <w:rPr>
          <w:color w:val="auto"/>
        </w:rPr>
      </w:pPr>
      <w:r>
        <w:rPr>
          <w:rFonts w:hint="eastAsia"/>
          <w:color w:val="auto"/>
        </w:rPr>
        <w:t>（五）其他主要项目管理人员简历表</w:t>
      </w:r>
    </w:p>
    <w:p>
      <w:pPr>
        <w:spacing w:line="540" w:lineRule="exact"/>
        <w:ind w:left="420" w:leftChars="200" w:firstLine="1260" w:firstLineChars="600"/>
        <w:rPr>
          <w:rFonts w:hint="eastAsia"/>
          <w:color w:val="auto"/>
        </w:rPr>
      </w:pPr>
      <w:r>
        <w:rPr>
          <w:rFonts w:hint="eastAsia"/>
          <w:color w:val="auto"/>
        </w:rPr>
        <w:t>（六）投标人承诺书</w:t>
      </w:r>
    </w:p>
    <w:p>
      <w:pPr>
        <w:spacing w:line="540" w:lineRule="exact"/>
        <w:ind w:firstLine="1260" w:firstLineChars="600"/>
        <w:rPr>
          <w:rFonts w:hint="eastAsia"/>
          <w:color w:val="auto"/>
        </w:rPr>
      </w:pPr>
      <w:r>
        <w:rPr>
          <w:rFonts w:hint="eastAsia"/>
          <w:color w:val="auto"/>
        </w:rPr>
        <w:t>七、已标价工程量清单</w:t>
      </w:r>
    </w:p>
    <w:p>
      <w:pPr>
        <w:spacing w:line="540" w:lineRule="exact"/>
        <w:ind w:firstLine="1260" w:firstLineChars="600"/>
        <w:rPr>
          <w:rFonts w:hint="eastAsia"/>
          <w:color w:val="auto"/>
        </w:rPr>
      </w:pPr>
      <w:r>
        <w:rPr>
          <w:rFonts w:hint="eastAsia"/>
          <w:color w:val="auto"/>
        </w:rPr>
        <w:t>八、资格审查资料</w:t>
      </w:r>
    </w:p>
    <w:p>
      <w:pPr>
        <w:spacing w:line="540" w:lineRule="exact"/>
        <w:ind w:left="420" w:leftChars="200" w:firstLine="1260" w:firstLineChars="600"/>
        <w:rPr>
          <w:rFonts w:hint="eastAsia"/>
          <w:color w:val="auto"/>
        </w:rPr>
      </w:pPr>
      <w:r>
        <w:rPr>
          <w:rFonts w:hint="eastAsia"/>
          <w:color w:val="auto"/>
        </w:rPr>
        <w:t>（一）投标人基本情况表</w:t>
      </w:r>
    </w:p>
    <w:p>
      <w:pPr>
        <w:spacing w:line="540" w:lineRule="exact"/>
        <w:ind w:left="420" w:leftChars="200" w:firstLine="1260" w:firstLineChars="600"/>
        <w:rPr>
          <w:rFonts w:hint="eastAsia"/>
          <w:color w:val="auto"/>
        </w:rPr>
      </w:pPr>
      <w:r>
        <w:rPr>
          <w:rFonts w:hint="eastAsia"/>
          <w:color w:val="auto"/>
        </w:rPr>
        <w:t>（二）投标人信用信誉情况</w:t>
      </w:r>
    </w:p>
    <w:p>
      <w:pPr>
        <w:spacing w:line="540" w:lineRule="exact"/>
        <w:ind w:left="420" w:leftChars="200" w:firstLine="1260" w:firstLineChars="600"/>
        <w:rPr>
          <w:rFonts w:hint="eastAsia"/>
          <w:color w:val="auto"/>
          <w:highlight w:val="none"/>
        </w:rPr>
      </w:pPr>
      <w:r>
        <w:rPr>
          <w:rFonts w:hint="eastAsia"/>
          <w:color w:val="auto"/>
          <w:highlight w:val="none"/>
        </w:rPr>
        <w:t>（三）投标人财务状况</w:t>
      </w:r>
    </w:p>
    <w:p>
      <w:pPr>
        <w:spacing w:line="540" w:lineRule="exact"/>
        <w:ind w:left="420" w:leftChars="200" w:firstLine="1260" w:firstLineChars="600"/>
        <w:rPr>
          <w:rFonts w:hint="eastAsia"/>
          <w:color w:val="auto"/>
        </w:rPr>
      </w:pPr>
      <w:r>
        <w:rPr>
          <w:rFonts w:hint="eastAsia"/>
          <w:color w:val="auto"/>
        </w:rPr>
        <w:t>（四）投标人业绩情况</w:t>
      </w:r>
    </w:p>
    <w:p>
      <w:pPr>
        <w:spacing w:line="540" w:lineRule="exact"/>
        <w:ind w:left="420" w:leftChars="200" w:firstLine="1260" w:firstLineChars="600"/>
        <w:rPr>
          <w:rFonts w:hint="eastAsia"/>
          <w:color w:val="auto"/>
        </w:rPr>
      </w:pPr>
      <w:r>
        <w:rPr>
          <w:rFonts w:hint="eastAsia"/>
          <w:color w:val="auto"/>
        </w:rPr>
        <w:t>（五）项目管理机构主要人员及简历</w:t>
      </w:r>
    </w:p>
    <w:p>
      <w:pPr>
        <w:spacing w:line="540" w:lineRule="exact"/>
        <w:ind w:left="420" w:leftChars="200" w:firstLine="1260" w:firstLineChars="600"/>
        <w:rPr>
          <w:rFonts w:hint="eastAsia"/>
          <w:color w:val="auto"/>
        </w:rPr>
      </w:pPr>
      <w:r>
        <w:rPr>
          <w:rFonts w:hint="eastAsia"/>
          <w:color w:val="auto"/>
        </w:rPr>
        <w:t>（六）拟投入主要施工设备情况</w:t>
      </w:r>
    </w:p>
    <w:p>
      <w:pPr>
        <w:spacing w:line="540" w:lineRule="exact"/>
        <w:ind w:firstLine="1260" w:firstLineChars="600"/>
        <w:rPr>
          <w:rFonts w:hint="eastAsia"/>
          <w:color w:val="auto"/>
        </w:rPr>
      </w:pPr>
      <w:r>
        <w:rPr>
          <w:rFonts w:hint="eastAsia"/>
          <w:color w:val="auto"/>
        </w:rPr>
        <w:t>九、拟分包项目情况表</w:t>
      </w:r>
    </w:p>
    <w:p>
      <w:pPr>
        <w:spacing w:line="540" w:lineRule="exact"/>
        <w:ind w:firstLine="1260" w:firstLineChars="600"/>
        <w:rPr>
          <w:rFonts w:hint="eastAsia"/>
          <w:color w:val="auto"/>
        </w:rPr>
      </w:pPr>
      <w:r>
        <w:rPr>
          <w:rFonts w:hint="eastAsia"/>
          <w:color w:val="auto"/>
        </w:rPr>
        <w:t>十、投标人认为需提供的其他材料</w:t>
      </w:r>
    </w:p>
    <w:p>
      <w:pPr>
        <w:pStyle w:val="80"/>
        <w:spacing w:before="120" w:after="120" w:afterLines="50"/>
        <w:jc w:val="center"/>
        <w:rPr>
          <w:b/>
          <w:color w:val="auto"/>
        </w:rPr>
      </w:pPr>
      <w:r>
        <w:rPr>
          <w:color w:val="auto"/>
        </w:rPr>
        <w:br w:type="page"/>
      </w:r>
      <w:bookmarkStart w:id="2598" w:name="_Toc491089801"/>
      <w:bookmarkStart w:id="2599" w:name="_Toc31650"/>
      <w:bookmarkStart w:id="2600" w:name="_Toc387753627"/>
      <w:bookmarkStart w:id="2601" w:name="_Toc179632808"/>
      <w:bookmarkStart w:id="2602" w:name="_Toc152045788"/>
      <w:bookmarkStart w:id="2603" w:name="_Toc152042577"/>
      <w:r>
        <w:rPr>
          <w:b/>
          <w:color w:val="auto"/>
        </w:rPr>
        <w:t>一、投标函及投标函附录</w:t>
      </w:r>
      <w:bookmarkEnd w:id="2598"/>
      <w:bookmarkEnd w:id="2599"/>
      <w:bookmarkEnd w:id="2600"/>
      <w:bookmarkEnd w:id="2601"/>
      <w:bookmarkEnd w:id="2602"/>
      <w:bookmarkEnd w:id="2603"/>
    </w:p>
    <w:p>
      <w:pPr>
        <w:spacing w:line="440" w:lineRule="exact"/>
        <w:ind w:firstLine="2700" w:firstLineChars="1350"/>
        <w:rPr>
          <w:rFonts w:eastAsia="黑体"/>
          <w:color w:val="auto"/>
          <w:sz w:val="20"/>
          <w:szCs w:val="20"/>
        </w:rPr>
      </w:pPr>
    </w:p>
    <w:p>
      <w:pPr>
        <w:keepNext/>
        <w:keepLines/>
        <w:spacing w:line="400" w:lineRule="exact"/>
        <w:jc w:val="center"/>
        <w:outlineLvl w:val="2"/>
        <w:rPr>
          <w:rFonts w:eastAsia="黑体"/>
          <w:color w:val="auto"/>
          <w:sz w:val="24"/>
          <w:szCs w:val="23"/>
        </w:rPr>
      </w:pPr>
      <w:bookmarkStart w:id="2604" w:name="_Toc152042578"/>
      <w:bookmarkStart w:id="2605" w:name="_Toc4593"/>
      <w:bookmarkStart w:id="2606" w:name="_Toc491089802"/>
      <w:bookmarkStart w:id="2607" w:name="_Toc179632809"/>
      <w:bookmarkStart w:id="2608" w:name="_Toc152045789"/>
      <w:r>
        <w:rPr>
          <w:rFonts w:eastAsia="黑体"/>
          <w:color w:val="auto"/>
          <w:sz w:val="24"/>
          <w:szCs w:val="23"/>
        </w:rPr>
        <w:t>（一）投标函</w:t>
      </w:r>
      <w:bookmarkEnd w:id="2604"/>
      <w:bookmarkEnd w:id="2605"/>
      <w:bookmarkEnd w:id="2606"/>
      <w:bookmarkEnd w:id="2607"/>
      <w:bookmarkEnd w:id="2608"/>
    </w:p>
    <w:p>
      <w:pPr>
        <w:spacing w:line="440" w:lineRule="exact"/>
        <w:rPr>
          <w:color w:val="auto"/>
          <w:sz w:val="20"/>
          <w:szCs w:val="20"/>
        </w:rPr>
      </w:pPr>
    </w:p>
    <w:p>
      <w:pPr>
        <w:spacing w:line="440" w:lineRule="exact"/>
        <w:rPr>
          <w:color w:val="auto"/>
          <w:szCs w:val="21"/>
        </w:rPr>
      </w:pPr>
      <w:r>
        <w:rPr>
          <w:color w:val="auto"/>
          <w:szCs w:val="21"/>
          <w:u w:val="single"/>
        </w:rPr>
        <w:t xml:space="preserve">                        </w:t>
      </w:r>
      <w:r>
        <w:rPr>
          <w:color w:val="auto"/>
          <w:szCs w:val="21"/>
        </w:rPr>
        <w:t>（招标人名称）：</w:t>
      </w:r>
    </w:p>
    <w:p>
      <w:pPr>
        <w:spacing w:line="440" w:lineRule="exact"/>
        <w:rPr>
          <w:color w:val="auto"/>
          <w:szCs w:val="21"/>
        </w:rPr>
      </w:pPr>
    </w:p>
    <w:p>
      <w:pPr>
        <w:spacing w:line="440" w:lineRule="exact"/>
        <w:ind w:firstLine="420" w:firstLineChars="200"/>
        <w:rPr>
          <w:rFonts w:hint="eastAsia"/>
          <w:color w:val="auto"/>
          <w:szCs w:val="21"/>
        </w:rPr>
      </w:pPr>
      <w:r>
        <w:rPr>
          <w:color w:val="auto"/>
          <w:szCs w:val="21"/>
        </w:rPr>
        <w:t>1．我方已仔细研究了</w:t>
      </w:r>
      <w:r>
        <w:rPr>
          <w:color w:val="auto"/>
          <w:szCs w:val="21"/>
          <w:u w:val="single"/>
        </w:rPr>
        <w:t xml:space="preserve">          </w:t>
      </w:r>
      <w:r>
        <w:rPr>
          <w:color w:val="auto"/>
          <w:szCs w:val="21"/>
        </w:rPr>
        <w:t>（项目名称）</w:t>
      </w:r>
      <w:r>
        <w:rPr>
          <w:color w:val="auto"/>
          <w:szCs w:val="21"/>
          <w:u w:val="single"/>
        </w:rPr>
        <w:t xml:space="preserve">     </w:t>
      </w:r>
      <w:r>
        <w:rPr>
          <w:rFonts w:hint="eastAsia"/>
          <w:color w:val="auto"/>
          <w:szCs w:val="21"/>
        </w:rPr>
        <w:t>（标段名称）</w:t>
      </w:r>
      <w:r>
        <w:rPr>
          <w:color w:val="auto"/>
          <w:szCs w:val="21"/>
        </w:rPr>
        <w:t>招标文件的全部内容，愿意以人民币（大写）</w:t>
      </w:r>
      <w:r>
        <w:rPr>
          <w:color w:val="auto"/>
          <w:szCs w:val="21"/>
          <w:u w:val="single"/>
        </w:rPr>
        <w:t xml:space="preserve">         </w:t>
      </w:r>
      <w:r>
        <w:rPr>
          <w:color w:val="auto"/>
          <w:szCs w:val="21"/>
        </w:rPr>
        <w:t>元（¥</w:t>
      </w:r>
      <w:r>
        <w:rPr>
          <w:color w:val="auto"/>
          <w:szCs w:val="21"/>
          <w:u w:val="single"/>
        </w:rPr>
        <w:t xml:space="preserve">           </w:t>
      </w:r>
      <w:r>
        <w:rPr>
          <w:color w:val="auto"/>
          <w:szCs w:val="21"/>
        </w:rPr>
        <w:t>）的投标总报价，</w:t>
      </w:r>
      <w:r>
        <w:rPr>
          <w:rFonts w:hint="eastAsia"/>
          <w:color w:val="auto"/>
          <w:szCs w:val="21"/>
        </w:rPr>
        <w:t>工期</w:t>
      </w:r>
      <w:r>
        <w:rPr>
          <w:rFonts w:hint="eastAsia"/>
          <w:color w:val="auto"/>
          <w:szCs w:val="21"/>
          <w:u w:val="single"/>
        </w:rPr>
        <w:t xml:space="preserve">          </w:t>
      </w:r>
      <w:r>
        <w:rPr>
          <w:rFonts w:hint="eastAsia"/>
          <w:color w:val="auto"/>
          <w:szCs w:val="21"/>
        </w:rPr>
        <w:t xml:space="preserve"> 日历天，</w:t>
      </w:r>
      <w:r>
        <w:rPr>
          <w:color w:val="auto"/>
          <w:szCs w:val="21"/>
        </w:rPr>
        <w:t>按合同约定实施和完成承包工程，修补工程中的任何缺陷，工程质量达到</w:t>
      </w:r>
      <w:r>
        <w:rPr>
          <w:color w:val="auto"/>
          <w:szCs w:val="21"/>
          <w:u w:val="single"/>
        </w:rPr>
        <w:t xml:space="preserve">           </w:t>
      </w:r>
      <w:r>
        <w:rPr>
          <w:color w:val="auto"/>
          <w:szCs w:val="21"/>
        </w:rPr>
        <w:t xml:space="preserve"> 。</w:t>
      </w:r>
    </w:p>
    <w:p>
      <w:pPr>
        <w:spacing w:line="440" w:lineRule="exact"/>
        <w:ind w:firstLine="420" w:firstLineChars="200"/>
        <w:rPr>
          <w:rFonts w:hint="eastAsia"/>
          <w:color w:val="auto"/>
          <w:szCs w:val="21"/>
        </w:rPr>
      </w:pPr>
      <w:r>
        <w:rPr>
          <w:rFonts w:hint="eastAsia"/>
          <w:color w:val="auto"/>
          <w:szCs w:val="21"/>
        </w:rPr>
        <w:t>2. 我方拟任的项目经理</w:t>
      </w:r>
      <w:r>
        <w:rPr>
          <w:color w:val="auto"/>
          <w:szCs w:val="21"/>
        </w:rPr>
        <w:t>：</w:t>
      </w:r>
      <w:r>
        <w:rPr>
          <w:rFonts w:hint="eastAsia"/>
          <w:color w:val="auto"/>
          <w:szCs w:val="21"/>
          <w:u w:val="single"/>
        </w:rPr>
        <w:t xml:space="preserve">           </w:t>
      </w:r>
      <w:r>
        <w:rPr>
          <w:rFonts w:hint="eastAsia"/>
          <w:color w:val="auto"/>
          <w:szCs w:val="21"/>
        </w:rPr>
        <w:t>（姓名），证书名称：</w:t>
      </w:r>
      <w:r>
        <w:rPr>
          <w:rFonts w:hint="eastAsia"/>
          <w:color w:val="auto"/>
          <w:szCs w:val="21"/>
          <w:u w:val="single"/>
        </w:rPr>
        <w:t xml:space="preserve">        </w:t>
      </w:r>
      <w:r>
        <w:rPr>
          <w:rFonts w:hint="eastAsia"/>
          <w:color w:val="auto"/>
          <w:szCs w:val="21"/>
        </w:rPr>
        <w:t>，证书编号：</w:t>
      </w:r>
      <w:r>
        <w:rPr>
          <w:rFonts w:hint="eastAsia"/>
          <w:color w:val="auto"/>
          <w:szCs w:val="21"/>
          <w:u w:val="single"/>
        </w:rPr>
        <w:t xml:space="preserve">       </w:t>
      </w:r>
      <w:r>
        <w:rPr>
          <w:rFonts w:hint="eastAsia"/>
          <w:color w:val="auto"/>
          <w:szCs w:val="21"/>
        </w:rPr>
        <w:t>；拟任技术负责人：</w:t>
      </w:r>
      <w:r>
        <w:rPr>
          <w:rFonts w:hint="eastAsia"/>
          <w:color w:val="auto"/>
          <w:szCs w:val="21"/>
          <w:u w:val="single"/>
        </w:rPr>
        <w:t xml:space="preserve">           </w:t>
      </w:r>
      <w:r>
        <w:rPr>
          <w:rFonts w:hint="eastAsia"/>
          <w:color w:val="auto"/>
          <w:szCs w:val="21"/>
        </w:rPr>
        <w:t>（姓名）。</w:t>
      </w:r>
    </w:p>
    <w:p>
      <w:pPr>
        <w:spacing w:line="440" w:lineRule="exact"/>
        <w:ind w:firstLine="420" w:firstLineChars="200"/>
        <w:rPr>
          <w:color w:val="auto"/>
          <w:szCs w:val="21"/>
        </w:rPr>
      </w:pPr>
      <w:r>
        <w:rPr>
          <w:rFonts w:hint="eastAsia"/>
          <w:color w:val="auto"/>
          <w:szCs w:val="21"/>
        </w:rPr>
        <w:t>3</w:t>
      </w:r>
      <w:r>
        <w:rPr>
          <w:color w:val="auto"/>
          <w:szCs w:val="21"/>
        </w:rPr>
        <w:t>．我方承诺在投标有效期内不修改、撤销</w:t>
      </w:r>
      <w:r>
        <w:rPr>
          <w:rFonts w:hint="eastAsia"/>
          <w:color w:val="auto"/>
          <w:szCs w:val="21"/>
        </w:rPr>
        <w:t>本</w:t>
      </w:r>
      <w:r>
        <w:rPr>
          <w:color w:val="auto"/>
          <w:szCs w:val="21"/>
        </w:rPr>
        <w:t>投标文件。</w:t>
      </w:r>
    </w:p>
    <w:p>
      <w:pPr>
        <w:spacing w:line="440" w:lineRule="exact"/>
        <w:ind w:firstLine="420" w:firstLineChars="200"/>
        <w:rPr>
          <w:color w:val="auto"/>
          <w:szCs w:val="21"/>
        </w:rPr>
      </w:pPr>
      <w:r>
        <w:rPr>
          <w:rFonts w:hint="eastAsia"/>
          <w:color w:val="auto"/>
          <w:szCs w:val="21"/>
        </w:rPr>
        <w:t>4</w:t>
      </w:r>
      <w:r>
        <w:rPr>
          <w:color w:val="auto"/>
          <w:szCs w:val="21"/>
        </w:rPr>
        <w:t>．随同本投标函</w:t>
      </w:r>
      <w:r>
        <w:rPr>
          <w:rFonts w:hint="eastAsia"/>
          <w:color w:val="auto"/>
          <w:szCs w:val="21"/>
        </w:rPr>
        <w:t>递交</w:t>
      </w:r>
      <w:r>
        <w:rPr>
          <w:color w:val="auto"/>
          <w:szCs w:val="21"/>
        </w:rPr>
        <w:t>投标保证金一份，金额为人民币（大写）</w:t>
      </w:r>
      <w:r>
        <w:rPr>
          <w:color w:val="auto"/>
          <w:szCs w:val="21"/>
          <w:u w:val="single"/>
        </w:rPr>
        <w:t xml:space="preserve">        </w:t>
      </w:r>
      <w:r>
        <w:rPr>
          <w:color w:val="auto"/>
          <w:szCs w:val="21"/>
        </w:rPr>
        <w:t>元（¥</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 xml:space="preserve"> ）。</w:t>
      </w:r>
    </w:p>
    <w:p>
      <w:pPr>
        <w:spacing w:line="440" w:lineRule="exact"/>
        <w:ind w:firstLine="420" w:firstLineChars="200"/>
        <w:rPr>
          <w:color w:val="auto"/>
          <w:szCs w:val="21"/>
        </w:rPr>
      </w:pPr>
      <w:r>
        <w:rPr>
          <w:rFonts w:hint="eastAsia"/>
          <w:color w:val="auto"/>
          <w:szCs w:val="21"/>
        </w:rPr>
        <w:t>5</w:t>
      </w:r>
      <w:r>
        <w:rPr>
          <w:color w:val="auto"/>
          <w:szCs w:val="21"/>
        </w:rPr>
        <w:t>．如我方中标：</w:t>
      </w:r>
    </w:p>
    <w:p>
      <w:pPr>
        <w:spacing w:line="440" w:lineRule="exact"/>
        <w:ind w:firstLine="718" w:firstLineChars="342"/>
        <w:rPr>
          <w:color w:val="auto"/>
          <w:szCs w:val="21"/>
        </w:rPr>
      </w:pPr>
      <w:r>
        <w:rPr>
          <w:color w:val="auto"/>
          <w:szCs w:val="21"/>
        </w:rPr>
        <w:t>（1）我方承诺在收到中标通知书后，在中标通知书规定的期限内与你方签订合同。</w:t>
      </w:r>
    </w:p>
    <w:p>
      <w:pPr>
        <w:spacing w:line="440" w:lineRule="exact"/>
        <w:ind w:firstLine="718" w:firstLineChars="342"/>
        <w:rPr>
          <w:color w:val="auto"/>
          <w:szCs w:val="21"/>
        </w:rPr>
      </w:pPr>
      <w:r>
        <w:rPr>
          <w:color w:val="auto"/>
          <w:szCs w:val="21"/>
        </w:rPr>
        <w:t>（2）随同本投标函递交的投标函附录属于合同文件的组成部分。</w:t>
      </w:r>
    </w:p>
    <w:p>
      <w:pPr>
        <w:spacing w:line="440" w:lineRule="exact"/>
        <w:ind w:firstLine="718" w:firstLineChars="342"/>
        <w:rPr>
          <w:color w:val="auto"/>
          <w:szCs w:val="21"/>
        </w:rPr>
      </w:pPr>
      <w:r>
        <w:rPr>
          <w:color w:val="auto"/>
          <w:szCs w:val="21"/>
        </w:rPr>
        <w:t>（3）我方承诺按照招标文件规定向你方递交履约担保。</w:t>
      </w:r>
    </w:p>
    <w:p>
      <w:pPr>
        <w:spacing w:line="440" w:lineRule="exact"/>
        <w:ind w:firstLine="718" w:firstLineChars="342"/>
        <w:rPr>
          <w:color w:val="auto"/>
          <w:szCs w:val="21"/>
        </w:rPr>
      </w:pPr>
      <w:r>
        <w:rPr>
          <w:color w:val="auto"/>
          <w:szCs w:val="21"/>
        </w:rPr>
        <w:t>（4）我方承诺在合同约定的期限内完成并移交全部合同工程。</w:t>
      </w:r>
    </w:p>
    <w:p>
      <w:pPr>
        <w:spacing w:line="440" w:lineRule="exact"/>
        <w:ind w:firstLine="420" w:firstLineChars="200"/>
        <w:rPr>
          <w:rFonts w:hint="eastAsia"/>
          <w:color w:val="auto"/>
          <w:szCs w:val="21"/>
        </w:rPr>
      </w:pPr>
      <w:r>
        <w:rPr>
          <w:rFonts w:hint="eastAsia"/>
          <w:color w:val="auto"/>
          <w:szCs w:val="21"/>
        </w:rPr>
        <w:t>6</w:t>
      </w:r>
      <w:r>
        <w:rPr>
          <w:color w:val="auto"/>
          <w:szCs w:val="21"/>
        </w:rPr>
        <w:t>．</w:t>
      </w:r>
      <w:r>
        <w:rPr>
          <w:rFonts w:hint="eastAsia"/>
          <w:color w:val="auto"/>
        </w:rPr>
        <w:t>我方在此声明，所递交的投标文件及有关资料内容完整、真实和准确，且不存在第二章“投标人须知”第1.4.3项和第1.4.4项规定的任何一种情形。</w:t>
      </w:r>
    </w:p>
    <w:p>
      <w:pPr>
        <w:spacing w:line="440" w:lineRule="exact"/>
        <w:ind w:firstLine="420" w:firstLineChars="200"/>
        <w:rPr>
          <w:color w:val="auto"/>
          <w:szCs w:val="21"/>
        </w:rPr>
      </w:pPr>
      <w:r>
        <w:rPr>
          <w:rFonts w:hint="eastAsia"/>
          <w:color w:val="auto"/>
          <w:szCs w:val="21"/>
        </w:rPr>
        <w:t>7．</w:t>
      </w:r>
      <w:r>
        <w:rPr>
          <w:color w:val="auto"/>
          <w:szCs w:val="21"/>
          <w:u w:val="single"/>
        </w:rPr>
        <w:t xml:space="preserve">                                       </w:t>
      </w:r>
      <w:r>
        <w:rPr>
          <w:color w:val="auto"/>
          <w:szCs w:val="21"/>
        </w:rPr>
        <w:t>（</w:t>
      </w:r>
      <w:r>
        <w:rPr>
          <w:rFonts w:hint="eastAsia"/>
          <w:color w:val="auto"/>
          <w:szCs w:val="21"/>
        </w:rPr>
        <w:t>其他</w:t>
      </w:r>
      <w:r>
        <w:rPr>
          <w:color w:val="auto"/>
          <w:szCs w:val="21"/>
        </w:rPr>
        <w:t>补充说明）。</w:t>
      </w:r>
    </w:p>
    <w:p>
      <w:pPr>
        <w:spacing w:line="440" w:lineRule="exact"/>
        <w:rPr>
          <w:color w:val="auto"/>
          <w:szCs w:val="21"/>
        </w:rPr>
      </w:pPr>
    </w:p>
    <w:p>
      <w:pPr>
        <w:spacing w:line="440" w:lineRule="exact"/>
        <w:ind w:firstLine="3675" w:firstLineChars="1750"/>
        <w:rPr>
          <w:color w:val="auto"/>
          <w:szCs w:val="21"/>
        </w:rPr>
      </w:pPr>
      <w:r>
        <w:rPr>
          <w:color w:val="auto"/>
          <w:szCs w:val="21"/>
        </w:rPr>
        <w:t>投 标 人：</w:t>
      </w:r>
      <w:r>
        <w:rPr>
          <w:color w:val="auto"/>
          <w:szCs w:val="21"/>
          <w:u w:val="single"/>
        </w:rPr>
        <w:t xml:space="preserve">                      </w:t>
      </w:r>
      <w:r>
        <w:rPr>
          <w:color w:val="auto"/>
          <w:szCs w:val="21"/>
        </w:rPr>
        <w:t>（盖单位章）</w:t>
      </w:r>
    </w:p>
    <w:p>
      <w:pPr>
        <w:spacing w:line="440" w:lineRule="exact"/>
        <w:ind w:firstLine="3675" w:firstLineChars="1750"/>
        <w:rPr>
          <w:color w:val="auto"/>
          <w:szCs w:val="21"/>
        </w:rPr>
      </w:pPr>
      <w:r>
        <w:rPr>
          <w:color w:val="auto"/>
          <w:szCs w:val="21"/>
        </w:rPr>
        <w:t>法定代表人</w:t>
      </w:r>
      <w:r>
        <w:rPr>
          <w:rFonts w:hint="eastAsia"/>
          <w:color w:val="auto"/>
          <w:szCs w:val="21"/>
        </w:rPr>
        <w:t xml:space="preserve"> </w:t>
      </w:r>
      <w:r>
        <w:rPr>
          <w:color w:val="auto"/>
          <w:szCs w:val="21"/>
        </w:rPr>
        <w:t>：</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color w:val="auto"/>
          <w:szCs w:val="21"/>
        </w:rPr>
        <w:t>（签字</w:t>
      </w:r>
      <w:r>
        <w:rPr>
          <w:rFonts w:hint="eastAsia"/>
          <w:color w:val="auto"/>
          <w:szCs w:val="21"/>
        </w:rPr>
        <w:t>或盖章</w:t>
      </w:r>
      <w:r>
        <w:rPr>
          <w:color w:val="auto"/>
          <w:szCs w:val="21"/>
        </w:rPr>
        <w:t>）</w:t>
      </w:r>
    </w:p>
    <w:p>
      <w:pPr>
        <w:spacing w:line="440" w:lineRule="exact"/>
        <w:ind w:firstLine="3675" w:firstLineChars="1750"/>
        <w:rPr>
          <w:rFonts w:hint="eastAsia"/>
          <w:color w:val="auto"/>
          <w:szCs w:val="21"/>
        </w:rPr>
      </w:pPr>
      <w:r>
        <w:rPr>
          <w:color w:val="auto"/>
          <w:szCs w:val="21"/>
        </w:rPr>
        <w:t>地址：</w:t>
      </w:r>
      <w:r>
        <w:rPr>
          <w:color w:val="auto"/>
          <w:szCs w:val="21"/>
          <w:u w:val="single"/>
        </w:rPr>
        <w:t xml:space="preserve">                                     </w:t>
      </w:r>
    </w:p>
    <w:p>
      <w:pPr>
        <w:spacing w:line="440" w:lineRule="exact"/>
        <w:ind w:firstLine="3675" w:firstLineChars="1750"/>
        <w:rPr>
          <w:color w:val="auto"/>
          <w:szCs w:val="21"/>
        </w:rPr>
      </w:pPr>
      <w:r>
        <w:rPr>
          <w:color w:val="auto"/>
          <w:szCs w:val="21"/>
        </w:rPr>
        <w:t>网址：</w:t>
      </w:r>
      <w:r>
        <w:rPr>
          <w:color w:val="auto"/>
          <w:szCs w:val="21"/>
          <w:u w:val="single"/>
        </w:rPr>
        <w:t xml:space="preserve">                                     </w:t>
      </w:r>
    </w:p>
    <w:p>
      <w:pPr>
        <w:spacing w:line="440" w:lineRule="exact"/>
        <w:ind w:firstLine="3675" w:firstLineChars="1750"/>
        <w:rPr>
          <w:rFonts w:hint="eastAsia"/>
          <w:color w:val="auto"/>
          <w:szCs w:val="21"/>
        </w:rPr>
      </w:pPr>
      <w:r>
        <w:rPr>
          <w:color w:val="auto"/>
          <w:szCs w:val="21"/>
        </w:rPr>
        <w:t>电话：</w:t>
      </w:r>
      <w:r>
        <w:rPr>
          <w:color w:val="auto"/>
          <w:szCs w:val="21"/>
          <w:u w:val="single"/>
        </w:rPr>
        <w:t xml:space="preserve">                                     </w:t>
      </w:r>
    </w:p>
    <w:p>
      <w:pPr>
        <w:spacing w:line="440" w:lineRule="exact"/>
        <w:ind w:firstLine="3675" w:firstLineChars="1750"/>
        <w:rPr>
          <w:rFonts w:hint="eastAsia"/>
          <w:color w:val="auto"/>
          <w:szCs w:val="21"/>
        </w:rPr>
      </w:pPr>
      <w:r>
        <w:rPr>
          <w:color w:val="auto"/>
          <w:szCs w:val="21"/>
        </w:rPr>
        <w:t>传真：</w:t>
      </w:r>
      <w:r>
        <w:rPr>
          <w:color w:val="auto"/>
          <w:szCs w:val="21"/>
          <w:u w:val="single"/>
        </w:rPr>
        <w:t xml:space="preserve">                                     </w:t>
      </w:r>
    </w:p>
    <w:p>
      <w:pPr>
        <w:spacing w:line="440" w:lineRule="exact"/>
        <w:ind w:firstLine="3675" w:firstLineChars="1750"/>
        <w:rPr>
          <w:rFonts w:hint="eastAsia"/>
          <w:color w:val="auto"/>
          <w:szCs w:val="21"/>
        </w:rPr>
      </w:pPr>
      <w:r>
        <w:rPr>
          <w:color w:val="auto"/>
          <w:szCs w:val="21"/>
        </w:rPr>
        <w:t>邮政编码：</w:t>
      </w:r>
      <w:r>
        <w:rPr>
          <w:color w:val="auto"/>
          <w:szCs w:val="21"/>
          <w:u w:val="single"/>
        </w:rPr>
        <w:t xml:space="preserve">                                 </w:t>
      </w:r>
    </w:p>
    <w:p>
      <w:pPr>
        <w:spacing w:line="440" w:lineRule="exact"/>
        <w:ind w:firstLine="5040" w:firstLineChars="2400"/>
        <w:rPr>
          <w:color w:val="auto"/>
          <w:szCs w:val="21"/>
        </w:rPr>
      </w:pPr>
      <w:r>
        <w:rPr>
          <w:rFonts w:hint="eastAsia"/>
          <w:color w:val="auto"/>
          <w:szCs w:val="21"/>
          <w:u w:val="single"/>
        </w:rPr>
        <w:t xml:space="preserve">        </w:t>
      </w:r>
      <w:r>
        <w:rPr>
          <w:color w:val="auto"/>
          <w:szCs w:val="21"/>
        </w:rPr>
        <w:t>年</w:t>
      </w:r>
      <w:r>
        <w:rPr>
          <w:rFonts w:hint="eastAsia"/>
          <w:color w:val="auto"/>
          <w:szCs w:val="21"/>
          <w:u w:val="single"/>
        </w:rPr>
        <w:t xml:space="preserve">        </w:t>
      </w:r>
      <w:r>
        <w:rPr>
          <w:color w:val="auto"/>
          <w:szCs w:val="21"/>
        </w:rPr>
        <w:t>月</w:t>
      </w:r>
      <w:r>
        <w:rPr>
          <w:rFonts w:hint="eastAsia"/>
          <w:color w:val="auto"/>
          <w:szCs w:val="21"/>
          <w:u w:val="single"/>
        </w:rPr>
        <w:t xml:space="preserve">        </w:t>
      </w:r>
      <w:r>
        <w:rPr>
          <w:color w:val="auto"/>
          <w:szCs w:val="21"/>
        </w:rPr>
        <w:t>日</w:t>
      </w:r>
    </w:p>
    <w:p>
      <w:pPr>
        <w:spacing w:line="440" w:lineRule="exact"/>
        <w:rPr>
          <w:rFonts w:eastAsia="黑体"/>
          <w:color w:val="auto"/>
          <w:sz w:val="20"/>
          <w:szCs w:val="20"/>
        </w:rPr>
      </w:pPr>
    </w:p>
    <w:p>
      <w:pPr>
        <w:keepNext/>
        <w:keepLines/>
        <w:spacing w:line="400" w:lineRule="exact"/>
        <w:jc w:val="center"/>
        <w:outlineLvl w:val="2"/>
        <w:rPr>
          <w:rFonts w:eastAsia="黑体"/>
          <w:color w:val="auto"/>
          <w:sz w:val="24"/>
          <w:szCs w:val="23"/>
        </w:rPr>
      </w:pPr>
      <w:bookmarkStart w:id="2609" w:name="_Toc29601"/>
      <w:bookmarkStart w:id="2610" w:name="_Toc491089803"/>
      <w:bookmarkStart w:id="2611" w:name="_Toc152045790"/>
      <w:bookmarkStart w:id="2612" w:name="_Toc179632810"/>
      <w:bookmarkStart w:id="2613" w:name="_Toc152042579"/>
      <w:r>
        <w:rPr>
          <w:rFonts w:eastAsia="黑体"/>
          <w:color w:val="auto"/>
          <w:sz w:val="24"/>
          <w:szCs w:val="23"/>
        </w:rPr>
        <w:t>（二）投标函附录</w:t>
      </w:r>
      <w:bookmarkEnd w:id="2609"/>
      <w:bookmarkEnd w:id="2610"/>
      <w:bookmarkEnd w:id="2611"/>
      <w:bookmarkEnd w:id="2612"/>
      <w:bookmarkEnd w:id="2613"/>
    </w:p>
    <w:p>
      <w:pPr>
        <w:spacing w:line="440" w:lineRule="exact"/>
        <w:rPr>
          <w:rFonts w:eastAsia="黑体"/>
          <w:color w:val="auto"/>
          <w:sz w:val="20"/>
          <w:szCs w:val="20"/>
        </w:rPr>
      </w:pP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2732"/>
        <w:gridCol w:w="1454"/>
        <w:gridCol w:w="3578"/>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color w:val="auto"/>
                <w:szCs w:val="21"/>
              </w:rPr>
            </w:pPr>
            <w:r>
              <w:rPr>
                <w:color w:val="auto"/>
                <w:szCs w:val="21"/>
              </w:rPr>
              <w:t>序号</w:t>
            </w:r>
          </w:p>
        </w:tc>
        <w:tc>
          <w:tcPr>
            <w:tcW w:w="1479" w:type="pct"/>
            <w:noWrap w:val="0"/>
            <w:vAlign w:val="center"/>
          </w:tcPr>
          <w:p>
            <w:pPr>
              <w:jc w:val="center"/>
              <w:rPr>
                <w:rFonts w:hint="eastAsia"/>
                <w:color w:val="auto"/>
                <w:szCs w:val="21"/>
              </w:rPr>
            </w:pPr>
            <w:r>
              <w:rPr>
                <w:rFonts w:hint="eastAsia"/>
                <w:color w:val="auto"/>
                <w:szCs w:val="21"/>
              </w:rPr>
              <w:t>条款名称</w:t>
            </w:r>
          </w:p>
        </w:tc>
        <w:tc>
          <w:tcPr>
            <w:tcW w:w="787" w:type="pct"/>
            <w:noWrap w:val="0"/>
            <w:vAlign w:val="center"/>
          </w:tcPr>
          <w:p>
            <w:pPr>
              <w:jc w:val="center"/>
              <w:rPr>
                <w:color w:val="auto"/>
                <w:szCs w:val="21"/>
              </w:rPr>
            </w:pPr>
            <w:r>
              <w:rPr>
                <w:color w:val="auto"/>
                <w:szCs w:val="21"/>
              </w:rPr>
              <w:t>合同条款号</w:t>
            </w:r>
          </w:p>
        </w:tc>
        <w:tc>
          <w:tcPr>
            <w:tcW w:w="1937" w:type="pct"/>
            <w:noWrap w:val="0"/>
            <w:vAlign w:val="center"/>
          </w:tcPr>
          <w:p>
            <w:pPr>
              <w:jc w:val="center"/>
              <w:rPr>
                <w:color w:val="auto"/>
                <w:szCs w:val="21"/>
              </w:rPr>
            </w:pPr>
            <w:r>
              <w:rPr>
                <w:rFonts w:hint="eastAsia"/>
                <w:color w:val="auto"/>
                <w:szCs w:val="21"/>
              </w:rPr>
              <w:t>约定</w:t>
            </w:r>
            <w:r>
              <w:rPr>
                <w:color w:val="auto"/>
                <w:szCs w:val="21"/>
              </w:rPr>
              <w:t>内容</w:t>
            </w:r>
          </w:p>
        </w:tc>
        <w:tc>
          <w:tcPr>
            <w:tcW w:w="419" w:type="pct"/>
            <w:noWrap w:val="0"/>
            <w:vAlign w:val="center"/>
          </w:tcPr>
          <w:p>
            <w:pPr>
              <w:jc w:val="center"/>
              <w:rPr>
                <w:color w:val="auto"/>
                <w:szCs w:val="21"/>
              </w:rPr>
            </w:pPr>
            <w:r>
              <w:rPr>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color w:val="auto"/>
                <w:szCs w:val="21"/>
              </w:rPr>
            </w:pPr>
            <w:r>
              <w:rPr>
                <w:color w:val="auto"/>
                <w:szCs w:val="21"/>
              </w:rPr>
              <w:t>1</w:t>
            </w:r>
          </w:p>
        </w:tc>
        <w:tc>
          <w:tcPr>
            <w:tcW w:w="1479" w:type="pct"/>
            <w:noWrap w:val="0"/>
            <w:vAlign w:val="center"/>
          </w:tcPr>
          <w:p>
            <w:pPr>
              <w:jc w:val="center"/>
              <w:rPr>
                <w:color w:val="auto"/>
                <w:szCs w:val="21"/>
              </w:rPr>
            </w:pPr>
            <w:r>
              <w:rPr>
                <w:color w:val="auto"/>
                <w:szCs w:val="21"/>
              </w:rPr>
              <w:t>项目经理</w:t>
            </w:r>
          </w:p>
        </w:tc>
        <w:tc>
          <w:tcPr>
            <w:tcW w:w="787" w:type="pct"/>
            <w:noWrap w:val="0"/>
            <w:vAlign w:val="center"/>
          </w:tcPr>
          <w:p>
            <w:pPr>
              <w:jc w:val="center"/>
              <w:rPr>
                <w:rFonts w:hint="eastAsia" w:ascii="宋体" w:hAnsi="宋体" w:cs="Arial"/>
                <w:color w:val="auto"/>
                <w:kern w:val="0"/>
                <w:szCs w:val="21"/>
              </w:rPr>
            </w:pPr>
            <w:r>
              <w:rPr>
                <w:rFonts w:ascii="宋体" w:hAnsi="宋体" w:cs="Arial"/>
                <w:color w:val="auto"/>
                <w:kern w:val="0"/>
                <w:szCs w:val="21"/>
              </w:rPr>
              <w:t>1.1.2.</w:t>
            </w:r>
            <w:r>
              <w:rPr>
                <w:rFonts w:hint="eastAsia" w:ascii="宋体" w:hAnsi="宋体" w:cs="Arial"/>
                <w:color w:val="auto"/>
                <w:kern w:val="0"/>
                <w:szCs w:val="21"/>
              </w:rPr>
              <w:t>4</w:t>
            </w:r>
          </w:p>
        </w:tc>
        <w:tc>
          <w:tcPr>
            <w:tcW w:w="1937" w:type="pct"/>
            <w:noWrap w:val="0"/>
            <w:vAlign w:val="center"/>
          </w:tcPr>
          <w:p>
            <w:pPr>
              <w:jc w:val="center"/>
              <w:rPr>
                <w:color w:val="auto"/>
                <w:szCs w:val="21"/>
                <w:u w:val="single"/>
              </w:rPr>
            </w:pPr>
            <w:r>
              <w:rPr>
                <w:rFonts w:hint="eastAsia" w:ascii="宋体" w:hAnsi="宋体"/>
                <w:color w:val="auto"/>
                <w:szCs w:val="21"/>
              </w:rPr>
              <w:t>见投标函</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color w:val="auto"/>
                <w:szCs w:val="21"/>
              </w:rPr>
            </w:pPr>
            <w:r>
              <w:rPr>
                <w:color w:val="auto"/>
                <w:szCs w:val="21"/>
              </w:rPr>
              <w:t>2</w:t>
            </w:r>
          </w:p>
        </w:tc>
        <w:tc>
          <w:tcPr>
            <w:tcW w:w="1479" w:type="pct"/>
            <w:noWrap w:val="0"/>
            <w:vAlign w:val="center"/>
          </w:tcPr>
          <w:p>
            <w:pPr>
              <w:jc w:val="center"/>
              <w:rPr>
                <w:color w:val="auto"/>
                <w:szCs w:val="21"/>
              </w:rPr>
            </w:pPr>
            <w:r>
              <w:rPr>
                <w:color w:val="auto"/>
                <w:szCs w:val="21"/>
              </w:rPr>
              <w:t>工期</w:t>
            </w:r>
          </w:p>
        </w:tc>
        <w:tc>
          <w:tcPr>
            <w:tcW w:w="787" w:type="pct"/>
            <w:noWrap w:val="0"/>
            <w:vAlign w:val="center"/>
          </w:tcPr>
          <w:p>
            <w:pPr>
              <w:jc w:val="center"/>
              <w:rPr>
                <w:rFonts w:hint="eastAsia" w:ascii="宋体" w:hAnsi="宋体" w:cs="Arial"/>
                <w:color w:val="auto"/>
                <w:kern w:val="0"/>
                <w:szCs w:val="21"/>
              </w:rPr>
            </w:pPr>
            <w:r>
              <w:rPr>
                <w:rFonts w:ascii="宋体" w:hAnsi="宋体" w:cs="Arial"/>
                <w:color w:val="auto"/>
                <w:kern w:val="0"/>
                <w:szCs w:val="21"/>
              </w:rPr>
              <w:t>1.1.4.</w:t>
            </w:r>
            <w:r>
              <w:rPr>
                <w:rFonts w:hint="eastAsia" w:ascii="宋体" w:hAnsi="宋体" w:cs="Arial"/>
                <w:color w:val="auto"/>
                <w:kern w:val="0"/>
                <w:szCs w:val="21"/>
              </w:rPr>
              <w:t>3</w:t>
            </w:r>
          </w:p>
        </w:tc>
        <w:tc>
          <w:tcPr>
            <w:tcW w:w="1937" w:type="pct"/>
            <w:noWrap w:val="0"/>
            <w:vAlign w:val="center"/>
          </w:tcPr>
          <w:p>
            <w:pPr>
              <w:jc w:val="center"/>
              <w:rPr>
                <w:color w:val="auto"/>
                <w:szCs w:val="21"/>
                <w:u w:val="single"/>
              </w:rPr>
            </w:pPr>
            <w:r>
              <w:rPr>
                <w:rFonts w:hint="eastAsia" w:ascii="宋体" w:hAnsi="宋体"/>
                <w:color w:val="auto"/>
                <w:szCs w:val="21"/>
              </w:rPr>
              <w:t>见投标函</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color w:val="auto"/>
                <w:szCs w:val="21"/>
              </w:rPr>
            </w:pPr>
            <w:r>
              <w:rPr>
                <w:color w:val="auto"/>
                <w:szCs w:val="21"/>
              </w:rPr>
              <w:t>3</w:t>
            </w:r>
          </w:p>
        </w:tc>
        <w:tc>
          <w:tcPr>
            <w:tcW w:w="1479" w:type="pct"/>
            <w:noWrap w:val="0"/>
            <w:vAlign w:val="center"/>
          </w:tcPr>
          <w:p>
            <w:pPr>
              <w:jc w:val="center"/>
              <w:rPr>
                <w:rFonts w:hint="eastAsia"/>
                <w:color w:val="auto"/>
                <w:szCs w:val="21"/>
              </w:rPr>
            </w:pPr>
            <w:r>
              <w:rPr>
                <w:color w:val="auto"/>
                <w:szCs w:val="21"/>
              </w:rPr>
              <w:t>缺陷责任期</w:t>
            </w:r>
          </w:p>
          <w:p>
            <w:pPr>
              <w:jc w:val="center"/>
              <w:rPr>
                <w:color w:val="auto"/>
                <w:szCs w:val="21"/>
              </w:rPr>
            </w:pPr>
            <w:r>
              <w:rPr>
                <w:rFonts w:hint="eastAsia"/>
                <w:color w:val="auto"/>
                <w:szCs w:val="21"/>
              </w:rPr>
              <w:t>（工程质量保修期）</w:t>
            </w:r>
          </w:p>
        </w:tc>
        <w:tc>
          <w:tcPr>
            <w:tcW w:w="787" w:type="pct"/>
            <w:noWrap w:val="0"/>
            <w:vAlign w:val="center"/>
          </w:tcPr>
          <w:p>
            <w:pPr>
              <w:jc w:val="center"/>
              <w:rPr>
                <w:rFonts w:ascii="宋体" w:hAnsi="宋体" w:cs="Arial"/>
                <w:color w:val="auto"/>
                <w:kern w:val="0"/>
                <w:szCs w:val="21"/>
              </w:rPr>
            </w:pPr>
            <w:r>
              <w:rPr>
                <w:rFonts w:ascii="宋体" w:hAnsi="宋体" w:cs="Arial"/>
                <w:color w:val="auto"/>
                <w:kern w:val="0"/>
                <w:szCs w:val="21"/>
              </w:rPr>
              <w:t>1.1.4.5</w:t>
            </w:r>
          </w:p>
        </w:tc>
        <w:tc>
          <w:tcPr>
            <w:tcW w:w="1937" w:type="pct"/>
            <w:noWrap w:val="0"/>
            <w:vAlign w:val="center"/>
          </w:tcPr>
          <w:p>
            <w:pPr>
              <w:jc w:val="center"/>
              <w:rPr>
                <w:color w:val="auto"/>
                <w:szCs w:val="21"/>
              </w:rPr>
            </w:pP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4</w:t>
            </w:r>
          </w:p>
        </w:tc>
        <w:tc>
          <w:tcPr>
            <w:tcW w:w="1479" w:type="pct"/>
            <w:noWrap w:val="0"/>
            <w:vAlign w:val="center"/>
          </w:tcPr>
          <w:p>
            <w:pPr>
              <w:jc w:val="center"/>
              <w:rPr>
                <w:color w:val="auto"/>
                <w:szCs w:val="21"/>
              </w:rPr>
            </w:pPr>
            <w:r>
              <w:rPr>
                <w:color w:val="auto"/>
                <w:szCs w:val="21"/>
              </w:rPr>
              <w:t>分包</w:t>
            </w:r>
          </w:p>
        </w:tc>
        <w:tc>
          <w:tcPr>
            <w:tcW w:w="787" w:type="pct"/>
            <w:noWrap w:val="0"/>
            <w:vAlign w:val="center"/>
          </w:tcPr>
          <w:p>
            <w:pPr>
              <w:jc w:val="center"/>
              <w:rPr>
                <w:rFonts w:hint="eastAsia" w:ascii="宋体" w:hAnsi="宋体" w:cs="Arial"/>
                <w:color w:val="auto"/>
                <w:kern w:val="0"/>
                <w:szCs w:val="21"/>
              </w:rPr>
            </w:pPr>
            <w:r>
              <w:rPr>
                <w:rFonts w:ascii="宋体" w:hAnsi="宋体" w:cs="Arial"/>
                <w:color w:val="auto"/>
                <w:kern w:val="0"/>
                <w:szCs w:val="21"/>
              </w:rPr>
              <w:t>4.3.</w:t>
            </w:r>
            <w:r>
              <w:rPr>
                <w:rFonts w:hint="eastAsia" w:ascii="宋体" w:hAnsi="宋体" w:cs="Arial"/>
                <w:color w:val="auto"/>
                <w:kern w:val="0"/>
                <w:szCs w:val="21"/>
              </w:rPr>
              <w:t>4</w:t>
            </w:r>
          </w:p>
        </w:tc>
        <w:tc>
          <w:tcPr>
            <w:tcW w:w="1937" w:type="pct"/>
            <w:noWrap w:val="0"/>
            <w:vAlign w:val="center"/>
          </w:tcPr>
          <w:p>
            <w:pPr>
              <w:jc w:val="center"/>
              <w:rPr>
                <w:color w:val="auto"/>
                <w:szCs w:val="21"/>
              </w:rPr>
            </w:pPr>
            <w:r>
              <w:rPr>
                <w:rFonts w:hint="eastAsia" w:ascii="宋体" w:hAnsi="宋体"/>
                <w:color w:val="auto"/>
                <w:szCs w:val="21"/>
              </w:rPr>
              <w:t>见</w:t>
            </w:r>
            <w:r>
              <w:rPr>
                <w:rFonts w:ascii="宋体" w:hAnsi="宋体"/>
                <w:color w:val="auto"/>
                <w:szCs w:val="21"/>
              </w:rPr>
              <w:t>拟</w:t>
            </w:r>
            <w:r>
              <w:rPr>
                <w:rFonts w:hint="eastAsia" w:ascii="宋体" w:hAnsi="宋体"/>
                <w:color w:val="auto"/>
                <w:szCs w:val="21"/>
              </w:rPr>
              <w:t>分包项目情况表</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5</w:t>
            </w:r>
          </w:p>
        </w:tc>
        <w:tc>
          <w:tcPr>
            <w:tcW w:w="1479" w:type="pct"/>
            <w:noWrap w:val="0"/>
            <w:vAlign w:val="center"/>
          </w:tcPr>
          <w:p>
            <w:pPr>
              <w:jc w:val="center"/>
              <w:rPr>
                <w:rFonts w:hint="eastAsia" w:ascii="宋体" w:hAnsi="宋体"/>
                <w:color w:val="auto"/>
                <w:szCs w:val="21"/>
              </w:rPr>
            </w:pPr>
            <w:r>
              <w:rPr>
                <w:rFonts w:hint="eastAsia" w:ascii="宋体" w:hAnsi="宋体"/>
                <w:color w:val="auto"/>
                <w:szCs w:val="21"/>
              </w:rPr>
              <w:t>逾期完工违约金</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11.5（1）</w:t>
            </w:r>
          </w:p>
        </w:tc>
        <w:tc>
          <w:tcPr>
            <w:tcW w:w="1937" w:type="pct"/>
            <w:noWrap w:val="0"/>
            <w:vAlign w:val="center"/>
          </w:tcPr>
          <w:p>
            <w:pPr>
              <w:jc w:val="center"/>
              <w:rPr>
                <w:rFonts w:hint="eastAsia" w:ascii="宋体" w:hAnsi="宋体"/>
                <w:color w:val="auto"/>
                <w:szCs w:val="21"/>
              </w:rPr>
            </w:pPr>
            <w:r>
              <w:rPr>
                <w:rFonts w:hint="eastAsia" w:ascii="宋体" w:hAnsi="宋体"/>
                <w:color w:val="auto"/>
                <w:szCs w:val="21"/>
              </w:rPr>
              <w:t>元/天</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6</w:t>
            </w:r>
          </w:p>
        </w:tc>
        <w:tc>
          <w:tcPr>
            <w:tcW w:w="1479" w:type="pct"/>
            <w:noWrap w:val="0"/>
            <w:vAlign w:val="center"/>
          </w:tcPr>
          <w:p>
            <w:pPr>
              <w:jc w:val="center"/>
              <w:rPr>
                <w:rFonts w:hint="eastAsia" w:ascii="宋体" w:hAnsi="宋体"/>
                <w:color w:val="auto"/>
                <w:szCs w:val="21"/>
              </w:rPr>
            </w:pPr>
            <w:r>
              <w:rPr>
                <w:rFonts w:hint="eastAsia" w:ascii="宋体" w:hAnsi="宋体"/>
                <w:color w:val="auto"/>
                <w:szCs w:val="21"/>
              </w:rPr>
              <w:t>逾期完工违约金总限额</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11.5（2）</w:t>
            </w:r>
          </w:p>
        </w:tc>
        <w:tc>
          <w:tcPr>
            <w:tcW w:w="1937" w:type="pct"/>
            <w:noWrap w:val="0"/>
            <w:vAlign w:val="center"/>
          </w:tcPr>
          <w:p>
            <w:pPr>
              <w:jc w:val="center"/>
              <w:rPr>
                <w:rFonts w:hint="eastAsia" w:ascii="宋体" w:hAnsi="宋体"/>
                <w:color w:val="auto"/>
                <w:szCs w:val="21"/>
              </w:rPr>
            </w:pP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7</w:t>
            </w:r>
          </w:p>
        </w:tc>
        <w:tc>
          <w:tcPr>
            <w:tcW w:w="1479" w:type="pct"/>
            <w:noWrap w:val="0"/>
            <w:vAlign w:val="center"/>
          </w:tcPr>
          <w:p>
            <w:pPr>
              <w:jc w:val="center"/>
              <w:rPr>
                <w:rFonts w:hint="eastAsia"/>
                <w:color w:val="auto"/>
                <w:szCs w:val="21"/>
              </w:rPr>
            </w:pPr>
            <w:r>
              <w:rPr>
                <w:rFonts w:hint="eastAsia"/>
                <w:color w:val="auto"/>
                <w:szCs w:val="21"/>
              </w:rPr>
              <w:t>价格调整的差额计算</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16.1.1</w:t>
            </w:r>
          </w:p>
        </w:tc>
        <w:tc>
          <w:tcPr>
            <w:tcW w:w="1937" w:type="pct"/>
            <w:noWrap w:val="0"/>
            <w:vAlign w:val="center"/>
          </w:tcPr>
          <w:p>
            <w:pPr>
              <w:jc w:val="center"/>
              <w:rPr>
                <w:color w:val="auto"/>
                <w:szCs w:val="21"/>
              </w:rPr>
            </w:pPr>
            <w:r>
              <w:rPr>
                <w:rFonts w:hint="eastAsia"/>
                <w:color w:val="auto"/>
                <w:szCs w:val="21"/>
              </w:rPr>
              <w:t>见价格指数权重表</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8</w:t>
            </w:r>
          </w:p>
        </w:tc>
        <w:tc>
          <w:tcPr>
            <w:tcW w:w="1479" w:type="pct"/>
            <w:noWrap w:val="0"/>
            <w:vAlign w:val="center"/>
          </w:tcPr>
          <w:p>
            <w:pPr>
              <w:jc w:val="center"/>
              <w:rPr>
                <w:rFonts w:hint="eastAsia"/>
                <w:color w:val="auto"/>
                <w:szCs w:val="21"/>
              </w:rPr>
            </w:pPr>
            <w:r>
              <w:rPr>
                <w:rFonts w:hint="eastAsia"/>
                <w:color w:val="auto"/>
              </w:rPr>
              <w:t>价格调整的项目和系数</w:t>
            </w:r>
          </w:p>
        </w:tc>
        <w:tc>
          <w:tcPr>
            <w:tcW w:w="787" w:type="pct"/>
            <w:noWrap w:val="0"/>
            <w:vAlign w:val="center"/>
          </w:tcPr>
          <w:p>
            <w:pPr>
              <w:jc w:val="center"/>
              <w:rPr>
                <w:rFonts w:hint="eastAsia" w:ascii="宋体" w:hAnsi="宋体" w:cs="Arial"/>
                <w:color w:val="auto"/>
                <w:kern w:val="0"/>
                <w:szCs w:val="21"/>
              </w:rPr>
            </w:pPr>
            <w:r>
              <w:rPr>
                <w:rFonts w:hint="eastAsia" w:ascii="宋体" w:hAnsi="宋体" w:cs="Arial"/>
                <w:color w:val="auto"/>
                <w:kern w:val="0"/>
                <w:szCs w:val="21"/>
              </w:rPr>
              <w:t>16.1.2</w:t>
            </w:r>
          </w:p>
        </w:tc>
        <w:tc>
          <w:tcPr>
            <w:tcW w:w="1937" w:type="pct"/>
            <w:noWrap w:val="0"/>
            <w:vAlign w:val="center"/>
          </w:tcPr>
          <w:p>
            <w:pPr>
              <w:jc w:val="center"/>
              <w:rPr>
                <w:rFonts w:hint="eastAsia"/>
                <w:color w:val="auto"/>
                <w:szCs w:val="21"/>
              </w:rPr>
            </w:pPr>
            <w:r>
              <w:rPr>
                <w:rFonts w:hint="eastAsia" w:ascii="宋体" w:hAnsi="宋体" w:cs="Arial"/>
                <w:color w:val="auto"/>
                <w:kern w:val="0"/>
                <w:szCs w:val="21"/>
              </w:rPr>
              <w:t>遵守专用合同条款第16.1</w:t>
            </w:r>
            <w:r>
              <w:rPr>
                <w:rFonts w:hint="eastAsia" w:ascii="宋体" w:hAnsi="宋体"/>
                <w:color w:val="auto"/>
                <w:szCs w:val="21"/>
              </w:rPr>
              <w:t>.2</w:t>
            </w:r>
            <w:r>
              <w:rPr>
                <w:rFonts w:hint="eastAsia" w:ascii="宋体" w:hAnsi="宋体" w:cs="Arial"/>
                <w:color w:val="auto"/>
                <w:kern w:val="0"/>
                <w:szCs w:val="21"/>
              </w:rPr>
              <w:t>款规定</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9</w:t>
            </w:r>
          </w:p>
        </w:tc>
        <w:tc>
          <w:tcPr>
            <w:tcW w:w="1479" w:type="pct"/>
            <w:noWrap w:val="0"/>
            <w:vAlign w:val="center"/>
          </w:tcPr>
          <w:p>
            <w:pPr>
              <w:jc w:val="center"/>
              <w:rPr>
                <w:rFonts w:hint="eastAsia" w:ascii="宋体" w:hAnsi="宋体"/>
                <w:color w:val="auto"/>
                <w:szCs w:val="21"/>
              </w:rPr>
            </w:pPr>
            <w:r>
              <w:rPr>
                <w:rFonts w:ascii="宋体"/>
                <w:color w:val="auto"/>
                <w:szCs w:val="21"/>
              </w:rPr>
              <w:t>工程预付款</w:t>
            </w:r>
            <w:r>
              <w:rPr>
                <w:rFonts w:hint="eastAsia" w:ascii="宋体" w:hAnsi="宋体"/>
                <w:color w:val="auto"/>
                <w:szCs w:val="21"/>
              </w:rPr>
              <w:t>额度</w:t>
            </w:r>
          </w:p>
          <w:p>
            <w:pPr>
              <w:jc w:val="center"/>
              <w:rPr>
                <w:rFonts w:hint="eastAsia" w:ascii="宋体" w:hAnsi="宋体"/>
                <w:color w:val="auto"/>
                <w:szCs w:val="21"/>
              </w:rPr>
            </w:pPr>
            <w:r>
              <w:rPr>
                <w:rFonts w:hint="eastAsia" w:ascii="宋体" w:hAnsi="宋体"/>
                <w:color w:val="auto"/>
                <w:szCs w:val="21"/>
              </w:rPr>
              <w:t>与支付次数</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17.2.1（1）</w:t>
            </w:r>
          </w:p>
        </w:tc>
        <w:tc>
          <w:tcPr>
            <w:tcW w:w="1937" w:type="pct"/>
            <w:noWrap w:val="0"/>
            <w:vAlign w:val="center"/>
          </w:tcPr>
          <w:p>
            <w:pPr>
              <w:jc w:val="center"/>
              <w:rPr>
                <w:rFonts w:hint="eastAsia" w:ascii="宋体" w:hAnsi="宋体"/>
                <w:color w:val="auto"/>
                <w:szCs w:val="21"/>
                <w:u w:val="single"/>
              </w:rPr>
            </w:pP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10</w:t>
            </w:r>
          </w:p>
        </w:tc>
        <w:tc>
          <w:tcPr>
            <w:tcW w:w="1479" w:type="pct"/>
            <w:noWrap w:val="0"/>
            <w:vAlign w:val="center"/>
          </w:tcPr>
          <w:p>
            <w:pPr>
              <w:jc w:val="center"/>
              <w:rPr>
                <w:rFonts w:hint="eastAsia" w:ascii="宋体" w:hAnsi="宋体"/>
                <w:color w:val="auto"/>
                <w:szCs w:val="21"/>
              </w:rPr>
            </w:pPr>
            <w:r>
              <w:rPr>
                <w:rFonts w:hint="eastAsia" w:ascii="宋体" w:hAnsi="宋体"/>
                <w:color w:val="auto"/>
                <w:szCs w:val="21"/>
              </w:rPr>
              <w:t>质量保证金扣留百分比</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17.4.1</w:t>
            </w:r>
          </w:p>
        </w:tc>
        <w:tc>
          <w:tcPr>
            <w:tcW w:w="1937" w:type="pct"/>
            <w:noWrap w:val="0"/>
            <w:vAlign w:val="center"/>
          </w:tcPr>
          <w:p>
            <w:pPr>
              <w:jc w:val="center"/>
              <w:rPr>
                <w:rFonts w:hint="eastAsia" w:ascii="宋体" w:hAnsi="宋体"/>
                <w:color w:val="auto"/>
                <w:szCs w:val="21"/>
                <w:u w:val="single"/>
              </w:rPr>
            </w:pP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rFonts w:hint="eastAsia"/>
                <w:color w:val="auto"/>
                <w:szCs w:val="21"/>
              </w:rPr>
            </w:pPr>
            <w:r>
              <w:rPr>
                <w:rFonts w:hint="eastAsia"/>
                <w:color w:val="auto"/>
                <w:szCs w:val="21"/>
              </w:rPr>
              <w:t>11</w:t>
            </w:r>
          </w:p>
        </w:tc>
        <w:tc>
          <w:tcPr>
            <w:tcW w:w="1479" w:type="pct"/>
            <w:noWrap w:val="0"/>
            <w:vAlign w:val="center"/>
          </w:tcPr>
          <w:p>
            <w:pPr>
              <w:jc w:val="center"/>
              <w:rPr>
                <w:rFonts w:hint="eastAsia" w:ascii="宋体" w:hAnsi="宋体"/>
                <w:color w:val="auto"/>
                <w:szCs w:val="21"/>
              </w:rPr>
            </w:pPr>
            <w:r>
              <w:rPr>
                <w:rFonts w:hint="eastAsia" w:ascii="宋体" w:hAnsi="宋体"/>
                <w:color w:val="auto"/>
                <w:szCs w:val="21"/>
              </w:rPr>
              <w:t>质量保证金总额</w:t>
            </w:r>
          </w:p>
        </w:tc>
        <w:tc>
          <w:tcPr>
            <w:tcW w:w="787" w:type="pct"/>
            <w:noWrap w:val="0"/>
            <w:vAlign w:val="center"/>
          </w:tcPr>
          <w:p>
            <w:pPr>
              <w:jc w:val="center"/>
              <w:rPr>
                <w:rFonts w:hint="eastAsia" w:ascii="宋体" w:hAnsi="宋体"/>
                <w:color w:val="auto"/>
                <w:szCs w:val="21"/>
              </w:rPr>
            </w:pPr>
            <w:r>
              <w:rPr>
                <w:rFonts w:hint="eastAsia" w:ascii="宋体" w:hAnsi="宋体"/>
                <w:color w:val="auto"/>
                <w:szCs w:val="21"/>
              </w:rPr>
              <w:t>17.4.1</w:t>
            </w:r>
          </w:p>
        </w:tc>
        <w:tc>
          <w:tcPr>
            <w:tcW w:w="1937" w:type="pct"/>
            <w:noWrap w:val="0"/>
            <w:vAlign w:val="center"/>
          </w:tcPr>
          <w:p>
            <w:pPr>
              <w:jc w:val="center"/>
              <w:rPr>
                <w:rFonts w:hint="eastAsia" w:ascii="宋体" w:hAnsi="宋体"/>
                <w:color w:val="auto"/>
                <w:szCs w:val="21"/>
                <w:u w:val="single"/>
              </w:rPr>
            </w:pP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autoSpaceDE w:val="0"/>
              <w:autoSpaceDN w:val="0"/>
              <w:adjustRightInd w:val="0"/>
              <w:spacing w:before="72" w:beforeLines="30"/>
              <w:jc w:val="center"/>
              <w:rPr>
                <w:rFonts w:hint="eastAsia" w:ascii="宋体" w:hAnsi="宋体" w:cs="Arial"/>
                <w:color w:val="auto"/>
                <w:kern w:val="0"/>
                <w:szCs w:val="21"/>
              </w:rPr>
            </w:pPr>
            <w:r>
              <w:rPr>
                <w:rFonts w:hint="eastAsia" w:ascii="宋体" w:hAnsi="宋体" w:cs="Arial"/>
                <w:color w:val="auto"/>
                <w:kern w:val="0"/>
                <w:szCs w:val="21"/>
              </w:rPr>
              <w:t>12</w:t>
            </w:r>
          </w:p>
        </w:tc>
        <w:tc>
          <w:tcPr>
            <w:tcW w:w="1479" w:type="pct"/>
            <w:noWrap w:val="0"/>
            <w:vAlign w:val="center"/>
          </w:tcPr>
          <w:p>
            <w:pPr>
              <w:autoSpaceDE w:val="0"/>
              <w:autoSpaceDN w:val="0"/>
              <w:adjustRightInd w:val="0"/>
              <w:spacing w:before="72" w:beforeLines="30"/>
              <w:jc w:val="center"/>
              <w:rPr>
                <w:rFonts w:hint="eastAsia" w:ascii="宋体" w:hAnsi="宋体" w:cs="Arial"/>
                <w:color w:val="auto"/>
                <w:kern w:val="0"/>
                <w:szCs w:val="21"/>
              </w:rPr>
            </w:pPr>
            <w:r>
              <w:rPr>
                <w:rFonts w:hint="eastAsia" w:ascii="宋体" w:hAnsi="宋体" w:cs="Arial"/>
                <w:color w:val="auto"/>
                <w:kern w:val="0"/>
                <w:szCs w:val="21"/>
              </w:rPr>
              <w:t>技术标准和要求</w:t>
            </w:r>
          </w:p>
        </w:tc>
        <w:tc>
          <w:tcPr>
            <w:tcW w:w="787" w:type="pct"/>
            <w:noWrap w:val="0"/>
            <w:vAlign w:val="center"/>
          </w:tcPr>
          <w:p>
            <w:pPr>
              <w:autoSpaceDE w:val="0"/>
              <w:autoSpaceDN w:val="0"/>
              <w:adjustRightInd w:val="0"/>
              <w:spacing w:before="72" w:beforeLines="30"/>
              <w:jc w:val="center"/>
              <w:rPr>
                <w:rFonts w:hint="eastAsia" w:ascii="宋体" w:hAnsi="宋体" w:cs="Arial"/>
                <w:bCs/>
                <w:color w:val="auto"/>
                <w:kern w:val="0"/>
                <w:szCs w:val="21"/>
              </w:rPr>
            </w:pPr>
          </w:p>
        </w:tc>
        <w:tc>
          <w:tcPr>
            <w:tcW w:w="1937" w:type="pct"/>
            <w:noWrap w:val="0"/>
            <w:vAlign w:val="center"/>
          </w:tcPr>
          <w:p>
            <w:pPr>
              <w:autoSpaceDE w:val="0"/>
              <w:autoSpaceDN w:val="0"/>
              <w:adjustRightInd w:val="0"/>
              <w:spacing w:before="72" w:beforeLines="30"/>
              <w:jc w:val="center"/>
              <w:rPr>
                <w:rFonts w:ascii="宋体" w:hAnsi="宋体" w:cs="Arial"/>
                <w:color w:val="auto"/>
                <w:kern w:val="0"/>
                <w:szCs w:val="21"/>
              </w:rPr>
            </w:pPr>
            <w:r>
              <w:rPr>
                <w:rFonts w:hint="eastAsia" w:ascii="宋体" w:hAnsi="宋体"/>
                <w:color w:val="auto"/>
                <w:szCs w:val="21"/>
              </w:rPr>
              <w:t>符合第七章“技术标准和要求”规定</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9" w:type="pct"/>
            <w:noWrap w:val="0"/>
            <w:vAlign w:val="center"/>
          </w:tcPr>
          <w:p>
            <w:pPr>
              <w:jc w:val="center"/>
              <w:rPr>
                <w:color w:val="auto"/>
                <w:szCs w:val="21"/>
              </w:rPr>
            </w:pPr>
            <w:r>
              <w:rPr>
                <w:color w:val="auto"/>
                <w:szCs w:val="21"/>
              </w:rPr>
              <w:t>……</w:t>
            </w:r>
          </w:p>
        </w:tc>
        <w:tc>
          <w:tcPr>
            <w:tcW w:w="1479" w:type="pct"/>
            <w:noWrap w:val="0"/>
            <w:vAlign w:val="center"/>
          </w:tcPr>
          <w:p>
            <w:pPr>
              <w:jc w:val="center"/>
              <w:rPr>
                <w:color w:val="auto"/>
                <w:szCs w:val="21"/>
              </w:rPr>
            </w:pPr>
            <w:r>
              <w:rPr>
                <w:color w:val="auto"/>
                <w:szCs w:val="21"/>
              </w:rPr>
              <w:t>……</w:t>
            </w:r>
          </w:p>
        </w:tc>
        <w:tc>
          <w:tcPr>
            <w:tcW w:w="787" w:type="pct"/>
            <w:noWrap w:val="0"/>
            <w:vAlign w:val="center"/>
          </w:tcPr>
          <w:p>
            <w:pPr>
              <w:jc w:val="center"/>
              <w:rPr>
                <w:color w:val="auto"/>
                <w:szCs w:val="21"/>
              </w:rPr>
            </w:pPr>
            <w:r>
              <w:rPr>
                <w:color w:val="auto"/>
                <w:szCs w:val="21"/>
              </w:rPr>
              <w:t>……</w:t>
            </w:r>
          </w:p>
        </w:tc>
        <w:tc>
          <w:tcPr>
            <w:tcW w:w="1937" w:type="pct"/>
            <w:noWrap w:val="0"/>
            <w:vAlign w:val="center"/>
          </w:tcPr>
          <w:p>
            <w:pPr>
              <w:jc w:val="center"/>
              <w:rPr>
                <w:color w:val="auto"/>
                <w:szCs w:val="21"/>
              </w:rPr>
            </w:pPr>
            <w:r>
              <w:rPr>
                <w:color w:val="auto"/>
                <w:szCs w:val="21"/>
              </w:rPr>
              <w:t>……</w:t>
            </w:r>
          </w:p>
        </w:tc>
        <w:tc>
          <w:tcPr>
            <w:tcW w:w="41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5000" w:type="pct"/>
            <w:gridSpan w:val="5"/>
            <w:noWrap w:val="0"/>
            <w:vAlign w:val="center"/>
          </w:tcPr>
          <w:p>
            <w:pPr>
              <w:rPr>
                <w:color w:val="auto"/>
                <w:szCs w:val="21"/>
              </w:rPr>
            </w:pPr>
            <w:r>
              <w:rPr>
                <w:rFonts w:hint="eastAsia" w:ascii="黑体" w:hAnsi="宋体" w:eastAsia="黑体"/>
                <w:color w:val="auto"/>
                <w:szCs w:val="21"/>
              </w:rPr>
              <w:t>备注：</w:t>
            </w:r>
            <w:r>
              <w:rPr>
                <w:rFonts w:hint="eastAsia" w:ascii="宋体" w:hAnsi="宋体"/>
                <w:color w:val="auto"/>
                <w:szCs w:val="21"/>
              </w:rPr>
              <w:t>投标人在响应招标文件中规定的实质性要求和条件的基础上，可做出其他有利于招标人的承诺。此类承诺可在本表中予以补充填写。</w:t>
            </w:r>
          </w:p>
        </w:tc>
      </w:tr>
    </w:tbl>
    <w:p>
      <w:pPr>
        <w:spacing w:line="440" w:lineRule="exact"/>
        <w:ind w:left="840" w:leftChars="400" w:firstLine="2200" w:firstLineChars="1100"/>
        <w:rPr>
          <w:rFonts w:hint="eastAsia" w:eastAsia="黑体"/>
          <w:color w:val="auto"/>
          <w:sz w:val="20"/>
          <w:szCs w:val="20"/>
        </w:rPr>
      </w:pPr>
    </w:p>
    <w:p>
      <w:pPr>
        <w:spacing w:line="440" w:lineRule="exact"/>
        <w:ind w:left="840" w:leftChars="400" w:firstLine="2200" w:firstLineChars="1100"/>
        <w:rPr>
          <w:rFonts w:hint="eastAsia" w:eastAsia="黑体"/>
          <w:color w:val="auto"/>
          <w:sz w:val="20"/>
          <w:szCs w:val="20"/>
        </w:rPr>
      </w:pPr>
    </w:p>
    <w:p>
      <w:pPr>
        <w:spacing w:line="440" w:lineRule="exact"/>
        <w:jc w:val="center"/>
        <w:rPr>
          <w:rFonts w:hint="eastAsia" w:eastAsia="黑体"/>
          <w:color w:val="auto"/>
          <w:sz w:val="24"/>
        </w:rPr>
      </w:pPr>
      <w:r>
        <w:rPr>
          <w:rFonts w:eastAsia="黑体"/>
          <w:color w:val="auto"/>
          <w:sz w:val="20"/>
          <w:szCs w:val="20"/>
        </w:rPr>
        <w:br w:type="page"/>
      </w:r>
      <w:r>
        <w:rPr>
          <w:rFonts w:hint="eastAsia" w:eastAsia="黑体"/>
          <w:color w:val="auto"/>
          <w:sz w:val="24"/>
        </w:rPr>
        <w:t>价格指数权重表</w:t>
      </w:r>
    </w:p>
    <w:p>
      <w:pPr>
        <w:spacing w:line="440" w:lineRule="exact"/>
        <w:rPr>
          <w:rFonts w:hint="eastAsia" w:eastAsia="黑体"/>
          <w:color w:val="auto"/>
          <w:sz w:val="20"/>
          <w:szCs w:val="20"/>
        </w:rPr>
      </w:pPr>
      <w:r>
        <w:rPr>
          <w:rFonts w:hint="eastAsia" w:eastAsia="黑体"/>
          <w:color w:val="auto"/>
          <w:sz w:val="20"/>
          <w:szCs w:val="20"/>
        </w:rPr>
        <w:t>基本价格指数的基准日：</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4"/>
        <w:gridCol w:w="986"/>
        <w:gridCol w:w="784"/>
        <w:gridCol w:w="1176"/>
        <w:gridCol w:w="784"/>
        <w:gridCol w:w="1380"/>
        <w:gridCol w:w="1761"/>
        <w:gridCol w:w="1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dxa"/>
            <w:gridSpan w:val="2"/>
            <w:vMerge w:val="restart"/>
            <w:tcBorders>
              <w:bottom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名    称</w:t>
            </w:r>
          </w:p>
        </w:tc>
        <w:tc>
          <w:tcPr>
            <w:tcW w:w="1960" w:type="dxa"/>
            <w:gridSpan w:val="2"/>
            <w:noWrap w:val="0"/>
            <w:vAlign w:val="center"/>
          </w:tcPr>
          <w:p>
            <w:pPr>
              <w:jc w:val="center"/>
              <w:rPr>
                <w:rFonts w:hint="eastAsia" w:ascii="宋体" w:hAnsi="宋体"/>
                <w:color w:val="auto"/>
                <w:szCs w:val="21"/>
              </w:rPr>
            </w:pPr>
            <w:r>
              <w:rPr>
                <w:rFonts w:hint="eastAsia" w:ascii="宋体" w:hAnsi="宋体"/>
                <w:color w:val="auto"/>
                <w:szCs w:val="21"/>
              </w:rPr>
              <w:t>基本价格指数</w:t>
            </w:r>
          </w:p>
        </w:tc>
        <w:tc>
          <w:tcPr>
            <w:tcW w:w="3925" w:type="dxa"/>
            <w:gridSpan w:val="3"/>
            <w:tcBorders>
              <w:bottom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权             重</w:t>
            </w:r>
          </w:p>
        </w:tc>
        <w:tc>
          <w:tcPr>
            <w:tcW w:w="1961" w:type="dxa"/>
            <w:vMerge w:val="restart"/>
            <w:noWrap w:val="0"/>
            <w:vAlign w:val="center"/>
          </w:tcPr>
          <w:p>
            <w:pPr>
              <w:jc w:val="center"/>
              <w:rPr>
                <w:rFonts w:hint="eastAsia" w:ascii="宋体" w:hAnsi="宋体"/>
                <w:color w:val="auto"/>
                <w:szCs w:val="21"/>
              </w:rPr>
            </w:pPr>
            <w:r>
              <w:rPr>
                <w:rFonts w:hint="eastAsia" w:ascii="宋体" w:hAnsi="宋体"/>
                <w:color w:val="auto"/>
                <w:szCs w:val="21"/>
              </w:rPr>
              <w:t>价格指数来源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dxa"/>
            <w:gridSpan w:val="2"/>
            <w:vMerge w:val="continue"/>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r>
              <w:rPr>
                <w:rFonts w:hint="eastAsia" w:ascii="宋体" w:hAnsi="宋体"/>
                <w:color w:val="auto"/>
                <w:szCs w:val="21"/>
              </w:rPr>
              <w:t>代号</w:t>
            </w:r>
          </w:p>
        </w:tc>
        <w:tc>
          <w:tcPr>
            <w:tcW w:w="1176" w:type="dxa"/>
            <w:noWrap w:val="0"/>
            <w:vAlign w:val="center"/>
          </w:tcPr>
          <w:p>
            <w:pPr>
              <w:jc w:val="center"/>
              <w:rPr>
                <w:rFonts w:hint="eastAsia" w:ascii="宋体" w:hAnsi="宋体"/>
                <w:color w:val="auto"/>
                <w:szCs w:val="21"/>
              </w:rPr>
            </w:pPr>
            <w:r>
              <w:rPr>
                <w:rFonts w:hint="eastAsia" w:ascii="宋体" w:hAnsi="宋体"/>
                <w:color w:val="auto"/>
                <w:szCs w:val="21"/>
              </w:rPr>
              <w:t>指数值</w:t>
            </w:r>
          </w:p>
        </w:tc>
        <w:tc>
          <w:tcPr>
            <w:tcW w:w="784" w:type="dxa"/>
            <w:noWrap w:val="0"/>
            <w:vAlign w:val="center"/>
          </w:tcPr>
          <w:p>
            <w:pPr>
              <w:jc w:val="center"/>
              <w:rPr>
                <w:rFonts w:hint="eastAsia" w:ascii="宋体" w:hAnsi="宋体"/>
                <w:color w:val="auto"/>
                <w:szCs w:val="21"/>
              </w:rPr>
            </w:pPr>
            <w:r>
              <w:rPr>
                <w:rFonts w:hint="eastAsia" w:ascii="宋体" w:hAnsi="宋体"/>
                <w:color w:val="auto"/>
                <w:szCs w:val="21"/>
              </w:rPr>
              <w:t>代号</w:t>
            </w:r>
          </w:p>
        </w:tc>
        <w:tc>
          <w:tcPr>
            <w:tcW w:w="1380" w:type="dxa"/>
            <w:noWrap w:val="0"/>
            <w:vAlign w:val="center"/>
          </w:tcPr>
          <w:p>
            <w:pPr>
              <w:jc w:val="center"/>
              <w:rPr>
                <w:rFonts w:hint="eastAsia" w:ascii="宋体" w:hAnsi="宋体"/>
                <w:color w:val="auto"/>
                <w:szCs w:val="21"/>
              </w:rPr>
            </w:pPr>
            <w:r>
              <w:rPr>
                <w:rFonts w:hint="eastAsia" w:ascii="宋体" w:hAnsi="宋体"/>
                <w:color w:val="auto"/>
                <w:szCs w:val="21"/>
              </w:rPr>
              <w:t>允许范围</w:t>
            </w:r>
          </w:p>
        </w:tc>
        <w:tc>
          <w:tcPr>
            <w:tcW w:w="1761" w:type="dxa"/>
            <w:noWrap w:val="0"/>
            <w:vAlign w:val="center"/>
          </w:tcPr>
          <w:p>
            <w:pPr>
              <w:jc w:val="center"/>
              <w:rPr>
                <w:rFonts w:hint="eastAsia" w:ascii="宋体" w:hAnsi="宋体"/>
                <w:color w:val="auto"/>
                <w:szCs w:val="21"/>
              </w:rPr>
            </w:pPr>
            <w:r>
              <w:rPr>
                <w:rFonts w:hint="eastAsia" w:ascii="宋体" w:hAnsi="宋体"/>
                <w:color w:val="auto"/>
                <w:szCs w:val="21"/>
              </w:rPr>
              <w:t>投标人建议值</w:t>
            </w:r>
          </w:p>
        </w:tc>
        <w:tc>
          <w:tcPr>
            <w:tcW w:w="1961" w:type="dxa"/>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90" w:type="dxa"/>
            <w:gridSpan w:val="2"/>
            <w:noWrap w:val="0"/>
            <w:vAlign w:val="center"/>
          </w:tcPr>
          <w:p>
            <w:pPr>
              <w:ind w:firstLine="210" w:firstLineChars="100"/>
              <w:jc w:val="center"/>
              <w:rPr>
                <w:rFonts w:hint="eastAsia" w:ascii="宋体" w:hAnsi="宋体"/>
                <w:color w:val="auto"/>
                <w:szCs w:val="21"/>
              </w:rPr>
            </w:pPr>
            <w:r>
              <w:rPr>
                <w:rFonts w:hint="eastAsia" w:ascii="宋体" w:hAnsi="宋体"/>
                <w:color w:val="auto"/>
                <w:szCs w:val="21"/>
              </w:rPr>
              <w:t>定值部分</w:t>
            </w:r>
          </w:p>
        </w:tc>
        <w:tc>
          <w:tcPr>
            <w:tcW w:w="784" w:type="dxa"/>
            <w:noWrap w:val="0"/>
            <w:vAlign w:val="center"/>
          </w:tcPr>
          <w:p>
            <w:pPr>
              <w:jc w:val="center"/>
              <w:rPr>
                <w:rFonts w:hint="eastAsia" w:ascii="宋体" w:hAnsi="宋体"/>
                <w:color w:val="auto"/>
                <w:szCs w:val="21"/>
              </w:rPr>
            </w:pPr>
          </w:p>
        </w:tc>
        <w:tc>
          <w:tcPr>
            <w:tcW w:w="1176" w:type="dxa"/>
            <w:noWrap w:val="0"/>
            <w:vAlign w:val="center"/>
          </w:tcPr>
          <w:p>
            <w:pPr>
              <w:jc w:val="center"/>
              <w:rPr>
                <w:rFonts w:hint="eastAsia" w:ascii="宋体" w:hAnsi="宋体"/>
                <w:color w:val="auto"/>
                <w:szCs w:val="21"/>
              </w:rPr>
            </w:pPr>
          </w:p>
        </w:tc>
        <w:tc>
          <w:tcPr>
            <w:tcW w:w="784" w:type="dxa"/>
            <w:noWrap w:val="0"/>
            <w:vAlign w:val="center"/>
          </w:tcPr>
          <w:p>
            <w:pPr>
              <w:ind w:firstLine="105" w:firstLineChars="50"/>
              <w:jc w:val="center"/>
              <w:rPr>
                <w:rFonts w:hint="eastAsia" w:ascii="宋体" w:hAnsi="宋体"/>
                <w:color w:val="auto"/>
                <w:szCs w:val="21"/>
              </w:rPr>
            </w:pPr>
            <w:r>
              <w:rPr>
                <w:rFonts w:hint="eastAsia" w:ascii="宋体" w:hAnsi="宋体"/>
                <w:color w:val="auto"/>
                <w:szCs w:val="21"/>
              </w:rPr>
              <w:t>A</w:t>
            </w:r>
          </w:p>
        </w:tc>
        <w:tc>
          <w:tcPr>
            <w:tcW w:w="1380" w:type="dxa"/>
            <w:noWrap w:val="0"/>
            <w:vAlign w:val="center"/>
          </w:tcPr>
          <w:p>
            <w:pPr>
              <w:ind w:firstLine="315" w:firstLineChars="150"/>
              <w:jc w:val="center"/>
              <w:rPr>
                <w:rFonts w:hint="eastAsia" w:ascii="宋体" w:hAnsi="宋体"/>
                <w:color w:val="auto"/>
                <w:szCs w:val="21"/>
              </w:rPr>
            </w:pPr>
          </w:p>
        </w:tc>
        <w:tc>
          <w:tcPr>
            <w:tcW w:w="1761" w:type="dxa"/>
            <w:noWrap w:val="0"/>
            <w:vAlign w:val="center"/>
          </w:tcPr>
          <w:p>
            <w:pPr>
              <w:jc w:val="center"/>
              <w:rPr>
                <w:rFonts w:hint="eastAsia" w:ascii="宋体" w:hAnsi="宋体"/>
                <w:color w:val="auto"/>
                <w:szCs w:val="21"/>
              </w:rPr>
            </w:pP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restart"/>
            <w:noWrap w:val="0"/>
            <w:vAlign w:val="center"/>
          </w:tcPr>
          <w:p>
            <w:pPr>
              <w:jc w:val="center"/>
              <w:rPr>
                <w:rFonts w:ascii="宋体" w:hAnsi="宋体"/>
                <w:color w:val="auto"/>
                <w:szCs w:val="21"/>
              </w:rPr>
            </w:pPr>
            <w:r>
              <w:rPr>
                <w:rFonts w:hint="eastAsia" w:ascii="宋体" w:hAnsi="宋体"/>
                <w:color w:val="auto"/>
                <w:szCs w:val="21"/>
              </w:rPr>
              <w:t>变</w:t>
            </w:r>
          </w:p>
          <w:p>
            <w:pPr>
              <w:jc w:val="center"/>
              <w:rPr>
                <w:rFonts w:ascii="宋体" w:hAnsi="宋体"/>
                <w:color w:val="auto"/>
                <w:szCs w:val="21"/>
              </w:rPr>
            </w:pPr>
            <w:r>
              <w:rPr>
                <w:rFonts w:hint="eastAsia" w:ascii="宋体" w:hAnsi="宋体"/>
                <w:color w:val="auto"/>
                <w:szCs w:val="21"/>
              </w:rPr>
              <w:t>值</w:t>
            </w:r>
          </w:p>
          <w:p>
            <w:pPr>
              <w:jc w:val="center"/>
              <w:rPr>
                <w:rFonts w:ascii="宋体" w:hAnsi="宋体"/>
                <w:color w:val="auto"/>
                <w:szCs w:val="21"/>
              </w:rPr>
            </w:pPr>
            <w:r>
              <w:rPr>
                <w:rFonts w:hint="eastAsia" w:ascii="宋体" w:hAnsi="宋体"/>
                <w:color w:val="auto"/>
                <w:szCs w:val="21"/>
              </w:rPr>
              <w:t>部</w:t>
            </w:r>
          </w:p>
          <w:p>
            <w:pPr>
              <w:jc w:val="center"/>
              <w:rPr>
                <w:rFonts w:hint="eastAsia" w:ascii="宋体" w:hAnsi="宋体"/>
                <w:color w:val="auto"/>
                <w:szCs w:val="21"/>
              </w:rPr>
            </w:pPr>
            <w:r>
              <w:rPr>
                <w:rFonts w:hint="eastAsia" w:ascii="宋体" w:hAnsi="宋体"/>
                <w:color w:val="auto"/>
                <w:szCs w:val="21"/>
              </w:rPr>
              <w:t>分</w:t>
            </w:r>
          </w:p>
        </w:tc>
        <w:tc>
          <w:tcPr>
            <w:tcW w:w="986" w:type="dxa"/>
            <w:noWrap w:val="0"/>
            <w:vAlign w:val="center"/>
          </w:tcPr>
          <w:p>
            <w:pPr>
              <w:jc w:val="center"/>
              <w:rPr>
                <w:rFonts w:hint="eastAsia" w:ascii="宋体" w:hAnsi="宋体"/>
                <w:color w:val="auto"/>
                <w:szCs w:val="21"/>
              </w:rPr>
            </w:pPr>
            <w:r>
              <w:rPr>
                <w:rFonts w:hint="eastAsia" w:ascii="宋体" w:hAnsi="宋体"/>
                <w:color w:val="auto"/>
                <w:szCs w:val="21"/>
              </w:rPr>
              <w:t>人工费</w:t>
            </w:r>
          </w:p>
        </w:tc>
        <w:tc>
          <w:tcPr>
            <w:tcW w:w="784" w:type="dxa"/>
            <w:noWrap w:val="0"/>
            <w:vAlign w:val="center"/>
          </w:tcPr>
          <w:p>
            <w:pPr>
              <w:jc w:val="center"/>
              <w:rPr>
                <w:rFonts w:hint="eastAsia" w:ascii="宋体" w:hAnsi="宋体"/>
                <w:color w:val="auto"/>
                <w:szCs w:val="21"/>
                <w:vertAlign w:val="subscript"/>
              </w:rPr>
            </w:pPr>
            <w:r>
              <w:rPr>
                <w:rFonts w:hint="eastAsia" w:ascii="宋体" w:hAnsi="宋体"/>
                <w:color w:val="auto"/>
                <w:szCs w:val="21"/>
              </w:rPr>
              <w:t>F</w:t>
            </w:r>
            <w:r>
              <w:rPr>
                <w:rFonts w:hint="eastAsia" w:ascii="宋体" w:hAnsi="宋体"/>
                <w:color w:val="auto"/>
                <w:szCs w:val="21"/>
                <w:vertAlign w:val="subscript"/>
              </w:rPr>
              <w:t>01</w:t>
            </w:r>
          </w:p>
        </w:tc>
        <w:tc>
          <w:tcPr>
            <w:tcW w:w="1176" w:type="dxa"/>
            <w:noWrap w:val="0"/>
            <w:vAlign w:val="center"/>
          </w:tcPr>
          <w:p>
            <w:pPr>
              <w:jc w:val="center"/>
              <w:rPr>
                <w:rFonts w:hint="eastAsia" w:ascii="宋体" w:hAnsi="宋体"/>
                <w:color w:val="auto"/>
                <w:szCs w:val="21"/>
              </w:rPr>
            </w:pPr>
          </w:p>
        </w:tc>
        <w:tc>
          <w:tcPr>
            <w:tcW w:w="784" w:type="dxa"/>
            <w:noWrap w:val="0"/>
            <w:vAlign w:val="center"/>
          </w:tcPr>
          <w:p>
            <w:pPr>
              <w:ind w:firstLine="105" w:firstLineChars="50"/>
              <w:jc w:val="center"/>
              <w:rPr>
                <w:rFonts w:hint="eastAsia" w:ascii="宋体" w:hAnsi="宋体"/>
                <w:color w:val="auto"/>
                <w:szCs w:val="21"/>
                <w:vertAlign w:val="subscript"/>
              </w:rPr>
            </w:pPr>
          </w:p>
        </w:tc>
        <w:tc>
          <w:tcPr>
            <w:tcW w:w="1380" w:type="dxa"/>
            <w:noWrap w:val="0"/>
            <w:vAlign w:val="center"/>
          </w:tcPr>
          <w:p>
            <w:pPr>
              <w:ind w:firstLine="105" w:firstLineChars="50"/>
              <w:jc w:val="center"/>
              <w:rPr>
                <w:rFonts w:hint="eastAsia" w:ascii="宋体" w:hAnsi="宋体"/>
                <w:color w:val="auto"/>
                <w:szCs w:val="21"/>
                <w:vertAlign w:val="subscript"/>
              </w:rPr>
            </w:pPr>
            <w:r>
              <w:rPr>
                <w:rFonts w:hint="eastAsia" w:ascii="宋体" w:hAnsi="宋体"/>
                <w:color w:val="auto"/>
                <w:szCs w:val="21"/>
              </w:rPr>
              <w:t>B</w:t>
            </w:r>
            <w:r>
              <w:rPr>
                <w:rFonts w:hint="eastAsia" w:ascii="宋体" w:hAnsi="宋体"/>
                <w:color w:val="auto"/>
                <w:szCs w:val="21"/>
                <w:vertAlign w:val="subscript"/>
              </w:rPr>
              <w:t>1</w:t>
            </w:r>
          </w:p>
        </w:tc>
        <w:tc>
          <w:tcPr>
            <w:tcW w:w="1761" w:type="dxa"/>
            <w:noWrap w:val="0"/>
            <w:vAlign w:val="center"/>
          </w:tcPr>
          <w:p>
            <w:pPr>
              <w:jc w:val="center"/>
              <w:rPr>
                <w:rFonts w:hint="eastAsia" w:ascii="宋体" w:hAnsi="宋体"/>
                <w:color w:val="auto"/>
                <w:szCs w:val="21"/>
              </w:rPr>
            </w:pPr>
            <w:r>
              <w:rPr>
                <w:rFonts w:hint="eastAsia" w:ascii="宋体" w:hAnsi="宋体"/>
                <w:color w:val="auto"/>
                <w:szCs w:val="21"/>
              </w:rPr>
              <w:t>__ 至__</w:t>
            </w: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continue"/>
            <w:noWrap w:val="0"/>
            <w:vAlign w:val="center"/>
          </w:tcPr>
          <w:p>
            <w:pPr>
              <w:jc w:val="center"/>
              <w:rPr>
                <w:rFonts w:hint="eastAsia" w:ascii="宋体" w:hAnsi="宋体"/>
                <w:color w:val="auto"/>
                <w:szCs w:val="21"/>
              </w:rPr>
            </w:pPr>
          </w:p>
        </w:tc>
        <w:tc>
          <w:tcPr>
            <w:tcW w:w="986" w:type="dxa"/>
            <w:noWrap w:val="0"/>
            <w:vAlign w:val="center"/>
          </w:tcPr>
          <w:p>
            <w:pPr>
              <w:jc w:val="center"/>
              <w:rPr>
                <w:rFonts w:hint="eastAsia" w:ascii="宋体" w:hAnsi="宋体"/>
                <w:color w:val="auto"/>
                <w:szCs w:val="21"/>
              </w:rPr>
            </w:pPr>
            <w:r>
              <w:rPr>
                <w:rFonts w:hint="eastAsia" w:ascii="宋体" w:hAnsi="宋体"/>
                <w:color w:val="auto"/>
                <w:szCs w:val="21"/>
              </w:rPr>
              <w:t>钢材</w:t>
            </w:r>
          </w:p>
        </w:tc>
        <w:tc>
          <w:tcPr>
            <w:tcW w:w="784" w:type="dxa"/>
            <w:noWrap w:val="0"/>
            <w:vAlign w:val="center"/>
          </w:tcPr>
          <w:p>
            <w:pPr>
              <w:jc w:val="center"/>
              <w:rPr>
                <w:rFonts w:hint="eastAsia" w:ascii="宋体" w:hAnsi="宋体"/>
                <w:color w:val="auto"/>
                <w:szCs w:val="21"/>
                <w:vertAlign w:val="subscript"/>
              </w:rPr>
            </w:pPr>
            <w:r>
              <w:rPr>
                <w:rFonts w:hint="eastAsia" w:ascii="宋体" w:hAnsi="宋体"/>
                <w:color w:val="auto"/>
                <w:szCs w:val="21"/>
              </w:rPr>
              <w:t>F</w:t>
            </w:r>
            <w:r>
              <w:rPr>
                <w:rFonts w:hint="eastAsia" w:ascii="宋体" w:hAnsi="宋体"/>
                <w:color w:val="auto"/>
                <w:szCs w:val="21"/>
                <w:vertAlign w:val="subscript"/>
              </w:rPr>
              <w:t>02</w:t>
            </w:r>
          </w:p>
        </w:tc>
        <w:tc>
          <w:tcPr>
            <w:tcW w:w="1176" w:type="dxa"/>
            <w:noWrap w:val="0"/>
            <w:vAlign w:val="center"/>
          </w:tcPr>
          <w:p>
            <w:pPr>
              <w:jc w:val="center"/>
              <w:rPr>
                <w:rFonts w:hint="eastAsia" w:ascii="宋体" w:hAnsi="宋体"/>
                <w:color w:val="auto"/>
                <w:szCs w:val="21"/>
              </w:rPr>
            </w:pPr>
          </w:p>
        </w:tc>
        <w:tc>
          <w:tcPr>
            <w:tcW w:w="784" w:type="dxa"/>
            <w:noWrap w:val="0"/>
            <w:vAlign w:val="center"/>
          </w:tcPr>
          <w:p>
            <w:pPr>
              <w:ind w:firstLine="105" w:firstLineChars="50"/>
              <w:jc w:val="center"/>
              <w:rPr>
                <w:rFonts w:hint="eastAsia" w:ascii="宋体" w:hAnsi="宋体"/>
                <w:color w:val="auto"/>
                <w:szCs w:val="21"/>
                <w:vertAlign w:val="subscript"/>
              </w:rPr>
            </w:pPr>
          </w:p>
        </w:tc>
        <w:tc>
          <w:tcPr>
            <w:tcW w:w="1380" w:type="dxa"/>
            <w:noWrap w:val="0"/>
            <w:vAlign w:val="center"/>
          </w:tcPr>
          <w:p>
            <w:pPr>
              <w:ind w:firstLine="105" w:firstLineChars="50"/>
              <w:jc w:val="center"/>
              <w:rPr>
                <w:rFonts w:hint="eastAsia" w:ascii="宋体" w:hAnsi="宋体"/>
                <w:color w:val="auto"/>
                <w:szCs w:val="21"/>
                <w:vertAlign w:val="subscript"/>
              </w:rPr>
            </w:pPr>
            <w:r>
              <w:rPr>
                <w:rFonts w:hint="eastAsia" w:ascii="宋体" w:hAnsi="宋体"/>
                <w:color w:val="auto"/>
                <w:szCs w:val="21"/>
              </w:rPr>
              <w:t>B</w:t>
            </w:r>
            <w:r>
              <w:rPr>
                <w:rFonts w:hint="eastAsia" w:ascii="宋体" w:hAnsi="宋体"/>
                <w:color w:val="auto"/>
                <w:szCs w:val="21"/>
                <w:vertAlign w:val="subscript"/>
              </w:rPr>
              <w:t>2</w:t>
            </w:r>
          </w:p>
        </w:tc>
        <w:tc>
          <w:tcPr>
            <w:tcW w:w="1761" w:type="dxa"/>
            <w:noWrap w:val="0"/>
            <w:vAlign w:val="center"/>
          </w:tcPr>
          <w:p>
            <w:pPr>
              <w:jc w:val="center"/>
              <w:rPr>
                <w:rFonts w:hint="eastAsia" w:ascii="宋体" w:hAnsi="宋体"/>
                <w:color w:val="auto"/>
                <w:szCs w:val="21"/>
              </w:rPr>
            </w:pPr>
            <w:r>
              <w:rPr>
                <w:rFonts w:hint="eastAsia" w:ascii="宋体" w:hAnsi="宋体"/>
                <w:color w:val="auto"/>
                <w:szCs w:val="21"/>
              </w:rPr>
              <w:t>__ 至__</w:t>
            </w: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continue"/>
            <w:noWrap w:val="0"/>
            <w:vAlign w:val="center"/>
          </w:tcPr>
          <w:p>
            <w:pPr>
              <w:jc w:val="center"/>
              <w:rPr>
                <w:rFonts w:hint="eastAsia" w:ascii="宋体" w:hAnsi="宋体"/>
                <w:color w:val="auto"/>
                <w:szCs w:val="21"/>
              </w:rPr>
            </w:pPr>
          </w:p>
        </w:tc>
        <w:tc>
          <w:tcPr>
            <w:tcW w:w="986" w:type="dxa"/>
            <w:noWrap w:val="0"/>
            <w:vAlign w:val="center"/>
          </w:tcPr>
          <w:p>
            <w:pPr>
              <w:jc w:val="center"/>
              <w:rPr>
                <w:rFonts w:hint="eastAsia" w:ascii="宋体" w:hAnsi="宋体"/>
                <w:color w:val="auto"/>
                <w:szCs w:val="21"/>
              </w:rPr>
            </w:pPr>
            <w:r>
              <w:rPr>
                <w:rFonts w:hint="eastAsia" w:ascii="宋体" w:hAnsi="宋体"/>
                <w:color w:val="auto"/>
                <w:szCs w:val="21"/>
              </w:rPr>
              <w:t>水泥</w:t>
            </w:r>
          </w:p>
        </w:tc>
        <w:tc>
          <w:tcPr>
            <w:tcW w:w="784" w:type="dxa"/>
            <w:noWrap w:val="0"/>
            <w:vAlign w:val="center"/>
          </w:tcPr>
          <w:p>
            <w:pPr>
              <w:jc w:val="center"/>
              <w:rPr>
                <w:rFonts w:hint="eastAsia" w:ascii="宋体" w:hAnsi="宋体"/>
                <w:color w:val="auto"/>
                <w:szCs w:val="21"/>
                <w:vertAlign w:val="subscript"/>
              </w:rPr>
            </w:pPr>
            <w:r>
              <w:rPr>
                <w:rFonts w:hint="eastAsia" w:ascii="宋体" w:hAnsi="宋体"/>
                <w:color w:val="auto"/>
                <w:szCs w:val="21"/>
              </w:rPr>
              <w:t>F</w:t>
            </w:r>
            <w:r>
              <w:rPr>
                <w:rFonts w:hint="eastAsia" w:ascii="宋体" w:hAnsi="宋体"/>
                <w:color w:val="auto"/>
                <w:szCs w:val="21"/>
                <w:vertAlign w:val="subscript"/>
              </w:rPr>
              <w:t>03</w:t>
            </w:r>
          </w:p>
        </w:tc>
        <w:tc>
          <w:tcPr>
            <w:tcW w:w="1176" w:type="dxa"/>
            <w:noWrap w:val="0"/>
            <w:vAlign w:val="center"/>
          </w:tcPr>
          <w:p>
            <w:pPr>
              <w:jc w:val="center"/>
              <w:rPr>
                <w:rFonts w:hint="eastAsia" w:ascii="宋体" w:hAnsi="宋体"/>
                <w:color w:val="auto"/>
                <w:szCs w:val="21"/>
              </w:rPr>
            </w:pPr>
          </w:p>
        </w:tc>
        <w:tc>
          <w:tcPr>
            <w:tcW w:w="784" w:type="dxa"/>
            <w:noWrap w:val="0"/>
            <w:vAlign w:val="center"/>
          </w:tcPr>
          <w:p>
            <w:pPr>
              <w:ind w:firstLine="105" w:firstLineChars="50"/>
              <w:jc w:val="center"/>
              <w:rPr>
                <w:rFonts w:hint="eastAsia" w:ascii="宋体" w:hAnsi="宋体"/>
                <w:color w:val="auto"/>
                <w:szCs w:val="21"/>
                <w:vertAlign w:val="subscript"/>
              </w:rPr>
            </w:pPr>
          </w:p>
        </w:tc>
        <w:tc>
          <w:tcPr>
            <w:tcW w:w="1380" w:type="dxa"/>
            <w:noWrap w:val="0"/>
            <w:vAlign w:val="center"/>
          </w:tcPr>
          <w:p>
            <w:pPr>
              <w:ind w:firstLine="105" w:firstLineChars="50"/>
              <w:jc w:val="center"/>
              <w:rPr>
                <w:rFonts w:hint="eastAsia" w:ascii="宋体" w:hAnsi="宋体"/>
                <w:color w:val="auto"/>
                <w:szCs w:val="21"/>
                <w:vertAlign w:val="subscript"/>
              </w:rPr>
            </w:pPr>
            <w:r>
              <w:rPr>
                <w:rFonts w:hint="eastAsia" w:ascii="宋体" w:hAnsi="宋体"/>
                <w:color w:val="auto"/>
                <w:szCs w:val="21"/>
              </w:rPr>
              <w:t>B</w:t>
            </w:r>
            <w:r>
              <w:rPr>
                <w:rFonts w:hint="eastAsia" w:ascii="宋体" w:hAnsi="宋体"/>
                <w:color w:val="auto"/>
                <w:szCs w:val="21"/>
                <w:vertAlign w:val="subscript"/>
              </w:rPr>
              <w:t>3</w:t>
            </w:r>
          </w:p>
        </w:tc>
        <w:tc>
          <w:tcPr>
            <w:tcW w:w="1761" w:type="dxa"/>
            <w:noWrap w:val="0"/>
            <w:vAlign w:val="center"/>
          </w:tcPr>
          <w:p>
            <w:pPr>
              <w:jc w:val="center"/>
              <w:rPr>
                <w:rFonts w:hint="eastAsia" w:ascii="宋体" w:hAnsi="宋体"/>
                <w:color w:val="auto"/>
                <w:szCs w:val="21"/>
              </w:rPr>
            </w:pPr>
            <w:r>
              <w:rPr>
                <w:rFonts w:hint="eastAsia" w:ascii="宋体" w:hAnsi="宋体"/>
                <w:color w:val="auto"/>
                <w:szCs w:val="21"/>
              </w:rPr>
              <w:t>__ 至__</w:t>
            </w: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continue"/>
            <w:noWrap w:val="0"/>
            <w:vAlign w:val="center"/>
          </w:tcPr>
          <w:p>
            <w:pPr>
              <w:jc w:val="center"/>
              <w:rPr>
                <w:rFonts w:hint="eastAsia" w:ascii="宋体" w:hAnsi="宋体"/>
                <w:color w:val="auto"/>
                <w:szCs w:val="21"/>
              </w:rPr>
            </w:pPr>
          </w:p>
        </w:tc>
        <w:tc>
          <w:tcPr>
            <w:tcW w:w="986" w:type="dxa"/>
            <w:noWrap w:val="0"/>
            <w:vAlign w:val="center"/>
          </w:tcPr>
          <w:p>
            <w:pPr>
              <w:jc w:val="center"/>
              <w:rPr>
                <w:rFonts w:hint="eastAsia" w:ascii="宋体" w:hAnsi="宋体"/>
                <w:color w:val="auto"/>
                <w:szCs w:val="21"/>
              </w:rPr>
            </w:pPr>
            <w:r>
              <w:rPr>
                <w:rFonts w:ascii="宋体" w:hAnsi="宋体"/>
                <w:color w:val="auto"/>
                <w:szCs w:val="21"/>
              </w:rPr>
              <w:t>……</w:t>
            </w:r>
            <w:r>
              <w:rPr>
                <w:rFonts w:hint="eastAsia" w:ascii="宋体" w:hAnsi="宋体"/>
                <w:color w:val="auto"/>
                <w:szCs w:val="21"/>
              </w:rPr>
              <w:t>.</w:t>
            </w:r>
          </w:p>
        </w:tc>
        <w:tc>
          <w:tcPr>
            <w:tcW w:w="784" w:type="dxa"/>
            <w:noWrap w:val="0"/>
            <w:vAlign w:val="center"/>
          </w:tcPr>
          <w:p>
            <w:pPr>
              <w:jc w:val="center"/>
              <w:rPr>
                <w:rFonts w:hint="eastAsia" w:ascii="宋体" w:hAnsi="宋体"/>
                <w:color w:val="auto"/>
                <w:szCs w:val="21"/>
              </w:rPr>
            </w:pPr>
            <w:r>
              <w:rPr>
                <w:rFonts w:ascii="宋体" w:hAnsi="宋体"/>
                <w:color w:val="auto"/>
                <w:szCs w:val="21"/>
              </w:rPr>
              <w:t>…</w:t>
            </w:r>
            <w:r>
              <w:rPr>
                <w:rFonts w:hint="eastAsia" w:ascii="宋体" w:hAnsi="宋体"/>
                <w:color w:val="auto"/>
                <w:szCs w:val="21"/>
              </w:rPr>
              <w:t>..</w:t>
            </w:r>
          </w:p>
        </w:tc>
        <w:tc>
          <w:tcPr>
            <w:tcW w:w="1176" w:type="dxa"/>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p>
        </w:tc>
        <w:tc>
          <w:tcPr>
            <w:tcW w:w="1380" w:type="dxa"/>
            <w:noWrap w:val="0"/>
            <w:vAlign w:val="center"/>
          </w:tcPr>
          <w:p>
            <w:pPr>
              <w:jc w:val="center"/>
              <w:rPr>
                <w:rFonts w:hint="eastAsia" w:ascii="宋体" w:hAnsi="宋体"/>
                <w:color w:val="auto"/>
                <w:szCs w:val="21"/>
              </w:rPr>
            </w:pPr>
            <w:r>
              <w:rPr>
                <w:rFonts w:ascii="宋体" w:hAnsi="宋体"/>
                <w:color w:val="auto"/>
                <w:szCs w:val="21"/>
              </w:rPr>
              <w:t>…</w:t>
            </w:r>
            <w:r>
              <w:rPr>
                <w:rFonts w:hint="eastAsia" w:ascii="宋体" w:hAnsi="宋体"/>
                <w:color w:val="auto"/>
                <w:szCs w:val="21"/>
              </w:rPr>
              <w:t>.</w:t>
            </w:r>
          </w:p>
        </w:tc>
        <w:tc>
          <w:tcPr>
            <w:tcW w:w="1761" w:type="dxa"/>
            <w:noWrap w:val="0"/>
            <w:vAlign w:val="center"/>
          </w:tcPr>
          <w:p>
            <w:pPr>
              <w:ind w:firstLine="105" w:firstLineChars="50"/>
              <w:jc w:val="center"/>
              <w:rPr>
                <w:rFonts w:hint="eastAsia" w:ascii="宋体" w:hAnsi="宋体"/>
                <w:color w:val="auto"/>
                <w:szCs w:val="21"/>
              </w:rPr>
            </w:pPr>
            <w:r>
              <w:rPr>
                <w:rFonts w:hint="eastAsia" w:ascii="宋体" w:hAnsi="宋体"/>
                <w:color w:val="auto"/>
                <w:szCs w:val="21"/>
              </w:rPr>
              <w:t>.........</w:t>
            </w: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continue"/>
            <w:noWrap w:val="0"/>
            <w:vAlign w:val="center"/>
          </w:tcPr>
          <w:p>
            <w:pPr>
              <w:jc w:val="center"/>
              <w:rPr>
                <w:rFonts w:hint="eastAsia" w:ascii="宋体" w:hAnsi="宋体"/>
                <w:color w:val="auto"/>
                <w:szCs w:val="21"/>
              </w:rPr>
            </w:pPr>
          </w:p>
        </w:tc>
        <w:tc>
          <w:tcPr>
            <w:tcW w:w="986" w:type="dxa"/>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p>
        </w:tc>
        <w:tc>
          <w:tcPr>
            <w:tcW w:w="1176" w:type="dxa"/>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p>
        </w:tc>
        <w:tc>
          <w:tcPr>
            <w:tcW w:w="1380" w:type="dxa"/>
            <w:noWrap w:val="0"/>
            <w:vAlign w:val="center"/>
          </w:tcPr>
          <w:p>
            <w:pPr>
              <w:jc w:val="center"/>
              <w:rPr>
                <w:rFonts w:hint="eastAsia" w:ascii="宋体" w:hAnsi="宋体"/>
                <w:color w:val="auto"/>
                <w:szCs w:val="21"/>
              </w:rPr>
            </w:pPr>
          </w:p>
        </w:tc>
        <w:tc>
          <w:tcPr>
            <w:tcW w:w="1761" w:type="dxa"/>
            <w:noWrap w:val="0"/>
            <w:vAlign w:val="center"/>
          </w:tcPr>
          <w:p>
            <w:pPr>
              <w:jc w:val="center"/>
              <w:rPr>
                <w:rFonts w:hint="eastAsia" w:ascii="宋体" w:hAnsi="宋体"/>
                <w:color w:val="auto"/>
                <w:szCs w:val="21"/>
              </w:rPr>
            </w:pP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4" w:type="dxa"/>
            <w:vMerge w:val="continue"/>
            <w:noWrap w:val="0"/>
            <w:vAlign w:val="center"/>
          </w:tcPr>
          <w:p>
            <w:pPr>
              <w:jc w:val="center"/>
              <w:rPr>
                <w:rFonts w:hint="eastAsia" w:ascii="宋体" w:hAnsi="宋体"/>
                <w:color w:val="auto"/>
                <w:szCs w:val="21"/>
              </w:rPr>
            </w:pPr>
          </w:p>
        </w:tc>
        <w:tc>
          <w:tcPr>
            <w:tcW w:w="986" w:type="dxa"/>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p>
        </w:tc>
        <w:tc>
          <w:tcPr>
            <w:tcW w:w="1176" w:type="dxa"/>
            <w:noWrap w:val="0"/>
            <w:vAlign w:val="center"/>
          </w:tcPr>
          <w:p>
            <w:pPr>
              <w:jc w:val="center"/>
              <w:rPr>
                <w:rFonts w:hint="eastAsia" w:ascii="宋体" w:hAnsi="宋体"/>
                <w:color w:val="auto"/>
                <w:szCs w:val="21"/>
              </w:rPr>
            </w:pPr>
          </w:p>
        </w:tc>
        <w:tc>
          <w:tcPr>
            <w:tcW w:w="784" w:type="dxa"/>
            <w:noWrap w:val="0"/>
            <w:vAlign w:val="center"/>
          </w:tcPr>
          <w:p>
            <w:pPr>
              <w:jc w:val="center"/>
              <w:rPr>
                <w:rFonts w:hint="eastAsia" w:ascii="宋体" w:hAnsi="宋体"/>
                <w:color w:val="auto"/>
                <w:szCs w:val="21"/>
              </w:rPr>
            </w:pPr>
          </w:p>
        </w:tc>
        <w:tc>
          <w:tcPr>
            <w:tcW w:w="1380" w:type="dxa"/>
            <w:noWrap w:val="0"/>
            <w:vAlign w:val="center"/>
          </w:tcPr>
          <w:p>
            <w:pPr>
              <w:jc w:val="center"/>
              <w:rPr>
                <w:rFonts w:hint="eastAsia" w:ascii="宋体" w:hAnsi="宋体"/>
                <w:color w:val="auto"/>
                <w:szCs w:val="21"/>
              </w:rPr>
            </w:pPr>
          </w:p>
        </w:tc>
        <w:tc>
          <w:tcPr>
            <w:tcW w:w="1761" w:type="dxa"/>
            <w:noWrap w:val="0"/>
            <w:vAlign w:val="center"/>
          </w:tcPr>
          <w:p>
            <w:pPr>
              <w:jc w:val="center"/>
              <w:rPr>
                <w:rFonts w:hint="eastAsia" w:ascii="宋体" w:hAnsi="宋体"/>
                <w:color w:val="auto"/>
                <w:szCs w:val="21"/>
              </w:rPr>
            </w:pPr>
          </w:p>
        </w:tc>
        <w:tc>
          <w:tcPr>
            <w:tcW w:w="1961"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14" w:type="dxa"/>
            <w:gridSpan w:val="6"/>
            <w:noWrap w:val="0"/>
            <w:vAlign w:val="center"/>
          </w:tcPr>
          <w:p>
            <w:pPr>
              <w:jc w:val="center"/>
              <w:rPr>
                <w:rFonts w:hint="eastAsia" w:ascii="宋体" w:hAnsi="宋体"/>
                <w:color w:val="auto"/>
                <w:szCs w:val="21"/>
              </w:rPr>
            </w:pPr>
            <w:r>
              <w:rPr>
                <w:rFonts w:hint="eastAsia" w:ascii="宋体" w:hAnsi="宋体"/>
                <w:color w:val="auto"/>
                <w:szCs w:val="21"/>
              </w:rPr>
              <w:t>合            计</w:t>
            </w:r>
          </w:p>
        </w:tc>
        <w:tc>
          <w:tcPr>
            <w:tcW w:w="1761" w:type="dxa"/>
            <w:noWrap w:val="0"/>
            <w:vAlign w:val="center"/>
          </w:tcPr>
          <w:p>
            <w:pPr>
              <w:jc w:val="center"/>
              <w:rPr>
                <w:rFonts w:hint="eastAsia" w:ascii="宋体" w:hAnsi="宋体"/>
                <w:color w:val="auto"/>
                <w:szCs w:val="21"/>
              </w:rPr>
            </w:pPr>
            <w:r>
              <w:rPr>
                <w:rFonts w:hint="eastAsia" w:ascii="宋体" w:hAnsi="宋体"/>
                <w:color w:val="auto"/>
                <w:szCs w:val="21"/>
              </w:rPr>
              <w:t>1．00</w:t>
            </w:r>
          </w:p>
        </w:tc>
        <w:tc>
          <w:tcPr>
            <w:tcW w:w="1961" w:type="dxa"/>
            <w:noWrap w:val="0"/>
            <w:vAlign w:val="center"/>
          </w:tcPr>
          <w:p>
            <w:pPr>
              <w:jc w:val="center"/>
              <w:rPr>
                <w:rFonts w:hint="eastAsia" w:ascii="宋体" w:hAnsi="宋体"/>
                <w:color w:val="auto"/>
                <w:szCs w:val="21"/>
              </w:rPr>
            </w:pPr>
          </w:p>
        </w:tc>
      </w:tr>
    </w:tbl>
    <w:p>
      <w:pPr>
        <w:spacing w:line="440" w:lineRule="exact"/>
        <w:rPr>
          <w:rFonts w:hint="eastAsia" w:eastAsia="黑体"/>
          <w:color w:val="auto"/>
          <w:sz w:val="20"/>
          <w:szCs w:val="20"/>
        </w:rPr>
      </w:pPr>
    </w:p>
    <w:p>
      <w:pPr>
        <w:spacing w:line="440" w:lineRule="exact"/>
        <w:ind w:left="600" w:hanging="600" w:hangingChars="300"/>
        <w:rPr>
          <w:rFonts w:hint="eastAsia" w:ascii="宋体" w:hAnsi="宋体"/>
          <w:color w:val="auto"/>
          <w:szCs w:val="21"/>
        </w:rPr>
      </w:pPr>
      <w:r>
        <w:rPr>
          <w:rFonts w:hint="eastAsia" w:eastAsia="黑体"/>
          <w:color w:val="auto"/>
          <w:sz w:val="20"/>
          <w:szCs w:val="20"/>
        </w:rPr>
        <w:t>备注</w:t>
      </w:r>
      <w:r>
        <w:rPr>
          <w:rFonts w:hint="eastAsia" w:ascii="宋体" w:hAnsi="宋体"/>
          <w:color w:val="auto"/>
          <w:szCs w:val="21"/>
        </w:rPr>
        <w:t>：除另有约定外，可调因子、定值权重和变值权重的允许范围以及基本价格指数的基准日期由招标人在招标文件中确定，变值权重建议值由投标人填写。可调因子的价格指数或价格指数的计算参数的选择由招标人在招标文件中确定。</w:t>
      </w: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spacing w:line="440" w:lineRule="exact"/>
        <w:ind w:left="630" w:hanging="630" w:hangingChars="300"/>
        <w:rPr>
          <w:rFonts w:hint="eastAsia" w:ascii="宋体" w:hAnsi="宋体"/>
          <w:color w:val="auto"/>
          <w:szCs w:val="21"/>
        </w:rPr>
      </w:pPr>
    </w:p>
    <w:p>
      <w:pPr>
        <w:pStyle w:val="80"/>
        <w:spacing w:before="120" w:after="120" w:afterLines="50"/>
        <w:jc w:val="center"/>
        <w:rPr>
          <w:b/>
          <w:color w:val="auto"/>
          <w:sz w:val="20"/>
        </w:rPr>
      </w:pPr>
      <w:bookmarkStart w:id="2614" w:name="_Toc387753628"/>
      <w:bookmarkStart w:id="2615" w:name="_Toc491089804"/>
      <w:bookmarkStart w:id="2616" w:name="_Toc10020"/>
      <w:bookmarkStart w:id="2617" w:name="_Toc179632811"/>
      <w:bookmarkStart w:id="2618" w:name="_Toc152045791"/>
      <w:bookmarkStart w:id="2619" w:name="_Toc152042580"/>
      <w:r>
        <w:rPr>
          <w:b/>
          <w:color w:val="auto"/>
        </w:rPr>
        <w:t>二、法定代表人身份证明</w:t>
      </w:r>
      <w:bookmarkEnd w:id="2614"/>
      <w:bookmarkEnd w:id="2615"/>
      <w:bookmarkEnd w:id="2616"/>
      <w:bookmarkEnd w:id="2617"/>
      <w:bookmarkEnd w:id="2618"/>
      <w:bookmarkEnd w:id="2619"/>
    </w:p>
    <w:p>
      <w:pPr>
        <w:spacing w:line="440" w:lineRule="exact"/>
        <w:rPr>
          <w:rFonts w:hint="eastAsia"/>
          <w:color w:val="auto"/>
          <w:szCs w:val="21"/>
        </w:rPr>
      </w:pPr>
    </w:p>
    <w:p>
      <w:pPr>
        <w:spacing w:line="440" w:lineRule="exact"/>
        <w:rPr>
          <w:rFonts w:hint="eastAsia"/>
          <w:color w:val="auto"/>
          <w:szCs w:val="21"/>
        </w:rPr>
      </w:pPr>
    </w:p>
    <w:p>
      <w:pPr>
        <w:spacing w:line="440" w:lineRule="exact"/>
        <w:ind w:firstLine="420" w:firstLineChars="200"/>
        <w:rPr>
          <w:color w:val="auto"/>
          <w:szCs w:val="21"/>
        </w:rPr>
      </w:pPr>
      <w:r>
        <w:rPr>
          <w:color w:val="auto"/>
          <w:szCs w:val="21"/>
        </w:rPr>
        <w:t>投标人名称：</w:t>
      </w:r>
      <w:r>
        <w:rPr>
          <w:color w:val="auto"/>
          <w:szCs w:val="21"/>
          <w:u w:val="single"/>
        </w:rPr>
        <w:t xml:space="preserve">                            </w:t>
      </w:r>
      <w:r>
        <w:rPr>
          <w:color w:val="auto"/>
          <w:szCs w:val="21"/>
        </w:rPr>
        <w:t xml:space="preserve"> </w:t>
      </w:r>
    </w:p>
    <w:p>
      <w:pPr>
        <w:spacing w:line="440" w:lineRule="exact"/>
        <w:ind w:firstLine="420" w:firstLineChars="200"/>
        <w:rPr>
          <w:color w:val="auto"/>
          <w:szCs w:val="21"/>
        </w:rPr>
      </w:pPr>
      <w:r>
        <w:rPr>
          <w:color w:val="auto"/>
          <w:szCs w:val="21"/>
        </w:rPr>
        <w:t>单位性质：</w:t>
      </w:r>
      <w:r>
        <w:rPr>
          <w:color w:val="auto"/>
          <w:szCs w:val="21"/>
          <w:u w:val="single"/>
        </w:rPr>
        <w:t xml:space="preserve">                               </w:t>
      </w:r>
      <w:r>
        <w:rPr>
          <w:color w:val="auto"/>
          <w:szCs w:val="21"/>
        </w:rPr>
        <w:t xml:space="preserve"> </w:t>
      </w:r>
    </w:p>
    <w:p>
      <w:pPr>
        <w:spacing w:line="440" w:lineRule="exact"/>
        <w:ind w:firstLine="420" w:firstLineChars="200"/>
        <w:rPr>
          <w:color w:val="auto"/>
          <w:szCs w:val="21"/>
        </w:rPr>
      </w:pPr>
      <w:r>
        <w:rPr>
          <w:color w:val="auto"/>
          <w:szCs w:val="21"/>
        </w:rPr>
        <w:t>地址：</w:t>
      </w:r>
      <w:r>
        <w:rPr>
          <w:color w:val="auto"/>
          <w:szCs w:val="21"/>
          <w:u w:val="single"/>
        </w:rPr>
        <w:t xml:space="preserve">                                   </w:t>
      </w:r>
    </w:p>
    <w:p>
      <w:pPr>
        <w:spacing w:line="440" w:lineRule="exact"/>
        <w:ind w:firstLine="420" w:firstLineChars="200"/>
        <w:rPr>
          <w:color w:val="auto"/>
          <w:szCs w:val="21"/>
        </w:rPr>
      </w:pPr>
      <w:r>
        <w:rPr>
          <w:color w:val="auto"/>
          <w:szCs w:val="21"/>
        </w:rPr>
        <w:t>成立时间：</w:t>
      </w:r>
      <w:r>
        <w:rPr>
          <w:color w:val="auto"/>
          <w:szCs w:val="21"/>
          <w:u w:val="single"/>
        </w:rPr>
        <w:t xml:space="preserve">         </w:t>
      </w:r>
      <w:r>
        <w:rPr>
          <w:color w:val="auto"/>
          <w:szCs w:val="21"/>
        </w:rPr>
        <w:t xml:space="preserve"> 年</w:t>
      </w:r>
      <w:r>
        <w:rPr>
          <w:color w:val="auto"/>
          <w:szCs w:val="21"/>
          <w:u w:val="single"/>
        </w:rPr>
        <w:t xml:space="preserve">       </w:t>
      </w:r>
      <w:r>
        <w:rPr>
          <w:color w:val="auto"/>
          <w:szCs w:val="21"/>
        </w:rPr>
        <w:t xml:space="preserve"> 月</w:t>
      </w:r>
      <w:r>
        <w:rPr>
          <w:color w:val="auto"/>
          <w:szCs w:val="21"/>
          <w:u w:val="single"/>
        </w:rPr>
        <w:t xml:space="preserve">       </w:t>
      </w:r>
      <w:r>
        <w:rPr>
          <w:color w:val="auto"/>
          <w:szCs w:val="21"/>
        </w:rPr>
        <w:t xml:space="preserve"> 日</w:t>
      </w:r>
    </w:p>
    <w:p>
      <w:pPr>
        <w:spacing w:line="440" w:lineRule="exact"/>
        <w:ind w:firstLine="420" w:firstLineChars="200"/>
        <w:rPr>
          <w:color w:val="auto"/>
          <w:szCs w:val="21"/>
        </w:rPr>
      </w:pPr>
      <w:r>
        <w:rPr>
          <w:color w:val="auto"/>
          <w:szCs w:val="21"/>
        </w:rPr>
        <w:t>经营期限：</w:t>
      </w:r>
      <w:r>
        <w:rPr>
          <w:color w:val="auto"/>
          <w:szCs w:val="21"/>
          <w:u w:val="single"/>
        </w:rPr>
        <w:t xml:space="preserve">                               </w:t>
      </w:r>
    </w:p>
    <w:p>
      <w:pPr>
        <w:spacing w:line="440" w:lineRule="exact"/>
        <w:ind w:firstLine="420" w:firstLineChars="200"/>
        <w:rPr>
          <w:color w:val="auto"/>
          <w:szCs w:val="21"/>
        </w:rPr>
      </w:pPr>
      <w:r>
        <w:rPr>
          <w:color w:val="auto"/>
          <w:szCs w:val="21"/>
        </w:rPr>
        <w:t>姓名：</w:t>
      </w:r>
      <w:r>
        <w:rPr>
          <w:color w:val="auto"/>
          <w:szCs w:val="21"/>
          <w:u w:val="single"/>
        </w:rPr>
        <w:t xml:space="preserve">        </w:t>
      </w:r>
      <w:r>
        <w:rPr>
          <w:color w:val="auto"/>
          <w:szCs w:val="21"/>
        </w:rPr>
        <w:t xml:space="preserve"> 性别：</w:t>
      </w:r>
      <w:r>
        <w:rPr>
          <w:color w:val="auto"/>
          <w:szCs w:val="21"/>
          <w:u w:val="single"/>
        </w:rPr>
        <w:t xml:space="preserve">         </w:t>
      </w:r>
      <w:r>
        <w:rPr>
          <w:color w:val="auto"/>
          <w:szCs w:val="21"/>
        </w:rPr>
        <w:t xml:space="preserve"> 年龄：</w:t>
      </w:r>
      <w:r>
        <w:rPr>
          <w:color w:val="auto"/>
          <w:szCs w:val="21"/>
          <w:u w:val="single"/>
        </w:rPr>
        <w:t xml:space="preserve">        </w:t>
      </w:r>
      <w:r>
        <w:rPr>
          <w:rFonts w:hint="eastAsia"/>
          <w:color w:val="auto"/>
          <w:szCs w:val="21"/>
        </w:rPr>
        <w:t>身份证号码</w:t>
      </w:r>
      <w:r>
        <w:rPr>
          <w:color w:val="auto"/>
          <w:szCs w:val="21"/>
        </w:rPr>
        <w:t>：</w:t>
      </w:r>
      <w:r>
        <w:rPr>
          <w:color w:val="auto"/>
          <w:szCs w:val="21"/>
          <w:u w:val="single"/>
        </w:rPr>
        <w:t xml:space="preserve">        </w:t>
      </w:r>
    </w:p>
    <w:p>
      <w:pPr>
        <w:spacing w:line="440" w:lineRule="exact"/>
        <w:ind w:firstLine="420" w:firstLineChars="200"/>
        <w:rPr>
          <w:color w:val="auto"/>
          <w:szCs w:val="21"/>
        </w:rPr>
      </w:pPr>
      <w:r>
        <w:rPr>
          <w:rFonts w:ascii="宋体" w:hAnsi="宋体"/>
          <w:color w:val="auto"/>
          <w:szCs w:val="21"/>
        </w:rPr>
        <w:t>职务：</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r>
        <w:rPr>
          <w:color w:val="auto"/>
          <w:szCs w:val="21"/>
        </w:rPr>
        <w:t>系</w:t>
      </w:r>
      <w:r>
        <w:rPr>
          <w:color w:val="auto"/>
          <w:szCs w:val="21"/>
          <w:u w:val="single"/>
        </w:rPr>
        <w:t xml:space="preserve">                 </w:t>
      </w:r>
      <w:r>
        <w:rPr>
          <w:color w:val="auto"/>
          <w:szCs w:val="21"/>
        </w:rPr>
        <w:t xml:space="preserve"> </w:t>
      </w:r>
      <w:r>
        <w:rPr>
          <w:rFonts w:hint="eastAsia"/>
          <w:color w:val="auto"/>
          <w:szCs w:val="21"/>
        </w:rPr>
        <w:t>（</w:t>
      </w:r>
      <w:r>
        <w:rPr>
          <w:color w:val="auto"/>
          <w:szCs w:val="21"/>
        </w:rPr>
        <w:t>投标人名称</w:t>
      </w:r>
      <w:r>
        <w:rPr>
          <w:rFonts w:hint="eastAsia"/>
          <w:color w:val="auto"/>
          <w:szCs w:val="21"/>
        </w:rPr>
        <w:t>）</w:t>
      </w:r>
      <w:r>
        <w:rPr>
          <w:color w:val="auto"/>
          <w:szCs w:val="21"/>
        </w:rPr>
        <w:t>的法定代表人。</w:t>
      </w:r>
    </w:p>
    <w:p>
      <w:pPr>
        <w:spacing w:line="440" w:lineRule="exact"/>
        <w:ind w:firstLine="735" w:firstLineChars="350"/>
        <w:rPr>
          <w:rFonts w:hint="eastAsia"/>
          <w:color w:val="auto"/>
          <w:szCs w:val="21"/>
        </w:rPr>
      </w:pPr>
      <w:r>
        <w:rPr>
          <w:color w:val="auto"/>
          <w:szCs w:val="21"/>
        </w:rPr>
        <w:t>特此证明。</w:t>
      </w:r>
    </w:p>
    <w:p>
      <w:pPr>
        <w:spacing w:line="440" w:lineRule="exact"/>
        <w:ind w:firstLine="420" w:firstLineChars="200"/>
        <w:rPr>
          <w:rFonts w:hint="eastAsia"/>
          <w:color w:val="auto"/>
          <w:szCs w:val="21"/>
        </w:rPr>
      </w:pPr>
    </w:p>
    <w:p>
      <w:pPr>
        <w:spacing w:line="440" w:lineRule="exact"/>
        <w:ind w:firstLine="735" w:firstLineChars="350"/>
        <w:rPr>
          <w:color w:val="auto"/>
          <w:szCs w:val="21"/>
        </w:rPr>
      </w:pPr>
      <w:r>
        <w:rPr>
          <w:rFonts w:hint="eastAsia" w:ascii="宋体" w:hAnsi="宋体"/>
          <w:bCs/>
          <w:color w:val="auto"/>
          <w:szCs w:val="21"/>
        </w:rPr>
        <w:t>附：法定代表人身份证正反面复印件</w:t>
      </w: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rFonts w:hint="eastAsia"/>
          <w:color w:val="auto"/>
          <w:szCs w:val="21"/>
        </w:rPr>
      </w:pPr>
    </w:p>
    <w:p>
      <w:pPr>
        <w:spacing w:line="440" w:lineRule="exact"/>
        <w:rPr>
          <w:color w:val="auto"/>
          <w:szCs w:val="21"/>
        </w:rPr>
      </w:pPr>
    </w:p>
    <w:p>
      <w:pPr>
        <w:spacing w:line="440" w:lineRule="exact"/>
        <w:jc w:val="right"/>
        <w:rPr>
          <w:rFonts w:hint="eastAsia"/>
          <w:color w:val="auto"/>
          <w:szCs w:val="21"/>
        </w:rPr>
      </w:pPr>
      <w:r>
        <w:rPr>
          <w:color w:val="auto"/>
          <w:szCs w:val="21"/>
        </w:rPr>
        <w:t xml:space="preserve">                          投标人：</w:t>
      </w:r>
      <w:r>
        <w:rPr>
          <w:color w:val="auto"/>
          <w:szCs w:val="21"/>
          <w:u w:val="single"/>
        </w:rPr>
        <w:t xml:space="preserve">                 </w:t>
      </w:r>
      <w:r>
        <w:rPr>
          <w:color w:val="auto"/>
          <w:szCs w:val="21"/>
        </w:rPr>
        <w:t>（盖单位章）</w:t>
      </w:r>
    </w:p>
    <w:p>
      <w:pPr>
        <w:spacing w:line="440" w:lineRule="exact"/>
        <w:jc w:val="right"/>
        <w:rPr>
          <w:color w:val="auto"/>
          <w:szCs w:val="21"/>
        </w:rPr>
      </w:pPr>
    </w:p>
    <w:p>
      <w:pPr>
        <w:spacing w:line="440" w:lineRule="exact"/>
        <w:jc w:val="right"/>
        <w:rPr>
          <w:rFonts w:hint="eastAsia"/>
          <w:color w:val="auto"/>
          <w:szCs w:val="21"/>
        </w:rPr>
      </w:pPr>
      <w:r>
        <w:rPr>
          <w:color w:val="auto"/>
          <w:szCs w:val="21"/>
        </w:rPr>
        <w:t xml:space="preserve">                    </w:t>
      </w:r>
      <w:r>
        <w:rPr>
          <w:rFonts w:hint="eastAsia"/>
          <w:color w:val="auto"/>
          <w:szCs w:val="21"/>
        </w:rPr>
        <w:t xml:space="preserve"> </w:t>
      </w:r>
      <w:r>
        <w:rPr>
          <w:color w:val="auto"/>
          <w:szCs w:val="21"/>
          <w:u w:val="single"/>
        </w:rPr>
        <w:t xml:space="preserve">       </w:t>
      </w:r>
      <w:r>
        <w:rPr>
          <w:color w:val="auto"/>
          <w:szCs w:val="21"/>
        </w:rPr>
        <w:t>年</w:t>
      </w:r>
      <w:r>
        <w:rPr>
          <w:color w:val="auto"/>
          <w:szCs w:val="21"/>
          <w:u w:val="single"/>
        </w:rPr>
        <w:t xml:space="preserve">       </w:t>
      </w:r>
      <w:r>
        <w:rPr>
          <w:color w:val="auto"/>
          <w:szCs w:val="21"/>
        </w:rPr>
        <w:t>月</w:t>
      </w:r>
      <w:r>
        <w:rPr>
          <w:color w:val="auto"/>
          <w:szCs w:val="21"/>
          <w:u w:val="single"/>
        </w:rPr>
        <w:t xml:space="preserve">       </w:t>
      </w:r>
      <w:r>
        <w:rPr>
          <w:color w:val="auto"/>
          <w:szCs w:val="21"/>
        </w:rPr>
        <w:t xml:space="preserve">日 </w:t>
      </w: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spacing w:line="440" w:lineRule="exact"/>
        <w:jc w:val="right"/>
        <w:rPr>
          <w:rFonts w:hint="eastAsia"/>
          <w:color w:val="auto"/>
          <w:szCs w:val="21"/>
        </w:rPr>
      </w:pPr>
    </w:p>
    <w:p>
      <w:pPr>
        <w:pStyle w:val="80"/>
        <w:spacing w:before="120" w:after="120" w:afterLines="50"/>
        <w:jc w:val="center"/>
        <w:rPr>
          <w:rFonts w:hint="eastAsia"/>
          <w:b/>
          <w:color w:val="auto"/>
        </w:rPr>
      </w:pPr>
      <w:bookmarkStart w:id="2620" w:name="_Toc152045793"/>
      <w:bookmarkStart w:id="2621" w:name="_Toc387753630"/>
      <w:bookmarkStart w:id="2622" w:name="_Toc152042582"/>
      <w:bookmarkStart w:id="2623" w:name="_Toc491089806"/>
      <w:bookmarkStart w:id="2624" w:name="_Toc28562"/>
      <w:bookmarkStart w:id="2625" w:name="_Toc179632813"/>
      <w:r>
        <w:rPr>
          <w:rFonts w:hint="eastAsia"/>
          <w:b/>
          <w:color w:val="auto"/>
        </w:rPr>
        <w:t>三、联合体协议书</w:t>
      </w:r>
      <w:bookmarkEnd w:id="2620"/>
      <w:bookmarkEnd w:id="2621"/>
      <w:bookmarkEnd w:id="2622"/>
      <w:bookmarkEnd w:id="2623"/>
      <w:bookmarkEnd w:id="2624"/>
      <w:bookmarkEnd w:id="2625"/>
      <w:r>
        <w:rPr>
          <w:rFonts w:hint="eastAsia"/>
          <w:b/>
          <w:color w:val="auto"/>
        </w:rPr>
        <w:t xml:space="preserve"> </w:t>
      </w:r>
    </w:p>
    <w:p>
      <w:pPr>
        <w:spacing w:line="400" w:lineRule="exact"/>
        <w:rPr>
          <w:color w:val="auto"/>
          <w:szCs w:val="21"/>
        </w:rPr>
      </w:pPr>
    </w:p>
    <w:p>
      <w:pPr>
        <w:topLinePunct/>
        <w:spacing w:line="440" w:lineRule="exact"/>
        <w:ind w:firstLine="420" w:firstLineChars="200"/>
        <w:rPr>
          <w:color w:val="auto"/>
          <w:szCs w:val="21"/>
        </w:rPr>
      </w:pPr>
      <w:r>
        <w:rPr>
          <w:color w:val="auto"/>
          <w:szCs w:val="21"/>
          <w:u w:val="single"/>
        </w:rPr>
        <w:t xml:space="preserve">       </w:t>
      </w:r>
      <w:r>
        <w:rPr>
          <w:color w:val="auto"/>
          <w:szCs w:val="21"/>
        </w:rPr>
        <w:t>（所有成员单位名称）自愿组成</w:t>
      </w:r>
      <w:r>
        <w:rPr>
          <w:color w:val="auto"/>
          <w:szCs w:val="21"/>
          <w:u w:val="single"/>
        </w:rPr>
        <w:t xml:space="preserve">   </w:t>
      </w:r>
      <w:r>
        <w:rPr>
          <w:rFonts w:hint="eastAsia"/>
          <w:color w:val="auto"/>
          <w:szCs w:val="21"/>
          <w:u w:val="single"/>
        </w:rPr>
        <w:t xml:space="preserve"> </w:t>
      </w:r>
      <w:r>
        <w:rPr>
          <w:color w:val="auto"/>
          <w:szCs w:val="21"/>
          <w:u w:val="single"/>
        </w:rPr>
        <w:t xml:space="preserve">  </w:t>
      </w:r>
      <w:r>
        <w:rPr>
          <w:rFonts w:hint="eastAsia"/>
          <w:color w:val="auto"/>
          <w:szCs w:val="21"/>
        </w:rPr>
        <w:t>（</w:t>
      </w:r>
      <w:r>
        <w:rPr>
          <w:color w:val="auto"/>
          <w:szCs w:val="21"/>
        </w:rPr>
        <w:t>联合体名称</w:t>
      </w:r>
      <w:r>
        <w:rPr>
          <w:rFonts w:hint="eastAsia"/>
          <w:color w:val="auto"/>
          <w:szCs w:val="21"/>
        </w:rPr>
        <w:t>）联合体</w:t>
      </w:r>
      <w:r>
        <w:rPr>
          <w:color w:val="auto"/>
          <w:szCs w:val="21"/>
        </w:rPr>
        <w:t>，共同参加</w:t>
      </w:r>
      <w:r>
        <w:rPr>
          <w:color w:val="auto"/>
          <w:szCs w:val="21"/>
          <w:u w:val="single"/>
        </w:rPr>
        <w:t xml:space="preserve">     </w:t>
      </w:r>
      <w:r>
        <w:rPr>
          <w:color w:val="auto"/>
          <w:szCs w:val="21"/>
        </w:rPr>
        <w:t>（项目名称）</w:t>
      </w:r>
      <w:r>
        <w:rPr>
          <w:color w:val="auto"/>
          <w:szCs w:val="21"/>
          <w:u w:val="single"/>
        </w:rPr>
        <w:t xml:space="preserve">      </w:t>
      </w:r>
      <w:r>
        <w:rPr>
          <w:rFonts w:hint="eastAsia"/>
          <w:color w:val="auto"/>
          <w:szCs w:val="21"/>
        </w:rPr>
        <w:t>（标段名称）</w:t>
      </w:r>
      <w:r>
        <w:rPr>
          <w:color w:val="auto"/>
          <w:szCs w:val="21"/>
        </w:rPr>
        <w:t>投标。现就联合体投标事宜订立如下协议。</w:t>
      </w:r>
    </w:p>
    <w:p>
      <w:pPr>
        <w:topLinePunct/>
        <w:spacing w:line="440" w:lineRule="exact"/>
        <w:ind w:firstLine="420" w:firstLineChars="200"/>
        <w:rPr>
          <w:color w:val="auto"/>
          <w:szCs w:val="21"/>
        </w:rPr>
      </w:pPr>
      <w:r>
        <w:rPr>
          <w:color w:val="auto"/>
          <w:szCs w:val="21"/>
        </w:rPr>
        <w:t>1</w:t>
      </w:r>
      <w:r>
        <w:rPr>
          <w:rFonts w:hint="eastAsia"/>
          <w:color w:val="auto"/>
          <w:szCs w:val="21"/>
        </w:rPr>
        <w:t>.</w:t>
      </w:r>
      <w:r>
        <w:rPr>
          <w:color w:val="auto"/>
          <w:szCs w:val="21"/>
          <w:u w:val="single"/>
        </w:rPr>
        <w:t xml:space="preserve">       </w:t>
      </w:r>
      <w:r>
        <w:rPr>
          <w:color w:val="auto"/>
          <w:szCs w:val="21"/>
        </w:rPr>
        <w:t>（某成员单位名称）为</w:t>
      </w:r>
      <w:r>
        <w:rPr>
          <w:color w:val="auto"/>
          <w:szCs w:val="21"/>
          <w:u w:val="single"/>
        </w:rPr>
        <w:t xml:space="preserve">     </w:t>
      </w:r>
      <w:r>
        <w:rPr>
          <w:color w:val="auto"/>
          <w:szCs w:val="21"/>
        </w:rPr>
        <w:t>（联合体名称）牵头人。</w:t>
      </w:r>
    </w:p>
    <w:p>
      <w:pPr>
        <w:topLinePunct/>
        <w:spacing w:line="440" w:lineRule="exact"/>
        <w:ind w:firstLine="420" w:firstLineChars="200"/>
        <w:rPr>
          <w:rFonts w:hint="eastAsia"/>
          <w:color w:val="auto"/>
          <w:szCs w:val="21"/>
        </w:rPr>
      </w:pPr>
      <w:r>
        <w:rPr>
          <w:color w:val="auto"/>
          <w:szCs w:val="21"/>
        </w:rPr>
        <w:t>2</w:t>
      </w:r>
      <w:r>
        <w:rPr>
          <w:rFonts w:hint="eastAsia"/>
          <w:color w:val="auto"/>
          <w:szCs w:val="21"/>
        </w:rPr>
        <w:t>.</w:t>
      </w:r>
      <w:r>
        <w:rPr>
          <w:color w:val="auto"/>
          <w:szCs w:val="21"/>
        </w:rPr>
        <w:t>联合体牵头人</w:t>
      </w:r>
      <w:r>
        <w:rPr>
          <w:rFonts w:hint="eastAsia"/>
          <w:color w:val="auto"/>
          <w:szCs w:val="21"/>
        </w:rPr>
        <w:t>合法代表联合体各成员负责本招标项目投标文件编制和合同谈判活动，并代表联合体提交和接收相关的资料、信息及指示，并处理与之有关的一切事务，</w:t>
      </w:r>
      <w:r>
        <w:rPr>
          <w:color w:val="auto"/>
          <w:szCs w:val="21"/>
        </w:rPr>
        <w:t>负责合同实施阶段的主办、组织和协调工作。</w:t>
      </w:r>
    </w:p>
    <w:p>
      <w:pPr>
        <w:topLinePunct/>
        <w:spacing w:line="440" w:lineRule="exact"/>
        <w:ind w:firstLine="420" w:firstLineChars="200"/>
        <w:rPr>
          <w:color w:val="auto"/>
          <w:szCs w:val="21"/>
        </w:rPr>
      </w:pPr>
      <w:r>
        <w:rPr>
          <w:color w:val="auto"/>
          <w:szCs w:val="21"/>
        </w:rPr>
        <w:t>3</w:t>
      </w:r>
      <w:r>
        <w:rPr>
          <w:rFonts w:hint="eastAsia"/>
          <w:color w:val="auto"/>
          <w:szCs w:val="21"/>
        </w:rPr>
        <w:t>.</w:t>
      </w:r>
      <w:r>
        <w:rPr>
          <w:color w:val="auto"/>
          <w:szCs w:val="21"/>
        </w:rPr>
        <w:t>联合体将严格按照招标文件的各项要求，递交投标文件，履行合同，并对外承担连带责任。</w:t>
      </w:r>
    </w:p>
    <w:p>
      <w:pPr>
        <w:topLinePunct/>
        <w:spacing w:line="440" w:lineRule="exact"/>
        <w:ind w:firstLine="420" w:firstLineChars="200"/>
        <w:rPr>
          <w:color w:val="auto"/>
          <w:szCs w:val="21"/>
        </w:rPr>
      </w:pPr>
      <w:r>
        <w:rPr>
          <w:color w:val="auto"/>
          <w:szCs w:val="21"/>
        </w:rPr>
        <w:t>4</w:t>
      </w:r>
      <w:r>
        <w:rPr>
          <w:rFonts w:hint="eastAsia"/>
          <w:color w:val="auto"/>
          <w:szCs w:val="21"/>
        </w:rPr>
        <w:t>.</w:t>
      </w:r>
      <w:r>
        <w:rPr>
          <w:color w:val="auto"/>
          <w:szCs w:val="21"/>
        </w:rPr>
        <w:t>联合体各成员单位内部的职责分工如下：</w:t>
      </w:r>
      <w:r>
        <w:rPr>
          <w:color w:val="auto"/>
          <w:szCs w:val="21"/>
          <w:u w:val="single"/>
        </w:rPr>
        <w:t xml:space="preserve">                 </w:t>
      </w:r>
      <w:r>
        <w:rPr>
          <w:color w:val="auto"/>
          <w:szCs w:val="21"/>
        </w:rPr>
        <w:t xml:space="preserve"> 。</w:t>
      </w:r>
    </w:p>
    <w:p>
      <w:pPr>
        <w:topLinePunct/>
        <w:spacing w:line="440" w:lineRule="exact"/>
        <w:ind w:firstLine="420" w:firstLineChars="200"/>
        <w:rPr>
          <w:color w:val="auto"/>
          <w:szCs w:val="21"/>
        </w:rPr>
      </w:pPr>
      <w:r>
        <w:rPr>
          <w:color w:val="auto"/>
          <w:szCs w:val="21"/>
        </w:rPr>
        <w:t>5</w:t>
      </w:r>
      <w:r>
        <w:rPr>
          <w:rFonts w:hint="eastAsia"/>
          <w:color w:val="auto"/>
          <w:szCs w:val="21"/>
        </w:rPr>
        <w:t>.</w:t>
      </w:r>
      <w:r>
        <w:rPr>
          <w:color w:val="auto"/>
          <w:szCs w:val="21"/>
        </w:rPr>
        <w:t xml:space="preserve">本协议书自签署之日起生效，合同履行完毕后自动失效。 </w:t>
      </w:r>
    </w:p>
    <w:p>
      <w:pPr>
        <w:topLinePunct/>
        <w:spacing w:line="440" w:lineRule="exact"/>
        <w:ind w:firstLine="420" w:firstLineChars="200"/>
        <w:rPr>
          <w:color w:val="auto"/>
          <w:szCs w:val="21"/>
        </w:rPr>
      </w:pPr>
      <w:r>
        <w:rPr>
          <w:color w:val="auto"/>
          <w:szCs w:val="21"/>
        </w:rPr>
        <w:t>6</w:t>
      </w:r>
      <w:r>
        <w:rPr>
          <w:rFonts w:hint="eastAsia"/>
          <w:color w:val="auto"/>
          <w:szCs w:val="21"/>
        </w:rPr>
        <w:t>.</w:t>
      </w:r>
      <w:r>
        <w:rPr>
          <w:color w:val="auto"/>
          <w:szCs w:val="21"/>
        </w:rPr>
        <w:t>本协议书一式</w:t>
      </w:r>
      <w:r>
        <w:rPr>
          <w:color w:val="auto"/>
          <w:szCs w:val="21"/>
          <w:u w:val="single"/>
        </w:rPr>
        <w:t xml:space="preserve">   </w:t>
      </w:r>
      <w:r>
        <w:rPr>
          <w:color w:val="auto"/>
          <w:szCs w:val="21"/>
        </w:rPr>
        <w:t>份，联合体成员和招标人各执一份。</w:t>
      </w:r>
    </w:p>
    <w:p>
      <w:pPr>
        <w:topLinePunct/>
        <w:spacing w:line="440" w:lineRule="exact"/>
        <w:rPr>
          <w:rFonts w:hint="eastAsia"/>
          <w:color w:val="auto"/>
          <w:szCs w:val="21"/>
        </w:rPr>
      </w:pPr>
    </w:p>
    <w:p>
      <w:pPr>
        <w:topLinePunct/>
        <w:spacing w:line="440" w:lineRule="exact"/>
        <w:rPr>
          <w:rFonts w:hint="eastAsia"/>
          <w:color w:val="auto"/>
          <w:szCs w:val="21"/>
        </w:rPr>
      </w:pPr>
    </w:p>
    <w:p>
      <w:pPr>
        <w:topLinePunct/>
        <w:spacing w:line="440" w:lineRule="exact"/>
        <w:jc w:val="right"/>
        <w:rPr>
          <w:color w:val="auto"/>
          <w:szCs w:val="21"/>
        </w:rPr>
      </w:pPr>
      <w:r>
        <w:rPr>
          <w:color w:val="auto"/>
          <w:szCs w:val="21"/>
        </w:rPr>
        <w:t>牵头人名称：</w:t>
      </w:r>
      <w:r>
        <w:rPr>
          <w:color w:val="auto"/>
          <w:szCs w:val="21"/>
          <w:u w:val="single"/>
        </w:rPr>
        <w:t xml:space="preserve">                                 </w:t>
      </w:r>
      <w:r>
        <w:rPr>
          <w:color w:val="auto"/>
          <w:szCs w:val="21"/>
        </w:rPr>
        <w:t>（盖单位章）</w:t>
      </w:r>
    </w:p>
    <w:p>
      <w:pPr>
        <w:topLinePunct/>
        <w:spacing w:line="440" w:lineRule="exact"/>
        <w:jc w:val="right"/>
        <w:rPr>
          <w:color w:val="auto"/>
          <w:szCs w:val="21"/>
        </w:rPr>
      </w:pPr>
      <w:r>
        <w:rPr>
          <w:color w:val="auto"/>
          <w:szCs w:val="21"/>
        </w:rPr>
        <w:t>法定代表人或其委托代理人：</w:t>
      </w:r>
      <w:r>
        <w:rPr>
          <w:color w:val="auto"/>
          <w:szCs w:val="21"/>
          <w:u w:val="single"/>
        </w:rPr>
        <w:t xml:space="preserve">                      </w:t>
      </w:r>
      <w:r>
        <w:rPr>
          <w:color w:val="auto"/>
          <w:szCs w:val="21"/>
        </w:rPr>
        <w:t>（签字</w:t>
      </w:r>
      <w:r>
        <w:rPr>
          <w:rFonts w:hint="eastAsia"/>
          <w:color w:val="auto"/>
          <w:szCs w:val="21"/>
        </w:rPr>
        <w:t>或盖章</w:t>
      </w:r>
      <w:r>
        <w:rPr>
          <w:color w:val="auto"/>
          <w:szCs w:val="21"/>
        </w:rPr>
        <w:t>）</w:t>
      </w:r>
    </w:p>
    <w:p>
      <w:pPr>
        <w:topLinePunct/>
        <w:spacing w:line="440" w:lineRule="exact"/>
        <w:jc w:val="right"/>
        <w:rPr>
          <w:color w:val="auto"/>
          <w:szCs w:val="21"/>
        </w:rPr>
      </w:pPr>
    </w:p>
    <w:p>
      <w:pPr>
        <w:topLinePunct/>
        <w:spacing w:line="440" w:lineRule="exact"/>
        <w:jc w:val="right"/>
        <w:rPr>
          <w:color w:val="auto"/>
          <w:szCs w:val="21"/>
        </w:rPr>
      </w:pPr>
      <w:r>
        <w:rPr>
          <w:color w:val="auto"/>
          <w:szCs w:val="21"/>
        </w:rPr>
        <w:t>成员一名称：</w:t>
      </w:r>
      <w:r>
        <w:rPr>
          <w:color w:val="auto"/>
          <w:szCs w:val="21"/>
          <w:u w:val="single"/>
        </w:rPr>
        <w:t xml:space="preserve">                                 </w:t>
      </w:r>
      <w:r>
        <w:rPr>
          <w:color w:val="auto"/>
          <w:szCs w:val="21"/>
        </w:rPr>
        <w:t>（盖单位章）</w:t>
      </w:r>
    </w:p>
    <w:p>
      <w:pPr>
        <w:topLinePunct/>
        <w:spacing w:line="440" w:lineRule="exact"/>
        <w:jc w:val="right"/>
        <w:rPr>
          <w:color w:val="auto"/>
          <w:szCs w:val="21"/>
        </w:rPr>
      </w:pPr>
      <w:r>
        <w:rPr>
          <w:color w:val="auto"/>
          <w:szCs w:val="21"/>
        </w:rPr>
        <w:t>法定代表人或其委托代理人：</w:t>
      </w:r>
      <w:r>
        <w:rPr>
          <w:color w:val="auto"/>
          <w:szCs w:val="21"/>
          <w:u w:val="single"/>
        </w:rPr>
        <w:t xml:space="preserve">                      </w:t>
      </w:r>
      <w:r>
        <w:rPr>
          <w:color w:val="auto"/>
          <w:szCs w:val="21"/>
        </w:rPr>
        <w:t>（签字</w:t>
      </w:r>
      <w:r>
        <w:rPr>
          <w:rFonts w:hint="eastAsia"/>
          <w:color w:val="auto"/>
          <w:szCs w:val="21"/>
        </w:rPr>
        <w:t>或盖章</w:t>
      </w:r>
      <w:r>
        <w:rPr>
          <w:color w:val="auto"/>
          <w:szCs w:val="21"/>
        </w:rPr>
        <w:t>）</w:t>
      </w:r>
    </w:p>
    <w:p>
      <w:pPr>
        <w:topLinePunct/>
        <w:spacing w:line="440" w:lineRule="exact"/>
        <w:jc w:val="right"/>
        <w:rPr>
          <w:color w:val="auto"/>
          <w:szCs w:val="21"/>
        </w:rPr>
      </w:pPr>
      <w:r>
        <w:rPr>
          <w:color w:val="auto"/>
          <w:szCs w:val="21"/>
        </w:rPr>
        <w:t xml:space="preserve"> </w:t>
      </w:r>
    </w:p>
    <w:p>
      <w:pPr>
        <w:topLinePunct/>
        <w:spacing w:line="440" w:lineRule="exact"/>
        <w:jc w:val="center"/>
        <w:rPr>
          <w:rFonts w:hint="eastAsia"/>
          <w:color w:val="auto"/>
          <w:szCs w:val="21"/>
        </w:rPr>
      </w:pPr>
      <w:r>
        <w:rPr>
          <w:rFonts w:hint="eastAsia"/>
          <w:color w:val="auto"/>
          <w:szCs w:val="21"/>
        </w:rPr>
        <w:t xml:space="preserve">                                ……</w:t>
      </w:r>
    </w:p>
    <w:p>
      <w:pPr>
        <w:topLinePunct/>
        <w:spacing w:line="440" w:lineRule="exact"/>
        <w:jc w:val="center"/>
        <w:rPr>
          <w:color w:val="auto"/>
          <w:szCs w:val="21"/>
        </w:rPr>
      </w:pPr>
    </w:p>
    <w:p>
      <w:pPr>
        <w:ind w:firstLine="2879" w:firstLineChars="1371"/>
        <w:jc w:val="right"/>
        <w:rPr>
          <w:rFonts w:hint="eastAsia"/>
          <w:color w:val="auto"/>
        </w:rPr>
      </w:pPr>
      <w:r>
        <w:rPr>
          <w:color w:val="auto"/>
          <w:u w:val="single"/>
        </w:rPr>
        <w:t xml:space="preserve">        </w:t>
      </w:r>
      <w:r>
        <w:rPr>
          <w:color w:val="auto"/>
        </w:rPr>
        <w:t>年</w:t>
      </w:r>
      <w:r>
        <w:rPr>
          <w:color w:val="auto"/>
          <w:u w:val="single"/>
        </w:rPr>
        <w:t xml:space="preserve">   </w:t>
      </w:r>
      <w:r>
        <w:rPr>
          <w:rFonts w:hint="eastAsia"/>
          <w:color w:val="auto"/>
          <w:u w:val="single"/>
        </w:rPr>
        <w:t xml:space="preserve">   </w:t>
      </w:r>
      <w:r>
        <w:rPr>
          <w:color w:val="auto"/>
          <w:u w:val="single"/>
        </w:rPr>
        <w:t xml:space="preserve"> </w:t>
      </w:r>
      <w:r>
        <w:rPr>
          <w:color w:val="auto"/>
        </w:rPr>
        <w:t>月</w:t>
      </w:r>
      <w:r>
        <w:rPr>
          <w:color w:val="auto"/>
          <w:u w:val="single"/>
        </w:rPr>
        <w:t xml:space="preserve"> </w:t>
      </w:r>
      <w:r>
        <w:rPr>
          <w:rFonts w:hint="eastAsia"/>
          <w:color w:val="auto"/>
          <w:u w:val="single"/>
        </w:rPr>
        <w:t xml:space="preserve">   </w:t>
      </w:r>
      <w:r>
        <w:rPr>
          <w:color w:val="auto"/>
          <w:u w:val="single"/>
        </w:rPr>
        <w:t xml:space="preserve">   </w:t>
      </w:r>
      <w:r>
        <w:rPr>
          <w:color w:val="auto"/>
        </w:rPr>
        <w:t>日</w:t>
      </w:r>
    </w:p>
    <w:p>
      <w:pPr>
        <w:spacing w:line="440" w:lineRule="exact"/>
        <w:jc w:val="center"/>
        <w:rPr>
          <w:rFonts w:hint="eastAsia" w:eastAsia="黑体"/>
          <w:color w:val="auto"/>
          <w:sz w:val="20"/>
          <w:szCs w:val="20"/>
        </w:rPr>
      </w:pPr>
    </w:p>
    <w:p>
      <w:pPr>
        <w:spacing w:line="440" w:lineRule="exact"/>
        <w:jc w:val="center"/>
        <w:rPr>
          <w:rFonts w:hint="eastAsia" w:eastAsia="黑体"/>
          <w:color w:val="auto"/>
          <w:sz w:val="20"/>
          <w:szCs w:val="20"/>
        </w:rPr>
      </w:pPr>
    </w:p>
    <w:p>
      <w:pPr>
        <w:spacing w:line="400" w:lineRule="exact"/>
        <w:rPr>
          <w:rFonts w:ascii="宋体" w:hAnsi="宋体"/>
          <w:color w:val="auto"/>
          <w:szCs w:val="21"/>
        </w:rPr>
      </w:pPr>
      <w:r>
        <w:rPr>
          <w:rFonts w:hint="eastAsia" w:ascii="宋体" w:hAnsi="宋体"/>
          <w:color w:val="auto"/>
          <w:szCs w:val="21"/>
        </w:rPr>
        <w:t>备注：1.本协议书由委托代理人签字的，应附法定代表人签字的授权委托书。</w:t>
      </w:r>
    </w:p>
    <w:p>
      <w:pPr>
        <w:spacing w:line="400" w:lineRule="exact"/>
        <w:ind w:left="840" w:leftChars="300" w:hanging="210" w:hangingChars="100"/>
        <w:rPr>
          <w:rFonts w:hint="eastAsia" w:ascii="宋体" w:hAnsi="宋体"/>
          <w:bCs/>
          <w:color w:val="auto"/>
          <w:szCs w:val="21"/>
        </w:rPr>
      </w:pPr>
      <w:r>
        <w:rPr>
          <w:rFonts w:hint="eastAsia" w:ascii="宋体" w:hAnsi="宋体"/>
          <w:color w:val="auto"/>
          <w:szCs w:val="21"/>
        </w:rPr>
        <w:t>2.招标文件接受联合体投标，且投标人采用联合体投标的，</w:t>
      </w:r>
      <w:r>
        <w:rPr>
          <w:rFonts w:hint="eastAsia" w:ascii="宋体" w:hAnsi="宋体"/>
          <w:bCs/>
          <w:color w:val="auto"/>
          <w:szCs w:val="21"/>
        </w:rPr>
        <w:t>投标文件应按招标文件要求及联合体协议书分工提供相应的评审资料；未采用联合体投标的，投标文件不需要提供联合体协议书，也无须盖单位章和签字。</w:t>
      </w:r>
    </w:p>
    <w:p>
      <w:pPr>
        <w:spacing w:line="400" w:lineRule="exact"/>
        <w:ind w:left="630" w:leftChars="300"/>
        <w:rPr>
          <w:rFonts w:hint="eastAsia" w:ascii="宋体" w:hAnsi="宋体"/>
          <w:color w:val="auto"/>
        </w:rPr>
      </w:pPr>
    </w:p>
    <w:p>
      <w:pPr>
        <w:spacing w:line="400" w:lineRule="exact"/>
        <w:jc w:val="center"/>
        <w:rPr>
          <w:rFonts w:hint="eastAsia" w:ascii="宋体" w:hAnsi="宋体"/>
          <w:strike/>
          <w:color w:val="auto"/>
        </w:rPr>
      </w:pPr>
    </w:p>
    <w:p>
      <w:pPr>
        <w:pStyle w:val="80"/>
        <w:spacing w:before="120" w:after="120" w:afterLines="50"/>
        <w:jc w:val="center"/>
        <w:rPr>
          <w:rFonts w:hint="eastAsia"/>
          <w:b/>
          <w:color w:val="auto"/>
        </w:rPr>
        <w:sectPr>
          <w:pgSz w:w="11906" w:h="16838"/>
          <w:pgMar w:top="1418" w:right="1469" w:bottom="1418" w:left="1418" w:header="851" w:footer="992" w:gutter="0"/>
          <w:pgNumType w:fmt="decimal"/>
          <w:cols w:space="720" w:num="1"/>
          <w:docGrid w:linePitch="312" w:charSpace="0"/>
        </w:sectPr>
      </w:pPr>
      <w:bookmarkStart w:id="2626" w:name="_Toc426496240"/>
      <w:bookmarkStart w:id="2627" w:name="_Toc491089807"/>
    </w:p>
    <w:p>
      <w:pPr>
        <w:pStyle w:val="80"/>
        <w:spacing w:before="120" w:after="120" w:afterLines="50"/>
        <w:jc w:val="center"/>
        <w:rPr>
          <w:rFonts w:hint="eastAsia" w:ascii="黑体" w:hAnsi="宋体"/>
          <w:b/>
          <w:szCs w:val="28"/>
        </w:rPr>
      </w:pPr>
      <w:bookmarkStart w:id="2628" w:name="_Toc57885245"/>
      <w:bookmarkStart w:id="2629" w:name="_Toc26454"/>
      <w:r>
        <w:rPr>
          <w:rFonts w:hint="eastAsia"/>
          <w:b/>
        </w:rPr>
        <w:t>四、投标保证金</w:t>
      </w:r>
      <w:bookmarkEnd w:id="2628"/>
      <w:bookmarkEnd w:id="2629"/>
    </w:p>
    <w:p>
      <w:pPr>
        <w:spacing w:line="460" w:lineRule="exact"/>
        <w:ind w:firstLine="6300" w:firstLineChars="3000"/>
        <w:rPr>
          <w:rFonts w:hint="eastAsia" w:ascii="宋体" w:hAnsi="宋体"/>
          <w:szCs w:val="21"/>
        </w:rPr>
      </w:pPr>
    </w:p>
    <w:p>
      <w:pPr>
        <w:spacing w:line="460" w:lineRule="exact"/>
        <w:ind w:firstLine="6300" w:firstLineChars="3000"/>
        <w:rPr>
          <w:rFonts w:hint="eastAsia" w:ascii="宋体" w:hAnsi="宋体"/>
          <w:szCs w:val="21"/>
        </w:rPr>
      </w:pPr>
    </w:p>
    <w:p>
      <w:pPr>
        <w:spacing w:line="460" w:lineRule="exact"/>
        <w:rPr>
          <w:rFonts w:hint="eastAsia" w:ascii="宋体" w:hAnsi="宋体"/>
          <w:szCs w:val="21"/>
        </w:rPr>
      </w:pPr>
      <w:r>
        <w:rPr>
          <w:rFonts w:hint="eastAsia" w:ascii="宋体" w:hAnsi="宋体"/>
          <w:szCs w:val="21"/>
          <w:u w:val="single"/>
        </w:rPr>
        <w:t xml:space="preserve">                     </w:t>
      </w:r>
      <w:r>
        <w:rPr>
          <w:rFonts w:hint="eastAsia" w:ascii="宋体" w:hAnsi="宋体"/>
          <w:szCs w:val="21"/>
        </w:rPr>
        <w:t>（招标人名称）：</w:t>
      </w:r>
    </w:p>
    <w:p>
      <w:pPr>
        <w:spacing w:line="400" w:lineRule="exact"/>
        <w:ind w:firstLine="525" w:firstLineChars="250"/>
        <w:rPr>
          <w:rFonts w:hint="eastAsia"/>
        </w:rPr>
      </w:pPr>
    </w:p>
    <w:p>
      <w:pPr>
        <w:spacing w:line="400" w:lineRule="exact"/>
        <w:ind w:firstLine="525" w:firstLineChars="250"/>
        <w:rPr>
          <w:rFonts w:hint="eastAsia"/>
        </w:rPr>
      </w:pPr>
      <w:r>
        <w:rPr>
          <w:rFonts w:hint="eastAsia"/>
        </w:rPr>
        <w:t>我方于</w:t>
      </w:r>
      <w:r>
        <w:rPr>
          <w:rFonts w:hint="eastAsia"/>
          <w:u w:val="single"/>
        </w:rPr>
        <w:t xml:space="preserve">     </w:t>
      </w:r>
      <w:r>
        <w:rPr>
          <w:rFonts w:hint="eastAsia"/>
        </w:rPr>
        <w:t xml:space="preserve"> 年</w:t>
      </w:r>
      <w:r>
        <w:rPr>
          <w:rFonts w:hint="eastAsia"/>
          <w:u w:val="single"/>
        </w:rPr>
        <w:t xml:space="preserve">    </w:t>
      </w:r>
      <w:r>
        <w:rPr>
          <w:rFonts w:hint="eastAsia"/>
        </w:rPr>
        <w:t>月</w:t>
      </w:r>
      <w:r>
        <w:rPr>
          <w:rFonts w:hint="eastAsia"/>
          <w:u w:val="single"/>
        </w:rPr>
        <w:t xml:space="preserve">    </w:t>
      </w:r>
      <w:r>
        <w:rPr>
          <w:rFonts w:hint="eastAsia"/>
        </w:rPr>
        <w:t xml:space="preserve">日参加 </w:t>
      </w:r>
      <w:r>
        <w:rPr>
          <w:rFonts w:hint="eastAsia"/>
          <w:u w:val="single"/>
        </w:rPr>
        <w:t xml:space="preserve">            </w:t>
      </w:r>
      <w:r>
        <w:rPr>
          <w:rFonts w:hint="eastAsia"/>
        </w:rPr>
        <w:t>（项目名称）</w:t>
      </w:r>
      <w:r>
        <w:rPr>
          <w:rFonts w:hint="eastAsia"/>
          <w:u w:val="single"/>
        </w:rPr>
        <w:t xml:space="preserve">   </w:t>
      </w:r>
      <w:r>
        <w:rPr>
          <w:szCs w:val="21"/>
          <w:u w:val="single"/>
        </w:rPr>
        <w:t xml:space="preserve">          </w:t>
      </w:r>
      <w:r>
        <w:rPr>
          <w:rFonts w:hint="eastAsia"/>
          <w:szCs w:val="21"/>
        </w:rPr>
        <w:t>（</w:t>
      </w:r>
      <w:r>
        <w:rPr>
          <w:szCs w:val="21"/>
        </w:rPr>
        <w:t>标段</w:t>
      </w:r>
      <w:r>
        <w:rPr>
          <w:rFonts w:hint="eastAsia"/>
          <w:szCs w:val="21"/>
        </w:rPr>
        <w:t>名称）</w:t>
      </w:r>
      <w:r>
        <w:rPr>
          <w:rFonts w:hint="eastAsia"/>
        </w:rPr>
        <w:t xml:space="preserve">的投标，我方已按照本项目招标文件的规定提交了金额为 </w:t>
      </w:r>
      <w:r>
        <w:rPr>
          <w:rFonts w:hint="eastAsia"/>
          <w:u w:val="single"/>
        </w:rPr>
        <w:t xml:space="preserve">         </w:t>
      </w:r>
      <w:r>
        <w:rPr>
          <w:rFonts w:hint="eastAsia"/>
        </w:rPr>
        <w:t xml:space="preserve">万元的投标保证金，我方承诺出现以下情形时，你方可不予退还我方提交的投标保证金： </w:t>
      </w:r>
    </w:p>
    <w:p>
      <w:pPr>
        <w:spacing w:line="400" w:lineRule="exact"/>
        <w:ind w:firstLine="420" w:firstLineChars="200"/>
        <w:rPr>
          <w:rFonts w:hint="eastAsia"/>
        </w:rPr>
      </w:pPr>
      <w:r>
        <w:rPr>
          <w:rFonts w:hint="eastAsia"/>
        </w:rPr>
        <w:t xml:space="preserve">1. 在规定的投标有效期内撤销或者修改投标文件。 </w:t>
      </w:r>
    </w:p>
    <w:p>
      <w:pPr>
        <w:spacing w:line="400" w:lineRule="exact"/>
        <w:ind w:firstLine="420" w:firstLineChars="200"/>
        <w:rPr>
          <w:rFonts w:hint="eastAsia"/>
        </w:rPr>
      </w:pPr>
      <w:r>
        <w:rPr>
          <w:rFonts w:hint="eastAsia"/>
        </w:rPr>
        <w:t xml:space="preserve">2. 在收到中标通知书后，无正当理由拒签合同、在签订合同时向招标人提出附加条件或未按招标文件规定提交履约保证金。 </w:t>
      </w:r>
    </w:p>
    <w:p>
      <w:pPr>
        <w:spacing w:line="400" w:lineRule="exact"/>
        <w:ind w:firstLine="420" w:firstLineChars="200"/>
        <w:rPr>
          <w:rFonts w:hint="eastAsia"/>
        </w:rPr>
      </w:pPr>
    </w:p>
    <w:p>
      <w:pPr>
        <w:spacing w:line="400" w:lineRule="exact"/>
        <w:ind w:firstLine="420" w:firstLineChars="200"/>
        <w:rPr>
          <w:rFonts w:hint="eastAsia"/>
        </w:rPr>
      </w:pPr>
    </w:p>
    <w:p>
      <w:pPr>
        <w:spacing w:line="400" w:lineRule="exact"/>
        <w:ind w:firstLine="420" w:firstLineChars="200"/>
        <w:rPr>
          <w:szCs w:val="21"/>
        </w:rPr>
      </w:pPr>
      <w:r>
        <w:t xml:space="preserve"> </w:t>
      </w:r>
      <w:r>
        <w:rPr>
          <w:rFonts w:hint="eastAsia"/>
          <w:szCs w:val="21"/>
        </w:rPr>
        <w:t>附：银行汇款凭证的复印件。</w:t>
      </w:r>
    </w:p>
    <w:p>
      <w:pPr>
        <w:spacing w:line="400" w:lineRule="exact"/>
        <w:jc w:val="center"/>
        <w:rPr>
          <w:rFonts w:hint="eastAsia" w:ascii="宋体" w:hAnsi="宋体"/>
          <w:strike/>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40" w:lineRule="exact"/>
        <w:ind w:firstLine="3675" w:firstLineChars="1750"/>
        <w:rPr>
          <w:szCs w:val="21"/>
        </w:rPr>
      </w:pPr>
      <w:r>
        <w:rPr>
          <w:szCs w:val="21"/>
        </w:rPr>
        <w:t>投 标 人：</w:t>
      </w:r>
      <w:r>
        <w:rPr>
          <w:szCs w:val="21"/>
          <w:u w:val="single"/>
        </w:rPr>
        <w:t xml:space="preserve">                      </w:t>
      </w:r>
      <w:r>
        <w:rPr>
          <w:szCs w:val="21"/>
        </w:rPr>
        <w:t>（盖单位章）</w:t>
      </w:r>
    </w:p>
    <w:p>
      <w:pPr>
        <w:spacing w:line="440" w:lineRule="exact"/>
        <w:ind w:firstLine="3675" w:firstLineChars="1750"/>
        <w:rPr>
          <w:szCs w:val="21"/>
        </w:rPr>
      </w:pPr>
      <w:r>
        <w:rPr>
          <w:rFonts w:hint="eastAsia"/>
          <w:szCs w:val="21"/>
        </w:rPr>
        <w:t xml:space="preserve"> </w:t>
      </w:r>
    </w:p>
    <w:p>
      <w:pPr>
        <w:spacing w:line="400" w:lineRule="exact"/>
        <w:ind w:right="840"/>
        <w:jc w:val="right"/>
        <w:rPr>
          <w:rFonts w:hint="eastAsia" w:ascii="宋体" w:hAnsi="宋体"/>
        </w:rPr>
      </w:pPr>
      <w:r>
        <w:rPr>
          <w:szCs w:val="21"/>
          <w:u w:val="single"/>
        </w:rPr>
        <w:t xml:space="preserve"> </w:t>
      </w: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szCs w:val="21"/>
        </w:rPr>
        <w:t>日</w:t>
      </w: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00" w:lineRule="exact"/>
        <w:jc w:val="center"/>
        <w:rPr>
          <w:rFonts w:hint="eastAsia" w:ascii="宋体" w:hAnsi="宋体"/>
        </w:rPr>
      </w:pPr>
    </w:p>
    <w:p>
      <w:pPr>
        <w:spacing w:line="460" w:lineRule="exact"/>
        <w:rPr>
          <w:rFonts w:hint="eastAsia" w:ascii="宋体" w:hAnsi="宋体"/>
          <w:bCs/>
          <w:szCs w:val="21"/>
        </w:rPr>
      </w:pPr>
      <w:r>
        <w:rPr>
          <w:rFonts w:hint="eastAsia" w:ascii="宋体" w:hAnsi="宋体"/>
          <w:bCs/>
          <w:szCs w:val="21"/>
        </w:rPr>
        <w:t>备注:招标文件</w:t>
      </w:r>
      <w:r>
        <w:rPr>
          <w:rFonts w:hint="eastAsia"/>
          <w:szCs w:val="21"/>
        </w:rPr>
        <w:t>要求以汇款方式提交投标保证金</w:t>
      </w:r>
      <w:r>
        <w:rPr>
          <w:rFonts w:hint="eastAsia" w:ascii="宋体" w:hAnsi="宋体"/>
          <w:bCs/>
          <w:szCs w:val="21"/>
        </w:rPr>
        <w:t>的采用此格式。</w:t>
      </w:r>
    </w:p>
    <w:p>
      <w:pPr>
        <w:pStyle w:val="80"/>
        <w:spacing w:before="120" w:after="120" w:afterLines="50"/>
        <w:jc w:val="center"/>
        <w:rPr>
          <w:rFonts w:hint="eastAsia"/>
          <w:b/>
          <w:color w:val="auto"/>
        </w:rPr>
        <w:sectPr>
          <w:pgSz w:w="11906" w:h="16838"/>
          <w:pgMar w:top="1418" w:right="1469" w:bottom="1418" w:left="1418" w:header="851" w:footer="992" w:gutter="0"/>
          <w:pgNumType w:fmt="decimal"/>
          <w:cols w:space="720" w:num="1"/>
          <w:docGrid w:linePitch="312" w:charSpace="0"/>
        </w:sectPr>
      </w:pPr>
    </w:p>
    <w:p>
      <w:pPr>
        <w:pStyle w:val="80"/>
        <w:spacing w:before="120" w:after="120" w:afterLines="50"/>
        <w:jc w:val="center"/>
        <w:rPr>
          <w:rFonts w:hint="eastAsia" w:ascii="宋体" w:hAnsi="宋体" w:eastAsia="黑体"/>
          <w:color w:val="auto"/>
          <w:szCs w:val="21"/>
          <w:lang w:eastAsia="zh-CN"/>
        </w:rPr>
      </w:pPr>
      <w:bookmarkStart w:id="2630" w:name="_Toc24335"/>
      <w:r>
        <w:rPr>
          <w:rFonts w:hint="eastAsia"/>
          <w:b/>
          <w:color w:val="auto"/>
        </w:rPr>
        <w:t>四、投标保证金</w:t>
      </w:r>
      <w:bookmarkEnd w:id="2626"/>
      <w:bookmarkEnd w:id="2627"/>
      <w:r>
        <w:rPr>
          <w:rFonts w:hint="eastAsia" w:ascii="黑体" w:hAnsi="宋体"/>
          <w:b/>
          <w:color w:val="auto"/>
          <w:szCs w:val="28"/>
          <w:highlight w:val="yellow"/>
          <w:lang w:eastAsia="zh-CN"/>
        </w:rPr>
        <w:t>（保函）</w:t>
      </w:r>
      <w:bookmarkEnd w:id="2630"/>
    </w:p>
    <w:p>
      <w:pPr>
        <w:keepNext w:val="0"/>
        <w:keepLines w:val="0"/>
        <w:pageBreakBefore w:val="0"/>
        <w:widowControl w:val="0"/>
        <w:kinsoku/>
        <w:wordWrap/>
        <w:overflowPunct/>
        <w:topLinePunct w:val="0"/>
        <w:autoSpaceDE/>
        <w:autoSpaceDN/>
        <w:bidi w:val="0"/>
        <w:adjustRightInd/>
        <w:snapToGrid/>
        <w:spacing w:line="320" w:lineRule="exact"/>
        <w:ind w:firstLine="6300" w:firstLineChars="3000"/>
        <w:textAlignment w:val="auto"/>
        <w:rPr>
          <w:rFonts w:hint="eastAsia" w:ascii="宋体" w:hAnsi="宋体"/>
          <w:color w:val="auto"/>
          <w:szCs w:val="21"/>
        </w:rPr>
      </w:pPr>
    </w:p>
    <w:p>
      <w:pPr>
        <w:keepNext w:val="0"/>
        <w:keepLines w:val="0"/>
        <w:pageBreakBefore w:val="0"/>
        <w:widowControl w:val="0"/>
        <w:kinsoku/>
        <w:wordWrap/>
        <w:overflowPunct/>
        <w:topLinePunct w:val="0"/>
        <w:autoSpaceDE/>
        <w:autoSpaceDN/>
        <w:bidi w:val="0"/>
        <w:adjustRightInd/>
        <w:snapToGrid/>
        <w:spacing w:line="340" w:lineRule="exact"/>
        <w:ind w:firstLine="6300" w:firstLineChars="3000"/>
        <w:textAlignment w:val="auto"/>
        <w:rPr>
          <w:rFonts w:hint="eastAsia" w:ascii="宋体" w:hAnsi="宋体"/>
          <w:szCs w:val="21"/>
          <w:highlight w:val="yellow"/>
        </w:rPr>
      </w:pPr>
      <w:r>
        <w:rPr>
          <w:rFonts w:hint="eastAsia" w:ascii="宋体" w:hAnsi="宋体"/>
          <w:szCs w:val="21"/>
          <w:highlight w:val="yellow"/>
        </w:rPr>
        <w:t>保函编号：</w:t>
      </w:r>
      <w:r>
        <w:rPr>
          <w:rFonts w:hint="eastAsia" w:ascii="宋体" w:hAnsi="宋体"/>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jc w:val="center"/>
        <w:textAlignment w:val="auto"/>
        <w:rPr>
          <w:rFonts w:hint="eastAsia" w:ascii="宋体" w:hAnsi="宋体" w:eastAsia="宋体" w:cs="宋体"/>
          <w:sz w:val="21"/>
          <w:szCs w:val="21"/>
          <w:highlight w:val="yellow"/>
        </w:rPr>
      </w:pP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（招标人名称）：</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鉴于：</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（下称“投标人”）根据贵方于</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日发出的编号为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的招标文件/标书拟向贵方投标承接</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项目。根据招标文件/标书，投标人需向贵方提交电子投标保函。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根据保函申请人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的申请，我行（下称“保证人”）在此向贵方（下称“受益人”）开立不可撤销，担保金额累计不超过</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（币种）</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元（大写）的投标保函（下称“本保函”）。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一、本保函为独立保函，见索即付。保证人承诺，在本保函有效期内（保函有效期为该项目的投标有效期，延长投标有效期的，保函有效期顺延）收到受益人提交的索赔文件且符合本保函约定的，保证人将在收到索赔文件次日起十个工作日内在担保金额内向受益人付款。索赔文件约定如下：</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1.经受益人有权签字人签字、加盖受益人公章的书面索赔声明正本，索赔声明须注明本保函编号并申明如下事实：</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（1）投标人在投标有效期内撤销投标； </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（2）投标人中标后未与受益人签约； </w:t>
      </w:r>
    </w:p>
    <w:p>
      <w:pPr>
        <w:keepNext w:val="0"/>
        <w:keepLines w:val="0"/>
        <w:pageBreakBefore w:val="0"/>
        <w:widowControl w:val="0"/>
        <w:kinsoku/>
        <w:wordWrap/>
        <w:overflowPunct/>
        <w:topLinePunct w:val="0"/>
        <w:autoSpaceDE/>
        <w:autoSpaceDN/>
        <w:bidi w:val="0"/>
        <w:adjustRightInd/>
        <w:snapToGrid/>
        <w:spacing w:line="340" w:lineRule="exact"/>
        <w:ind w:firstLine="57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（3）投标人中标后未向受益人提交可接受的履约保函；</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（4）投标人由于违法行为被取消投标资格或中标无效的。</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（5）投标人以其他方式放弃中标的。</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u w:val="single"/>
        </w:rPr>
      </w:pPr>
      <w:r>
        <w:rPr>
          <w:rFonts w:hint="eastAsia" w:ascii="宋体" w:hAnsi="宋体" w:eastAsia="宋体" w:cs="宋体"/>
          <w:sz w:val="21"/>
          <w:szCs w:val="21"/>
          <w:highlight w:val="yellow"/>
        </w:rPr>
        <w:t>2.为确保索赔文件的真实性，索赔文件须经受益人开户行确认签字、盖章真实、有效并经其提交保证人，寄送地址为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二、受益人将主合同项下债权转让第三人时需经保证人书面同意，否则保证人在本保函项下的担保责任自动解除。</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三、本保函不得转让、质押。</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四、本保函一经开立即生效，于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日保证人对公营业时间结束时失效（若该日为非银行营业时间，则以该日之前的最后一个银行营业日为准）。本保函自失效日起均视为自动失效，保证人在本保函项下的保证责任和义务自动解除。</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 xml:space="preserve">五、本保函适用中华人民共和国法律，受中华人民共和国法律管辖。在本保函履行期间，如发生争议，各当事人首先应协商解决。协商不能解决的，任何一方可向保证人所在地有管辖权的法院提起诉讼。        </w:t>
      </w:r>
    </w:p>
    <w:p>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rPr>
          <w:rFonts w:hint="eastAsia" w:ascii="宋体" w:hAnsi="宋体" w:eastAsia="宋体" w:cs="宋体"/>
          <w:sz w:val="21"/>
          <w:szCs w:val="21"/>
          <w:highlight w:val="yellow"/>
        </w:rPr>
      </w:pP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担保人名称：</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（盖单位章）</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法定代表人或其委托代理人：</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（签字）</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地    址：</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邮政编码：</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ind w:firstLine="2100" w:firstLineChars="1000"/>
        <w:textAlignment w:val="auto"/>
        <w:rPr>
          <w:rFonts w:hint="eastAsia" w:ascii="宋体" w:hAnsi="宋体" w:eastAsia="宋体" w:cs="宋体"/>
          <w:sz w:val="21"/>
          <w:szCs w:val="21"/>
          <w:highlight w:val="yellow"/>
        </w:rPr>
      </w:pPr>
      <w:r>
        <w:rPr>
          <w:rFonts w:hint="eastAsia" w:ascii="宋体" w:hAnsi="宋体" w:eastAsia="宋体" w:cs="宋体"/>
          <w:sz w:val="21"/>
          <w:szCs w:val="21"/>
          <w:highlight w:val="yellow"/>
        </w:rPr>
        <w:t>电    话：</w:t>
      </w:r>
      <w:r>
        <w:rPr>
          <w:rFonts w:hint="eastAsia" w:ascii="宋体" w:hAnsi="宋体" w:eastAsia="宋体" w:cs="宋体"/>
          <w:sz w:val="21"/>
          <w:szCs w:val="21"/>
          <w:highlight w:val="yellow"/>
          <w:u w:val="single"/>
        </w:rPr>
        <w:t xml:space="preserve">                                             </w:t>
      </w:r>
    </w:p>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宋体" w:hAnsi="宋体"/>
          <w:bCs/>
          <w:color w:val="auto"/>
          <w:szCs w:val="21"/>
          <w:highlight w:val="yellow"/>
        </w:rPr>
      </w:pPr>
      <w:r>
        <w:rPr>
          <w:rFonts w:hint="eastAsia" w:ascii="宋体" w:hAnsi="宋体" w:eastAsia="宋体" w:cs="宋体"/>
          <w:sz w:val="21"/>
          <w:szCs w:val="21"/>
          <w:highlight w:val="yellow"/>
          <w:lang w:val="en-US" w:eastAsia="zh-CN"/>
        </w:rPr>
        <w:t xml:space="preserve">                    开具日期：</w:t>
      </w:r>
      <w:r>
        <w:rPr>
          <w:rFonts w:hint="eastAsia" w:ascii="宋体" w:hAnsi="宋体" w:eastAsia="宋体" w:cs="宋体"/>
          <w:sz w:val="21"/>
          <w:szCs w:val="21"/>
          <w:highlight w:val="yellow"/>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年</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月</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u w:val="single"/>
          <w:lang w:val="en-US" w:eastAsia="zh-CN"/>
        </w:rPr>
        <w:t xml:space="preserve">      </w:t>
      </w:r>
      <w:r>
        <w:rPr>
          <w:rFonts w:hint="eastAsia" w:ascii="宋体" w:hAnsi="宋体" w:eastAsia="宋体" w:cs="宋体"/>
          <w:sz w:val="21"/>
          <w:szCs w:val="21"/>
          <w:highlight w:val="yellow"/>
          <w:u w:val="single"/>
        </w:rPr>
        <w:t xml:space="preserve">   </w:t>
      </w:r>
      <w:r>
        <w:rPr>
          <w:rFonts w:hint="eastAsia" w:ascii="宋体" w:hAnsi="宋体" w:eastAsia="宋体" w:cs="宋体"/>
          <w:sz w:val="21"/>
          <w:szCs w:val="21"/>
          <w:highlight w:val="yellow"/>
        </w:rPr>
        <w:t>日</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bCs/>
          <w:color w:val="auto"/>
          <w:szCs w:val="21"/>
          <w:highlight w:val="yellow"/>
        </w:rPr>
      </w:pPr>
    </w:p>
    <w:p>
      <w:pPr>
        <w:spacing w:line="460" w:lineRule="exact"/>
        <w:rPr>
          <w:rFonts w:hint="eastAsia" w:ascii="宋体" w:hAnsi="宋体"/>
          <w:bCs/>
          <w:color w:val="auto"/>
          <w:szCs w:val="21"/>
        </w:rPr>
      </w:pPr>
    </w:p>
    <w:p>
      <w:pPr>
        <w:pStyle w:val="80"/>
        <w:spacing w:before="120" w:after="120" w:afterLines="50"/>
        <w:jc w:val="center"/>
        <w:rPr>
          <w:rFonts w:ascii="宋体" w:hAnsi="宋体"/>
          <w:b/>
          <w:bCs/>
          <w:color w:val="auto"/>
          <w:szCs w:val="21"/>
        </w:rPr>
      </w:pPr>
      <w:bookmarkStart w:id="2631" w:name="_Toc9288"/>
      <w:r>
        <w:rPr>
          <w:rFonts w:hint="eastAsia" w:ascii="宋体" w:hAnsi="宋体"/>
          <w:b/>
          <w:bCs/>
          <w:color w:val="auto"/>
          <w:szCs w:val="21"/>
        </w:rPr>
        <w:t>五</w:t>
      </w:r>
      <w:bookmarkStart w:id="2632" w:name="_Toc491089808"/>
      <w:bookmarkStart w:id="2633" w:name="_Toc387753632"/>
      <w:bookmarkStart w:id="2634" w:name="_Toc229305426"/>
      <w:r>
        <w:rPr>
          <w:b/>
          <w:color w:val="auto"/>
        </w:rPr>
        <w:t>、施工组织设计</w:t>
      </w:r>
      <w:bookmarkEnd w:id="2631"/>
      <w:bookmarkEnd w:id="2632"/>
      <w:bookmarkEnd w:id="2633"/>
      <w:bookmarkEnd w:id="2634"/>
    </w:p>
    <w:p>
      <w:pPr>
        <w:spacing w:line="440" w:lineRule="exact"/>
        <w:rPr>
          <w:rFonts w:eastAsia="黑体"/>
          <w:color w:val="auto"/>
          <w:szCs w:val="21"/>
        </w:rPr>
      </w:pPr>
    </w:p>
    <w:p>
      <w:pPr>
        <w:spacing w:after="120" w:afterLines="50" w:line="420" w:lineRule="exact"/>
        <w:ind w:firstLine="420" w:firstLineChars="200"/>
        <w:rPr>
          <w:rFonts w:hint="eastAsia" w:ascii="宋体" w:hAnsi="宋体"/>
          <w:color w:val="auto"/>
          <w:szCs w:val="21"/>
        </w:rPr>
      </w:pPr>
      <w:r>
        <w:rPr>
          <w:rFonts w:hint="eastAsia"/>
          <w:color w:val="auto"/>
          <w:szCs w:val="21"/>
        </w:rPr>
        <w:t xml:space="preserve">1. </w:t>
      </w:r>
      <w:r>
        <w:rPr>
          <w:color w:val="auto"/>
          <w:szCs w:val="21"/>
        </w:rPr>
        <w:t>投</w:t>
      </w:r>
      <w:r>
        <w:rPr>
          <w:rFonts w:hint="eastAsia" w:ascii="宋体" w:hAnsi="宋体"/>
          <w:color w:val="auto"/>
          <w:szCs w:val="21"/>
        </w:rPr>
        <w:t>标人应根据招标文件和对现场的勘察情况，采用文字并结合图表形式，参照中华人民共和国水利行业标准《</w:t>
      </w:r>
      <w:r>
        <w:rPr>
          <w:rFonts w:hint="eastAsia"/>
          <w:color w:val="auto"/>
        </w:rPr>
        <w:t>水利水电工程施工组织设计规范》（SL 303）</w:t>
      </w:r>
      <w:r>
        <w:rPr>
          <w:rFonts w:hint="eastAsia" w:ascii="宋体" w:hAnsi="宋体"/>
          <w:color w:val="auto"/>
          <w:szCs w:val="21"/>
        </w:rPr>
        <w:t>的要求，编制本工程的施工组织设计，</w:t>
      </w:r>
      <w:r>
        <w:rPr>
          <w:rFonts w:hint="eastAsia"/>
          <w:color w:val="auto"/>
          <w:szCs w:val="21"/>
        </w:rPr>
        <w:t>施工组织设计应附的文字说明</w:t>
      </w:r>
      <w:r>
        <w:rPr>
          <w:rFonts w:hint="eastAsia" w:ascii="宋体" w:hAnsi="宋体"/>
          <w:color w:val="auto"/>
          <w:szCs w:val="21"/>
        </w:rPr>
        <w:t>，其要点如下：</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6431"/>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ascii="宋体" w:hAnsi="宋体"/>
                <w:color w:val="auto"/>
                <w:szCs w:val="21"/>
              </w:rPr>
            </w:pPr>
            <w:r>
              <w:rPr>
                <w:rFonts w:ascii="宋体" w:hAnsi="宋体"/>
                <w:color w:val="auto"/>
                <w:szCs w:val="21"/>
              </w:rPr>
              <w:t>序号</w:t>
            </w:r>
          </w:p>
        </w:tc>
        <w:tc>
          <w:tcPr>
            <w:tcW w:w="3482" w:type="pct"/>
            <w:noWrap w:val="0"/>
            <w:vAlign w:val="center"/>
          </w:tcPr>
          <w:p>
            <w:pPr>
              <w:jc w:val="center"/>
              <w:rPr>
                <w:rFonts w:ascii="宋体" w:hAnsi="宋体"/>
                <w:color w:val="auto"/>
                <w:szCs w:val="21"/>
              </w:rPr>
            </w:pPr>
            <w:r>
              <w:rPr>
                <w:rFonts w:ascii="宋体" w:hAnsi="宋体"/>
                <w:color w:val="auto"/>
                <w:szCs w:val="21"/>
              </w:rPr>
              <w:t>名           称</w:t>
            </w:r>
          </w:p>
        </w:tc>
        <w:tc>
          <w:tcPr>
            <w:tcW w:w="861" w:type="pct"/>
            <w:noWrap w:val="0"/>
            <w:vAlign w:val="center"/>
          </w:tcPr>
          <w:p>
            <w:pPr>
              <w:jc w:val="center"/>
              <w:rPr>
                <w:rFonts w:ascii="宋体" w:hAnsi="宋体"/>
                <w:color w:val="auto"/>
                <w:szCs w:val="21"/>
              </w:rPr>
            </w:pPr>
            <w:r>
              <w:rPr>
                <w:rFonts w:hint="eastAsia"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1</w:t>
            </w:r>
          </w:p>
        </w:tc>
        <w:tc>
          <w:tcPr>
            <w:tcW w:w="3482" w:type="pct"/>
            <w:noWrap w:val="0"/>
            <w:vAlign w:val="center"/>
          </w:tcPr>
          <w:p>
            <w:pPr>
              <w:rPr>
                <w:color w:val="auto"/>
              </w:rPr>
            </w:pPr>
            <w:r>
              <w:rPr>
                <w:rFonts w:hint="eastAsia" w:ascii="宋体" w:hAnsi="宋体"/>
                <w:color w:val="auto"/>
                <w:szCs w:val="21"/>
              </w:rPr>
              <w:t>项目理解</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2</w:t>
            </w:r>
          </w:p>
        </w:tc>
        <w:tc>
          <w:tcPr>
            <w:tcW w:w="3482" w:type="pct"/>
            <w:noWrap w:val="0"/>
            <w:vAlign w:val="center"/>
          </w:tcPr>
          <w:p>
            <w:pPr>
              <w:rPr>
                <w:rFonts w:hint="eastAsia" w:ascii="宋体" w:hAnsi="宋体"/>
                <w:color w:val="auto"/>
                <w:szCs w:val="21"/>
              </w:rPr>
            </w:pPr>
            <w:r>
              <w:rPr>
                <w:rFonts w:hint="eastAsia" w:ascii="宋体" w:hAnsi="宋体"/>
                <w:color w:val="auto"/>
                <w:szCs w:val="21"/>
              </w:rPr>
              <w:t>施工总体布置</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3</w:t>
            </w:r>
          </w:p>
        </w:tc>
        <w:tc>
          <w:tcPr>
            <w:tcW w:w="3482" w:type="pct"/>
            <w:noWrap w:val="0"/>
            <w:vAlign w:val="center"/>
          </w:tcPr>
          <w:p>
            <w:pPr>
              <w:rPr>
                <w:rFonts w:ascii="宋体" w:hAnsi="宋体"/>
                <w:color w:val="auto"/>
                <w:szCs w:val="21"/>
              </w:rPr>
            </w:pPr>
            <w:r>
              <w:rPr>
                <w:rFonts w:hint="eastAsia" w:ascii="宋体" w:hAnsi="宋体"/>
                <w:color w:val="auto"/>
                <w:szCs w:val="21"/>
              </w:rPr>
              <w:t>施工方案与技术措施</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4</w:t>
            </w:r>
          </w:p>
        </w:tc>
        <w:tc>
          <w:tcPr>
            <w:tcW w:w="3482" w:type="pct"/>
            <w:noWrap w:val="0"/>
            <w:vAlign w:val="center"/>
          </w:tcPr>
          <w:p>
            <w:pPr>
              <w:rPr>
                <w:rFonts w:ascii="宋体" w:hAnsi="宋体"/>
                <w:color w:val="auto"/>
                <w:szCs w:val="21"/>
              </w:rPr>
            </w:pPr>
            <w:r>
              <w:rPr>
                <w:rFonts w:hint="eastAsia" w:ascii="宋体" w:hAnsi="宋体"/>
                <w:color w:val="auto"/>
                <w:szCs w:val="21"/>
              </w:rPr>
              <w:t>质量体系与措施</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5</w:t>
            </w:r>
          </w:p>
        </w:tc>
        <w:tc>
          <w:tcPr>
            <w:tcW w:w="3482" w:type="pct"/>
            <w:noWrap w:val="0"/>
            <w:vAlign w:val="center"/>
          </w:tcPr>
          <w:p>
            <w:pPr>
              <w:rPr>
                <w:rFonts w:ascii="宋体" w:hAnsi="宋体"/>
                <w:color w:val="auto"/>
                <w:szCs w:val="21"/>
              </w:rPr>
            </w:pPr>
            <w:r>
              <w:rPr>
                <w:rFonts w:hint="eastAsia" w:ascii="宋体" w:hAnsi="宋体"/>
                <w:color w:val="auto"/>
                <w:szCs w:val="21"/>
              </w:rPr>
              <w:t>安全生产管理体系与措施</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6</w:t>
            </w:r>
          </w:p>
        </w:tc>
        <w:tc>
          <w:tcPr>
            <w:tcW w:w="3482" w:type="pct"/>
            <w:noWrap w:val="0"/>
            <w:vAlign w:val="center"/>
          </w:tcPr>
          <w:p>
            <w:pPr>
              <w:rPr>
                <w:rFonts w:ascii="宋体" w:hAnsi="宋体"/>
                <w:color w:val="auto"/>
                <w:szCs w:val="21"/>
              </w:rPr>
            </w:pPr>
            <w:r>
              <w:rPr>
                <w:rFonts w:hint="eastAsia" w:ascii="宋体" w:hAnsi="宋体"/>
                <w:color w:val="auto"/>
                <w:szCs w:val="21"/>
              </w:rPr>
              <w:t>文明施工管理体系与措施</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7</w:t>
            </w:r>
          </w:p>
        </w:tc>
        <w:tc>
          <w:tcPr>
            <w:tcW w:w="3482" w:type="pct"/>
            <w:noWrap w:val="0"/>
            <w:vAlign w:val="center"/>
          </w:tcPr>
          <w:p>
            <w:pPr>
              <w:rPr>
                <w:rFonts w:hint="eastAsia" w:ascii="宋体" w:hAnsi="宋体"/>
                <w:color w:val="auto"/>
                <w:szCs w:val="21"/>
              </w:rPr>
            </w:pPr>
            <w:r>
              <w:rPr>
                <w:rFonts w:hint="eastAsia" w:ascii="宋体" w:hAnsi="宋体"/>
                <w:color w:val="auto"/>
                <w:szCs w:val="21"/>
              </w:rPr>
              <w:t>工程进度计划与措施</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8</w:t>
            </w:r>
          </w:p>
        </w:tc>
        <w:tc>
          <w:tcPr>
            <w:tcW w:w="3482" w:type="pct"/>
            <w:noWrap w:val="0"/>
            <w:vAlign w:val="center"/>
          </w:tcPr>
          <w:p>
            <w:pPr>
              <w:rPr>
                <w:rFonts w:hint="eastAsia" w:ascii="宋体" w:hAnsi="宋体"/>
                <w:color w:val="auto"/>
                <w:szCs w:val="21"/>
              </w:rPr>
            </w:pPr>
            <w:r>
              <w:rPr>
                <w:rFonts w:hint="eastAsia" w:ascii="宋体" w:hAnsi="宋体"/>
                <w:color w:val="auto"/>
                <w:szCs w:val="21"/>
              </w:rPr>
              <w:t>资源配备计划</w:t>
            </w:r>
          </w:p>
        </w:tc>
        <w:tc>
          <w:tcPr>
            <w:tcW w:w="861" w:type="pct"/>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57" w:type="pct"/>
            <w:noWrap w:val="0"/>
            <w:vAlign w:val="center"/>
          </w:tcPr>
          <w:p>
            <w:pPr>
              <w:jc w:val="center"/>
              <w:rPr>
                <w:rFonts w:hint="eastAsia"/>
                <w:color w:val="auto"/>
              </w:rPr>
            </w:pPr>
            <w:r>
              <w:rPr>
                <w:rFonts w:hint="eastAsia"/>
                <w:color w:val="auto"/>
              </w:rPr>
              <w:t>……</w:t>
            </w:r>
          </w:p>
        </w:tc>
        <w:tc>
          <w:tcPr>
            <w:tcW w:w="3482" w:type="pct"/>
            <w:noWrap w:val="0"/>
            <w:vAlign w:val="center"/>
          </w:tcPr>
          <w:p>
            <w:pPr>
              <w:rPr>
                <w:rFonts w:hint="eastAsia" w:ascii="宋体" w:hAnsi="宋体"/>
                <w:color w:val="auto"/>
                <w:szCs w:val="21"/>
              </w:rPr>
            </w:pPr>
            <w:r>
              <w:rPr>
                <w:rFonts w:hint="eastAsia" w:ascii="宋体" w:hAnsi="宋体"/>
                <w:color w:val="auto"/>
                <w:szCs w:val="21"/>
              </w:rPr>
              <w:t>……</w:t>
            </w:r>
          </w:p>
        </w:tc>
        <w:tc>
          <w:tcPr>
            <w:tcW w:w="861" w:type="pct"/>
            <w:noWrap w:val="0"/>
            <w:vAlign w:val="center"/>
          </w:tcPr>
          <w:p>
            <w:pPr>
              <w:jc w:val="center"/>
              <w:rPr>
                <w:color w:val="auto"/>
              </w:rPr>
            </w:pPr>
          </w:p>
        </w:tc>
      </w:tr>
    </w:tbl>
    <w:p>
      <w:pPr>
        <w:spacing w:line="420" w:lineRule="exact"/>
        <w:ind w:firstLine="420" w:firstLineChars="200"/>
        <w:rPr>
          <w:rFonts w:ascii="宋体" w:hAnsi="宋体"/>
          <w:color w:val="auto"/>
          <w:szCs w:val="21"/>
        </w:rPr>
      </w:pPr>
      <w:r>
        <w:rPr>
          <w:rFonts w:hint="eastAsia"/>
          <w:color w:val="auto"/>
          <w:szCs w:val="21"/>
        </w:rPr>
        <w:t xml:space="preserve">2. </w:t>
      </w:r>
      <w:r>
        <w:rPr>
          <w:color w:val="auto"/>
          <w:szCs w:val="21"/>
        </w:rPr>
        <w:t>施工组织设计除采用文字表述外</w:t>
      </w:r>
      <w:r>
        <w:rPr>
          <w:rFonts w:hint="eastAsia"/>
          <w:color w:val="auto"/>
          <w:szCs w:val="21"/>
        </w:rPr>
        <w:t>应</w:t>
      </w:r>
      <w:r>
        <w:rPr>
          <w:color w:val="auto"/>
          <w:szCs w:val="21"/>
        </w:rPr>
        <w:t>附下列图表</w:t>
      </w:r>
      <w:r>
        <w:rPr>
          <w:rFonts w:hint="eastAsia"/>
          <w:color w:val="auto"/>
          <w:szCs w:val="21"/>
        </w:rPr>
        <w:t>，</w:t>
      </w:r>
      <w:r>
        <w:rPr>
          <w:color w:val="auto"/>
          <w:szCs w:val="21"/>
        </w:rPr>
        <w:t>图表及格式要求附后。</w:t>
      </w:r>
      <w:r>
        <w:rPr>
          <w:rFonts w:hint="eastAsia" w:ascii="宋体" w:hAnsi="宋体"/>
          <w:color w:val="auto"/>
          <w:szCs w:val="21"/>
        </w:rPr>
        <w:t>下述表格应按照章节内容，按给定的格式附在相应的章节中。</w:t>
      </w:r>
    </w:p>
    <w:p>
      <w:pPr>
        <w:tabs>
          <w:tab w:val="left" w:pos="720"/>
        </w:tabs>
        <w:spacing w:line="440" w:lineRule="exact"/>
        <w:ind w:firstLine="756" w:firstLineChars="360"/>
        <w:rPr>
          <w:rFonts w:hint="eastAsia"/>
          <w:color w:val="auto"/>
          <w:szCs w:val="21"/>
        </w:rPr>
      </w:pPr>
      <w:r>
        <w:rPr>
          <w:color w:val="auto"/>
          <w:szCs w:val="21"/>
        </w:rPr>
        <w:t>附表一  拟投入本标段的主要施工设备表</w:t>
      </w:r>
    </w:p>
    <w:p>
      <w:pPr>
        <w:tabs>
          <w:tab w:val="left" w:pos="720"/>
        </w:tabs>
        <w:spacing w:line="440" w:lineRule="exact"/>
        <w:ind w:firstLine="756" w:firstLineChars="360"/>
        <w:rPr>
          <w:color w:val="auto"/>
          <w:szCs w:val="21"/>
        </w:rPr>
      </w:pPr>
      <w:r>
        <w:rPr>
          <w:color w:val="auto"/>
          <w:szCs w:val="21"/>
        </w:rPr>
        <w:t>附表二  拟投入本标段的</w:t>
      </w:r>
      <w:r>
        <w:rPr>
          <w:rFonts w:hint="eastAsia"/>
          <w:color w:val="auto"/>
          <w:szCs w:val="21"/>
        </w:rPr>
        <w:t>试验</w:t>
      </w:r>
      <w:r>
        <w:rPr>
          <w:color w:val="auto"/>
          <w:szCs w:val="21"/>
        </w:rPr>
        <w:t>和检测仪器设备表</w:t>
      </w:r>
    </w:p>
    <w:p>
      <w:pPr>
        <w:tabs>
          <w:tab w:val="left" w:pos="720"/>
        </w:tabs>
        <w:spacing w:line="440" w:lineRule="exact"/>
        <w:ind w:firstLine="756" w:firstLineChars="360"/>
        <w:rPr>
          <w:rFonts w:hint="eastAsia"/>
          <w:color w:val="auto"/>
          <w:szCs w:val="21"/>
        </w:rPr>
      </w:pPr>
      <w:r>
        <w:rPr>
          <w:color w:val="auto"/>
          <w:szCs w:val="21"/>
        </w:rPr>
        <w:t>附表三  拟投入本标段的劳动力计划表</w:t>
      </w:r>
    </w:p>
    <w:p>
      <w:pPr>
        <w:tabs>
          <w:tab w:val="left" w:pos="720"/>
        </w:tabs>
        <w:spacing w:line="440" w:lineRule="exact"/>
        <w:ind w:firstLine="756" w:firstLineChars="360"/>
        <w:rPr>
          <w:rFonts w:hint="eastAsia"/>
          <w:color w:val="auto"/>
          <w:szCs w:val="21"/>
        </w:rPr>
      </w:pPr>
      <w:r>
        <w:rPr>
          <w:color w:val="auto"/>
          <w:szCs w:val="21"/>
        </w:rPr>
        <w:t>附表四  计划</w:t>
      </w:r>
      <w:r>
        <w:rPr>
          <w:rFonts w:hint="eastAsia"/>
          <w:color w:val="auto"/>
          <w:szCs w:val="21"/>
        </w:rPr>
        <w:t>开工日期</w:t>
      </w:r>
      <w:r>
        <w:rPr>
          <w:color w:val="auto"/>
          <w:szCs w:val="21"/>
        </w:rPr>
        <w:t>、</w:t>
      </w:r>
      <w:r>
        <w:rPr>
          <w:rFonts w:hint="eastAsia"/>
          <w:color w:val="auto"/>
        </w:rPr>
        <w:t>完工</w:t>
      </w:r>
      <w:r>
        <w:rPr>
          <w:color w:val="auto"/>
          <w:szCs w:val="21"/>
        </w:rPr>
        <w:t>日期和施工进度网络图</w:t>
      </w:r>
    </w:p>
    <w:p>
      <w:pPr>
        <w:tabs>
          <w:tab w:val="left" w:pos="720"/>
        </w:tabs>
        <w:spacing w:line="440" w:lineRule="exact"/>
        <w:ind w:firstLine="756" w:firstLineChars="360"/>
        <w:rPr>
          <w:rFonts w:hint="eastAsia"/>
          <w:color w:val="auto"/>
          <w:szCs w:val="21"/>
        </w:rPr>
      </w:pPr>
      <w:r>
        <w:rPr>
          <w:color w:val="auto"/>
          <w:szCs w:val="21"/>
        </w:rPr>
        <w:t>附表五  施工总平面图</w:t>
      </w:r>
    </w:p>
    <w:p>
      <w:pPr>
        <w:tabs>
          <w:tab w:val="left" w:pos="720"/>
        </w:tabs>
        <w:spacing w:line="440" w:lineRule="exact"/>
        <w:ind w:firstLine="756" w:firstLineChars="360"/>
        <w:rPr>
          <w:rFonts w:hint="eastAsia"/>
          <w:color w:val="auto"/>
          <w:szCs w:val="21"/>
        </w:rPr>
      </w:pPr>
      <w:r>
        <w:rPr>
          <w:color w:val="auto"/>
          <w:szCs w:val="21"/>
        </w:rPr>
        <w:t>附表六  临时用地表</w:t>
      </w:r>
    </w:p>
    <w:p>
      <w:pPr>
        <w:tabs>
          <w:tab w:val="left" w:pos="720"/>
        </w:tabs>
        <w:spacing w:line="440" w:lineRule="exact"/>
        <w:ind w:firstLine="756" w:firstLineChars="360"/>
        <w:rPr>
          <w:rFonts w:hint="eastAsia"/>
          <w:color w:val="auto"/>
          <w:szCs w:val="21"/>
        </w:rPr>
      </w:pPr>
    </w:p>
    <w:p>
      <w:pPr>
        <w:tabs>
          <w:tab w:val="left" w:pos="720"/>
        </w:tabs>
        <w:spacing w:line="440" w:lineRule="exact"/>
        <w:ind w:firstLine="756" w:firstLineChars="360"/>
        <w:rPr>
          <w:rFonts w:hint="eastAsia"/>
          <w:color w:val="auto"/>
          <w:szCs w:val="21"/>
        </w:rPr>
      </w:pPr>
    </w:p>
    <w:p>
      <w:pPr>
        <w:tabs>
          <w:tab w:val="left" w:pos="720"/>
        </w:tabs>
        <w:spacing w:line="440" w:lineRule="exact"/>
        <w:ind w:firstLine="756" w:firstLineChars="360"/>
        <w:rPr>
          <w:rFonts w:hint="eastAsia"/>
          <w:color w:val="auto"/>
          <w:szCs w:val="21"/>
        </w:rPr>
      </w:pPr>
    </w:p>
    <w:p>
      <w:pPr>
        <w:tabs>
          <w:tab w:val="left" w:pos="720"/>
        </w:tabs>
        <w:spacing w:line="440" w:lineRule="exact"/>
        <w:ind w:firstLine="756" w:firstLineChars="360"/>
        <w:rPr>
          <w:rFonts w:hint="eastAsia"/>
          <w:color w:val="auto"/>
          <w:szCs w:val="21"/>
        </w:rPr>
      </w:pPr>
    </w:p>
    <w:p>
      <w:pPr>
        <w:tabs>
          <w:tab w:val="left" w:pos="720"/>
        </w:tabs>
        <w:spacing w:line="440" w:lineRule="exact"/>
        <w:ind w:firstLine="756" w:firstLineChars="360"/>
        <w:rPr>
          <w:rFonts w:hint="eastAsia"/>
          <w:color w:val="auto"/>
          <w:szCs w:val="21"/>
        </w:rPr>
      </w:pPr>
    </w:p>
    <w:p>
      <w:pPr>
        <w:tabs>
          <w:tab w:val="left" w:pos="720"/>
        </w:tabs>
        <w:spacing w:line="440" w:lineRule="exact"/>
        <w:ind w:firstLine="756" w:firstLineChars="360"/>
        <w:rPr>
          <w:rFonts w:hint="eastAsia"/>
          <w:color w:val="auto"/>
          <w:szCs w:val="21"/>
        </w:rPr>
      </w:pPr>
    </w:p>
    <w:p>
      <w:pPr>
        <w:rPr>
          <w:rFonts w:hint="eastAsia"/>
          <w:b/>
          <w:color w:val="auto"/>
        </w:rPr>
      </w:pPr>
      <w:bookmarkStart w:id="2635" w:name="_Toc491089809"/>
      <w:bookmarkStart w:id="2636" w:name="_Toc221952073"/>
      <w:bookmarkStart w:id="2637" w:name="_Toc168476327"/>
      <w:bookmarkStart w:id="2638" w:name="_Toc168475924"/>
      <w:bookmarkStart w:id="2639" w:name="_Toc144974865"/>
      <w:r>
        <w:rPr>
          <w:b/>
          <w:color w:val="auto"/>
        </w:rPr>
        <w:br w:type="page"/>
      </w:r>
      <w:r>
        <w:rPr>
          <w:b/>
          <w:color w:val="auto"/>
        </w:rPr>
        <w:t>附表一：拟投入本标段的主要施工设备表</w:t>
      </w:r>
      <w:bookmarkEnd w:id="2635"/>
    </w:p>
    <w:p>
      <w:pPr>
        <w:spacing w:line="440" w:lineRule="exact"/>
        <w:rPr>
          <w:rFonts w:hint="eastAsia"/>
          <w:color w:val="auto"/>
        </w:rPr>
      </w:pPr>
    </w:p>
    <w:p>
      <w:pPr>
        <w:jc w:val="center"/>
        <w:rPr>
          <w:color w:val="auto"/>
          <w:sz w:val="28"/>
          <w:szCs w:val="28"/>
        </w:rPr>
      </w:pPr>
      <w:r>
        <w:rPr>
          <w:color w:val="auto"/>
          <w:sz w:val="28"/>
          <w:szCs w:val="28"/>
        </w:rPr>
        <w:t>投入本标段的主要施工设备表</w:t>
      </w:r>
      <w:bookmarkEnd w:id="2636"/>
      <w:bookmarkEnd w:id="2637"/>
      <w:bookmarkEnd w:id="2638"/>
      <w:bookmarkEnd w:id="2639"/>
    </w:p>
    <w:p>
      <w:pPr>
        <w:spacing w:line="440" w:lineRule="exact"/>
        <w:rPr>
          <w:color w:val="auto"/>
          <w:sz w:val="20"/>
          <w:szCs w:val="20"/>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183"/>
        <w:gridCol w:w="829"/>
        <w:gridCol w:w="1078"/>
        <w:gridCol w:w="732"/>
        <w:gridCol w:w="804"/>
        <w:gridCol w:w="1320"/>
        <w:gridCol w:w="953"/>
        <w:gridCol w:w="1149"/>
        <w:gridCol w:w="7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spacing w:line="380" w:lineRule="atLeast"/>
              <w:jc w:val="center"/>
              <w:rPr>
                <w:color w:val="auto"/>
              </w:rPr>
            </w:pPr>
            <w:bookmarkStart w:id="2640" w:name="_Toc221952074"/>
            <w:r>
              <w:rPr>
                <w:color w:val="auto"/>
              </w:rPr>
              <w:t>序号</w:t>
            </w:r>
            <w:bookmarkEnd w:id="2640"/>
          </w:p>
        </w:tc>
        <w:tc>
          <w:tcPr>
            <w:tcW w:w="1183" w:type="dxa"/>
            <w:noWrap w:val="0"/>
            <w:vAlign w:val="center"/>
          </w:tcPr>
          <w:p>
            <w:pPr>
              <w:spacing w:line="380" w:lineRule="atLeast"/>
              <w:jc w:val="center"/>
              <w:rPr>
                <w:color w:val="auto"/>
              </w:rPr>
            </w:pPr>
            <w:bookmarkStart w:id="2641" w:name="_Toc221952075"/>
            <w:r>
              <w:rPr>
                <w:color w:val="auto"/>
              </w:rPr>
              <w:t>设备名称</w:t>
            </w:r>
            <w:bookmarkEnd w:id="2641"/>
          </w:p>
        </w:tc>
        <w:tc>
          <w:tcPr>
            <w:tcW w:w="829" w:type="dxa"/>
            <w:noWrap w:val="0"/>
            <w:vAlign w:val="center"/>
          </w:tcPr>
          <w:p>
            <w:pPr>
              <w:spacing w:line="380" w:lineRule="atLeast"/>
              <w:jc w:val="center"/>
              <w:rPr>
                <w:color w:val="auto"/>
              </w:rPr>
            </w:pPr>
            <w:bookmarkStart w:id="2642" w:name="_Toc221952076"/>
            <w:r>
              <w:rPr>
                <w:color w:val="auto"/>
              </w:rPr>
              <w:t>型号</w:t>
            </w:r>
            <w:bookmarkEnd w:id="2642"/>
          </w:p>
          <w:p>
            <w:pPr>
              <w:spacing w:line="380" w:lineRule="atLeast"/>
              <w:jc w:val="center"/>
              <w:rPr>
                <w:color w:val="auto"/>
              </w:rPr>
            </w:pPr>
            <w:bookmarkStart w:id="2643" w:name="_Toc221952077"/>
            <w:r>
              <w:rPr>
                <w:color w:val="auto"/>
              </w:rPr>
              <w:t>规格</w:t>
            </w:r>
            <w:bookmarkEnd w:id="2643"/>
          </w:p>
        </w:tc>
        <w:tc>
          <w:tcPr>
            <w:tcW w:w="1078" w:type="dxa"/>
            <w:noWrap w:val="0"/>
            <w:vAlign w:val="center"/>
          </w:tcPr>
          <w:p>
            <w:pPr>
              <w:spacing w:line="380" w:lineRule="atLeast"/>
              <w:jc w:val="center"/>
              <w:rPr>
                <w:color w:val="auto"/>
              </w:rPr>
            </w:pPr>
            <w:bookmarkStart w:id="2644" w:name="_Toc221952078"/>
            <w:r>
              <w:rPr>
                <w:color w:val="auto"/>
              </w:rPr>
              <w:t>数量</w:t>
            </w:r>
            <w:bookmarkEnd w:id="2644"/>
          </w:p>
        </w:tc>
        <w:tc>
          <w:tcPr>
            <w:tcW w:w="732" w:type="dxa"/>
            <w:noWrap w:val="0"/>
            <w:vAlign w:val="center"/>
          </w:tcPr>
          <w:p>
            <w:pPr>
              <w:spacing w:line="380" w:lineRule="atLeast"/>
              <w:jc w:val="center"/>
              <w:rPr>
                <w:color w:val="auto"/>
              </w:rPr>
            </w:pPr>
            <w:bookmarkStart w:id="2645" w:name="_Toc221952079"/>
            <w:r>
              <w:rPr>
                <w:color w:val="auto"/>
              </w:rPr>
              <w:t>国别</w:t>
            </w:r>
            <w:bookmarkEnd w:id="2645"/>
          </w:p>
          <w:p>
            <w:pPr>
              <w:spacing w:line="380" w:lineRule="atLeast"/>
              <w:jc w:val="center"/>
              <w:rPr>
                <w:color w:val="auto"/>
              </w:rPr>
            </w:pPr>
            <w:bookmarkStart w:id="2646" w:name="_Toc221952080"/>
            <w:r>
              <w:rPr>
                <w:color w:val="auto"/>
              </w:rPr>
              <w:t>产地</w:t>
            </w:r>
            <w:bookmarkEnd w:id="2646"/>
          </w:p>
        </w:tc>
        <w:tc>
          <w:tcPr>
            <w:tcW w:w="804" w:type="dxa"/>
            <w:noWrap w:val="0"/>
            <w:vAlign w:val="center"/>
          </w:tcPr>
          <w:p>
            <w:pPr>
              <w:spacing w:line="380" w:lineRule="atLeast"/>
              <w:jc w:val="center"/>
              <w:rPr>
                <w:color w:val="auto"/>
              </w:rPr>
            </w:pPr>
            <w:bookmarkStart w:id="2647" w:name="_Toc221952081"/>
            <w:r>
              <w:rPr>
                <w:color w:val="auto"/>
              </w:rPr>
              <w:t>制造</w:t>
            </w:r>
            <w:bookmarkEnd w:id="2647"/>
          </w:p>
          <w:p>
            <w:pPr>
              <w:spacing w:line="380" w:lineRule="atLeast"/>
              <w:jc w:val="center"/>
              <w:rPr>
                <w:color w:val="auto"/>
              </w:rPr>
            </w:pPr>
            <w:bookmarkStart w:id="2648" w:name="_Toc221952082"/>
            <w:r>
              <w:rPr>
                <w:color w:val="auto"/>
              </w:rPr>
              <w:t>年份</w:t>
            </w:r>
            <w:bookmarkEnd w:id="2648"/>
          </w:p>
        </w:tc>
        <w:tc>
          <w:tcPr>
            <w:tcW w:w="1320" w:type="dxa"/>
            <w:noWrap w:val="0"/>
            <w:vAlign w:val="center"/>
          </w:tcPr>
          <w:p>
            <w:pPr>
              <w:spacing w:line="380" w:lineRule="atLeast"/>
              <w:jc w:val="center"/>
              <w:rPr>
                <w:color w:val="auto"/>
              </w:rPr>
            </w:pPr>
            <w:bookmarkStart w:id="2649" w:name="_Toc221952083"/>
            <w:r>
              <w:rPr>
                <w:color w:val="auto"/>
              </w:rPr>
              <w:t>额定功率（</w:t>
            </w:r>
            <w:r>
              <w:rPr>
                <w:rFonts w:hint="eastAsia"/>
                <w:color w:val="auto"/>
              </w:rPr>
              <w:t>K</w:t>
            </w:r>
            <w:r>
              <w:rPr>
                <w:color w:val="auto"/>
              </w:rPr>
              <w:t>W）</w:t>
            </w:r>
            <w:bookmarkEnd w:id="2649"/>
          </w:p>
        </w:tc>
        <w:tc>
          <w:tcPr>
            <w:tcW w:w="953" w:type="dxa"/>
            <w:noWrap w:val="0"/>
            <w:vAlign w:val="center"/>
          </w:tcPr>
          <w:p>
            <w:pPr>
              <w:spacing w:line="380" w:lineRule="atLeast"/>
              <w:jc w:val="center"/>
              <w:rPr>
                <w:color w:val="auto"/>
              </w:rPr>
            </w:pPr>
            <w:bookmarkStart w:id="2650" w:name="_Toc221952084"/>
            <w:r>
              <w:rPr>
                <w:color w:val="auto"/>
              </w:rPr>
              <w:t>生产</w:t>
            </w:r>
            <w:bookmarkEnd w:id="2650"/>
          </w:p>
          <w:p>
            <w:pPr>
              <w:spacing w:line="380" w:lineRule="atLeast"/>
              <w:jc w:val="center"/>
              <w:rPr>
                <w:color w:val="auto"/>
              </w:rPr>
            </w:pPr>
            <w:bookmarkStart w:id="2651" w:name="_Toc221952085"/>
            <w:r>
              <w:rPr>
                <w:color w:val="auto"/>
              </w:rPr>
              <w:t>能力</w:t>
            </w:r>
            <w:bookmarkEnd w:id="2651"/>
          </w:p>
        </w:tc>
        <w:tc>
          <w:tcPr>
            <w:tcW w:w="1149" w:type="dxa"/>
            <w:noWrap w:val="0"/>
            <w:vAlign w:val="center"/>
          </w:tcPr>
          <w:p>
            <w:pPr>
              <w:spacing w:line="380" w:lineRule="atLeast"/>
              <w:jc w:val="center"/>
              <w:rPr>
                <w:rFonts w:hint="eastAsia"/>
                <w:color w:val="auto"/>
              </w:rPr>
            </w:pPr>
            <w:bookmarkStart w:id="2652" w:name="_Toc221952086"/>
            <w:r>
              <w:rPr>
                <w:color w:val="auto"/>
              </w:rPr>
              <w:t>用于施工</w:t>
            </w:r>
          </w:p>
          <w:p>
            <w:pPr>
              <w:spacing w:line="380" w:lineRule="atLeast"/>
              <w:jc w:val="center"/>
              <w:rPr>
                <w:color w:val="auto"/>
              </w:rPr>
            </w:pPr>
            <w:r>
              <w:rPr>
                <w:color w:val="auto"/>
              </w:rPr>
              <w:t>部位</w:t>
            </w:r>
            <w:bookmarkEnd w:id="2652"/>
          </w:p>
        </w:tc>
        <w:tc>
          <w:tcPr>
            <w:tcW w:w="753" w:type="dxa"/>
            <w:noWrap w:val="0"/>
            <w:vAlign w:val="center"/>
          </w:tcPr>
          <w:p>
            <w:pPr>
              <w:spacing w:line="380" w:lineRule="atLeast"/>
              <w:jc w:val="center"/>
              <w:rPr>
                <w:color w:val="auto"/>
              </w:rPr>
            </w:pPr>
            <w:bookmarkStart w:id="2653" w:name="_Toc221952087"/>
            <w:r>
              <w:rPr>
                <w:color w:val="auto"/>
              </w:rPr>
              <w:t>备注</w:t>
            </w:r>
            <w:bookmarkEnd w:id="26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spacing w:line="380" w:lineRule="atLeast"/>
              <w:rPr>
                <w:color w:val="auto"/>
              </w:rPr>
            </w:pPr>
          </w:p>
        </w:tc>
        <w:tc>
          <w:tcPr>
            <w:tcW w:w="1183" w:type="dxa"/>
            <w:noWrap w:val="0"/>
            <w:vAlign w:val="center"/>
          </w:tcPr>
          <w:p>
            <w:pPr>
              <w:spacing w:line="380" w:lineRule="atLeast"/>
              <w:rPr>
                <w:color w:val="auto"/>
              </w:rPr>
            </w:pPr>
          </w:p>
        </w:tc>
        <w:tc>
          <w:tcPr>
            <w:tcW w:w="829" w:type="dxa"/>
            <w:noWrap w:val="0"/>
            <w:vAlign w:val="center"/>
          </w:tcPr>
          <w:p>
            <w:pPr>
              <w:spacing w:line="380" w:lineRule="atLeast"/>
              <w:rPr>
                <w:color w:val="auto"/>
              </w:rPr>
            </w:pPr>
          </w:p>
        </w:tc>
        <w:tc>
          <w:tcPr>
            <w:tcW w:w="1078" w:type="dxa"/>
            <w:noWrap w:val="0"/>
            <w:vAlign w:val="center"/>
          </w:tcPr>
          <w:p>
            <w:pPr>
              <w:spacing w:line="380" w:lineRule="atLeast"/>
              <w:rPr>
                <w:color w:val="auto"/>
              </w:rPr>
            </w:pPr>
          </w:p>
        </w:tc>
        <w:tc>
          <w:tcPr>
            <w:tcW w:w="732" w:type="dxa"/>
            <w:noWrap w:val="0"/>
            <w:vAlign w:val="center"/>
          </w:tcPr>
          <w:p>
            <w:pPr>
              <w:spacing w:line="380" w:lineRule="atLeast"/>
              <w:rPr>
                <w:color w:val="auto"/>
              </w:rPr>
            </w:pPr>
          </w:p>
        </w:tc>
        <w:tc>
          <w:tcPr>
            <w:tcW w:w="804" w:type="dxa"/>
            <w:noWrap w:val="0"/>
            <w:vAlign w:val="center"/>
          </w:tcPr>
          <w:p>
            <w:pPr>
              <w:spacing w:line="380" w:lineRule="atLeast"/>
              <w:rPr>
                <w:color w:val="auto"/>
              </w:rPr>
            </w:pPr>
          </w:p>
        </w:tc>
        <w:tc>
          <w:tcPr>
            <w:tcW w:w="1320" w:type="dxa"/>
            <w:noWrap w:val="0"/>
            <w:vAlign w:val="center"/>
          </w:tcPr>
          <w:p>
            <w:pPr>
              <w:spacing w:line="380" w:lineRule="atLeast"/>
              <w:rPr>
                <w:color w:val="auto"/>
              </w:rPr>
            </w:pPr>
          </w:p>
        </w:tc>
        <w:tc>
          <w:tcPr>
            <w:tcW w:w="953" w:type="dxa"/>
            <w:noWrap w:val="0"/>
            <w:vAlign w:val="center"/>
          </w:tcPr>
          <w:p>
            <w:pPr>
              <w:spacing w:line="380" w:lineRule="atLeast"/>
              <w:rPr>
                <w:color w:val="auto"/>
              </w:rPr>
            </w:pPr>
          </w:p>
        </w:tc>
        <w:tc>
          <w:tcPr>
            <w:tcW w:w="1149" w:type="dxa"/>
            <w:noWrap w:val="0"/>
            <w:vAlign w:val="center"/>
          </w:tcPr>
          <w:p>
            <w:pPr>
              <w:spacing w:line="380" w:lineRule="atLeast"/>
              <w:rPr>
                <w:color w:val="auto"/>
              </w:rPr>
            </w:pPr>
          </w:p>
        </w:tc>
        <w:tc>
          <w:tcPr>
            <w:tcW w:w="753" w:type="dxa"/>
            <w:noWrap w:val="0"/>
            <w:vAlign w:val="center"/>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center"/>
          </w:tcPr>
          <w:p>
            <w:pPr>
              <w:spacing w:line="380" w:lineRule="atLeast"/>
              <w:rPr>
                <w:color w:val="auto"/>
              </w:rPr>
            </w:pPr>
          </w:p>
        </w:tc>
        <w:tc>
          <w:tcPr>
            <w:tcW w:w="1183" w:type="dxa"/>
            <w:noWrap w:val="0"/>
            <w:vAlign w:val="center"/>
          </w:tcPr>
          <w:p>
            <w:pPr>
              <w:spacing w:line="380" w:lineRule="atLeast"/>
              <w:rPr>
                <w:color w:val="auto"/>
              </w:rPr>
            </w:pPr>
          </w:p>
        </w:tc>
        <w:tc>
          <w:tcPr>
            <w:tcW w:w="829" w:type="dxa"/>
            <w:noWrap w:val="0"/>
            <w:vAlign w:val="center"/>
          </w:tcPr>
          <w:p>
            <w:pPr>
              <w:spacing w:line="380" w:lineRule="atLeast"/>
              <w:rPr>
                <w:color w:val="auto"/>
              </w:rPr>
            </w:pPr>
          </w:p>
        </w:tc>
        <w:tc>
          <w:tcPr>
            <w:tcW w:w="1078" w:type="dxa"/>
            <w:noWrap w:val="0"/>
            <w:vAlign w:val="center"/>
          </w:tcPr>
          <w:p>
            <w:pPr>
              <w:spacing w:line="380" w:lineRule="atLeast"/>
              <w:rPr>
                <w:color w:val="auto"/>
              </w:rPr>
            </w:pPr>
          </w:p>
        </w:tc>
        <w:tc>
          <w:tcPr>
            <w:tcW w:w="732" w:type="dxa"/>
            <w:noWrap w:val="0"/>
            <w:vAlign w:val="center"/>
          </w:tcPr>
          <w:p>
            <w:pPr>
              <w:spacing w:line="380" w:lineRule="atLeast"/>
              <w:rPr>
                <w:color w:val="auto"/>
              </w:rPr>
            </w:pPr>
          </w:p>
        </w:tc>
        <w:tc>
          <w:tcPr>
            <w:tcW w:w="804" w:type="dxa"/>
            <w:noWrap w:val="0"/>
            <w:vAlign w:val="center"/>
          </w:tcPr>
          <w:p>
            <w:pPr>
              <w:spacing w:line="380" w:lineRule="atLeast"/>
              <w:rPr>
                <w:color w:val="auto"/>
              </w:rPr>
            </w:pPr>
          </w:p>
        </w:tc>
        <w:tc>
          <w:tcPr>
            <w:tcW w:w="1320" w:type="dxa"/>
            <w:noWrap w:val="0"/>
            <w:vAlign w:val="center"/>
          </w:tcPr>
          <w:p>
            <w:pPr>
              <w:spacing w:line="380" w:lineRule="atLeast"/>
              <w:rPr>
                <w:color w:val="auto"/>
              </w:rPr>
            </w:pPr>
          </w:p>
        </w:tc>
        <w:tc>
          <w:tcPr>
            <w:tcW w:w="953" w:type="dxa"/>
            <w:noWrap w:val="0"/>
            <w:vAlign w:val="center"/>
          </w:tcPr>
          <w:p>
            <w:pPr>
              <w:spacing w:line="380" w:lineRule="atLeast"/>
              <w:rPr>
                <w:color w:val="auto"/>
              </w:rPr>
            </w:pPr>
          </w:p>
        </w:tc>
        <w:tc>
          <w:tcPr>
            <w:tcW w:w="1149" w:type="dxa"/>
            <w:noWrap w:val="0"/>
            <w:vAlign w:val="center"/>
          </w:tcPr>
          <w:p>
            <w:pPr>
              <w:spacing w:line="380" w:lineRule="atLeast"/>
              <w:rPr>
                <w:color w:val="auto"/>
              </w:rPr>
            </w:pPr>
          </w:p>
        </w:tc>
        <w:tc>
          <w:tcPr>
            <w:tcW w:w="753" w:type="dxa"/>
            <w:noWrap w:val="0"/>
            <w:vAlign w:val="center"/>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6" w:type="dxa"/>
            <w:noWrap w:val="0"/>
            <w:vAlign w:val="top"/>
          </w:tcPr>
          <w:p>
            <w:pPr>
              <w:spacing w:line="380" w:lineRule="atLeast"/>
              <w:rPr>
                <w:color w:val="auto"/>
              </w:rPr>
            </w:pPr>
          </w:p>
        </w:tc>
        <w:tc>
          <w:tcPr>
            <w:tcW w:w="1183"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78" w:type="dxa"/>
            <w:noWrap w:val="0"/>
            <w:vAlign w:val="top"/>
          </w:tcPr>
          <w:p>
            <w:pPr>
              <w:spacing w:line="380" w:lineRule="atLeast"/>
              <w:rPr>
                <w:color w:val="auto"/>
              </w:rPr>
            </w:pPr>
          </w:p>
        </w:tc>
        <w:tc>
          <w:tcPr>
            <w:tcW w:w="732" w:type="dxa"/>
            <w:noWrap w:val="0"/>
            <w:vAlign w:val="top"/>
          </w:tcPr>
          <w:p>
            <w:pPr>
              <w:spacing w:line="380" w:lineRule="atLeast"/>
              <w:rPr>
                <w:color w:val="auto"/>
              </w:rPr>
            </w:pPr>
          </w:p>
        </w:tc>
        <w:tc>
          <w:tcPr>
            <w:tcW w:w="804" w:type="dxa"/>
            <w:noWrap w:val="0"/>
            <w:vAlign w:val="top"/>
          </w:tcPr>
          <w:p>
            <w:pPr>
              <w:spacing w:line="380" w:lineRule="atLeast"/>
              <w:rPr>
                <w:color w:val="auto"/>
              </w:rPr>
            </w:pPr>
          </w:p>
        </w:tc>
        <w:tc>
          <w:tcPr>
            <w:tcW w:w="1320" w:type="dxa"/>
            <w:noWrap w:val="0"/>
            <w:vAlign w:val="top"/>
          </w:tcPr>
          <w:p>
            <w:pPr>
              <w:spacing w:line="380" w:lineRule="atLeast"/>
              <w:rPr>
                <w:color w:val="auto"/>
              </w:rPr>
            </w:pPr>
          </w:p>
        </w:tc>
        <w:tc>
          <w:tcPr>
            <w:tcW w:w="953" w:type="dxa"/>
            <w:noWrap w:val="0"/>
            <w:vAlign w:val="top"/>
          </w:tcPr>
          <w:p>
            <w:pPr>
              <w:spacing w:line="380" w:lineRule="atLeast"/>
              <w:rPr>
                <w:color w:val="auto"/>
              </w:rPr>
            </w:pPr>
          </w:p>
        </w:tc>
        <w:tc>
          <w:tcPr>
            <w:tcW w:w="1149" w:type="dxa"/>
            <w:noWrap w:val="0"/>
            <w:vAlign w:val="top"/>
          </w:tcPr>
          <w:p>
            <w:pPr>
              <w:spacing w:line="380" w:lineRule="atLeast"/>
              <w:rPr>
                <w:color w:val="auto"/>
              </w:rPr>
            </w:pPr>
          </w:p>
        </w:tc>
        <w:tc>
          <w:tcPr>
            <w:tcW w:w="753" w:type="dxa"/>
            <w:noWrap w:val="0"/>
            <w:vAlign w:val="top"/>
          </w:tcPr>
          <w:p>
            <w:pPr>
              <w:spacing w:line="380" w:lineRule="atLeast"/>
              <w:rPr>
                <w:color w:val="auto"/>
              </w:rPr>
            </w:pPr>
          </w:p>
        </w:tc>
      </w:tr>
    </w:tbl>
    <w:p>
      <w:pPr>
        <w:spacing w:line="440" w:lineRule="exact"/>
        <w:rPr>
          <w:rFonts w:eastAsia="黑体"/>
          <w:color w:val="auto"/>
          <w:sz w:val="20"/>
          <w:szCs w:val="20"/>
        </w:rPr>
      </w:pPr>
    </w:p>
    <w:p>
      <w:pPr>
        <w:spacing w:line="440" w:lineRule="exact"/>
        <w:rPr>
          <w:rFonts w:hint="eastAsia" w:eastAsia="黑体"/>
          <w:color w:val="auto"/>
          <w:sz w:val="20"/>
          <w:szCs w:val="20"/>
        </w:rPr>
      </w:pPr>
    </w:p>
    <w:p>
      <w:pPr>
        <w:spacing w:line="440" w:lineRule="exact"/>
        <w:rPr>
          <w:rFonts w:hint="eastAsia" w:eastAsia="黑体"/>
          <w:color w:val="auto"/>
          <w:sz w:val="20"/>
          <w:szCs w:val="20"/>
        </w:rPr>
      </w:pPr>
    </w:p>
    <w:p>
      <w:pPr>
        <w:spacing w:line="440" w:lineRule="exact"/>
        <w:rPr>
          <w:rFonts w:hint="eastAsia" w:eastAsia="黑体"/>
          <w:color w:val="auto"/>
          <w:sz w:val="20"/>
          <w:szCs w:val="20"/>
        </w:rPr>
      </w:pPr>
    </w:p>
    <w:p>
      <w:pPr>
        <w:rPr>
          <w:b/>
          <w:color w:val="auto"/>
          <w:szCs w:val="21"/>
        </w:rPr>
      </w:pPr>
      <w:bookmarkStart w:id="2654" w:name="_Toc491089810"/>
      <w:bookmarkStart w:id="2655" w:name="_Toc168476328"/>
      <w:bookmarkStart w:id="2656" w:name="_Toc221952088"/>
      <w:bookmarkStart w:id="2657" w:name="_Toc144974866"/>
      <w:bookmarkStart w:id="2658" w:name="_Toc168475925"/>
      <w:r>
        <w:rPr>
          <w:b/>
          <w:color w:val="auto"/>
        </w:rPr>
        <w:br w:type="page"/>
      </w:r>
      <w:r>
        <w:rPr>
          <w:b/>
          <w:color w:val="auto"/>
        </w:rPr>
        <w:t>附表二</w:t>
      </w:r>
      <w:r>
        <w:rPr>
          <w:rFonts w:hint="eastAsia"/>
          <w:b/>
          <w:color w:val="auto"/>
        </w:rPr>
        <w:t>：</w:t>
      </w:r>
      <w:r>
        <w:rPr>
          <w:b/>
          <w:color w:val="auto"/>
        </w:rPr>
        <w:t>拟投入本标段的</w:t>
      </w:r>
      <w:r>
        <w:rPr>
          <w:rFonts w:hint="eastAsia"/>
          <w:b/>
          <w:color w:val="auto"/>
        </w:rPr>
        <w:t>试验</w:t>
      </w:r>
      <w:r>
        <w:rPr>
          <w:b/>
          <w:color w:val="auto"/>
        </w:rPr>
        <w:t>和检测仪器设备表</w:t>
      </w:r>
      <w:bookmarkEnd w:id="2654"/>
    </w:p>
    <w:p>
      <w:pPr>
        <w:jc w:val="center"/>
        <w:rPr>
          <w:rFonts w:hint="eastAsia"/>
          <w:color w:val="auto"/>
          <w:sz w:val="28"/>
          <w:szCs w:val="28"/>
        </w:rPr>
      </w:pPr>
    </w:p>
    <w:p>
      <w:pPr>
        <w:jc w:val="center"/>
        <w:rPr>
          <w:color w:val="auto"/>
          <w:sz w:val="28"/>
          <w:szCs w:val="28"/>
        </w:rPr>
      </w:pPr>
      <w:r>
        <w:rPr>
          <w:color w:val="auto"/>
          <w:sz w:val="28"/>
          <w:szCs w:val="28"/>
        </w:rPr>
        <w:t>拟</w:t>
      </w:r>
      <w:r>
        <w:rPr>
          <w:rFonts w:hint="eastAsia"/>
          <w:color w:val="auto"/>
          <w:sz w:val="28"/>
          <w:szCs w:val="28"/>
        </w:rPr>
        <w:t>投入</w:t>
      </w:r>
      <w:r>
        <w:rPr>
          <w:color w:val="auto"/>
          <w:sz w:val="28"/>
          <w:szCs w:val="28"/>
        </w:rPr>
        <w:t>本标段的</w:t>
      </w:r>
      <w:r>
        <w:rPr>
          <w:rFonts w:hint="eastAsia"/>
          <w:color w:val="auto"/>
          <w:sz w:val="28"/>
          <w:szCs w:val="28"/>
        </w:rPr>
        <w:t>试</w:t>
      </w:r>
      <w:r>
        <w:rPr>
          <w:color w:val="auto"/>
          <w:sz w:val="28"/>
          <w:szCs w:val="28"/>
        </w:rPr>
        <w:t>验和检测仪器设备表</w:t>
      </w:r>
      <w:bookmarkEnd w:id="2655"/>
      <w:bookmarkEnd w:id="2656"/>
      <w:bookmarkEnd w:id="2657"/>
      <w:bookmarkEnd w:id="2658"/>
    </w:p>
    <w:p>
      <w:pPr>
        <w:spacing w:line="440" w:lineRule="exact"/>
        <w:rPr>
          <w:color w:val="auto"/>
          <w:sz w:val="20"/>
          <w:szCs w:val="20"/>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185"/>
        <w:gridCol w:w="829"/>
        <w:gridCol w:w="1080"/>
        <w:gridCol w:w="733"/>
        <w:gridCol w:w="805"/>
        <w:gridCol w:w="1321"/>
        <w:gridCol w:w="1801"/>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center"/>
          </w:tcPr>
          <w:p>
            <w:pPr>
              <w:spacing w:line="380" w:lineRule="atLeast"/>
              <w:jc w:val="center"/>
              <w:rPr>
                <w:color w:val="auto"/>
              </w:rPr>
            </w:pPr>
            <w:bookmarkStart w:id="2659" w:name="_Toc221952089"/>
            <w:r>
              <w:rPr>
                <w:color w:val="auto"/>
              </w:rPr>
              <w:t>序号</w:t>
            </w:r>
            <w:bookmarkEnd w:id="2659"/>
          </w:p>
        </w:tc>
        <w:tc>
          <w:tcPr>
            <w:tcW w:w="1185" w:type="dxa"/>
            <w:noWrap w:val="0"/>
            <w:vAlign w:val="center"/>
          </w:tcPr>
          <w:p>
            <w:pPr>
              <w:spacing w:line="380" w:lineRule="atLeast"/>
              <w:jc w:val="center"/>
              <w:rPr>
                <w:color w:val="auto"/>
              </w:rPr>
            </w:pPr>
            <w:bookmarkStart w:id="2660" w:name="_Toc221952090"/>
            <w:r>
              <w:rPr>
                <w:color w:val="auto"/>
              </w:rPr>
              <w:t>仪器设备名称</w:t>
            </w:r>
            <w:bookmarkEnd w:id="2660"/>
          </w:p>
        </w:tc>
        <w:tc>
          <w:tcPr>
            <w:tcW w:w="829" w:type="dxa"/>
            <w:noWrap w:val="0"/>
            <w:vAlign w:val="center"/>
          </w:tcPr>
          <w:p>
            <w:pPr>
              <w:spacing w:line="380" w:lineRule="atLeast"/>
              <w:jc w:val="center"/>
              <w:rPr>
                <w:color w:val="auto"/>
              </w:rPr>
            </w:pPr>
            <w:bookmarkStart w:id="2661" w:name="_Toc221952091"/>
            <w:r>
              <w:rPr>
                <w:color w:val="auto"/>
              </w:rPr>
              <w:t>型号</w:t>
            </w:r>
            <w:bookmarkEnd w:id="2661"/>
          </w:p>
          <w:p>
            <w:pPr>
              <w:spacing w:line="380" w:lineRule="atLeast"/>
              <w:jc w:val="center"/>
              <w:rPr>
                <w:color w:val="auto"/>
              </w:rPr>
            </w:pPr>
            <w:bookmarkStart w:id="2662" w:name="_Toc221952092"/>
            <w:r>
              <w:rPr>
                <w:color w:val="auto"/>
              </w:rPr>
              <w:t>规格</w:t>
            </w:r>
            <w:bookmarkEnd w:id="2662"/>
          </w:p>
        </w:tc>
        <w:tc>
          <w:tcPr>
            <w:tcW w:w="1080" w:type="dxa"/>
            <w:noWrap w:val="0"/>
            <w:vAlign w:val="center"/>
          </w:tcPr>
          <w:p>
            <w:pPr>
              <w:spacing w:line="380" w:lineRule="atLeast"/>
              <w:jc w:val="center"/>
              <w:rPr>
                <w:color w:val="auto"/>
              </w:rPr>
            </w:pPr>
            <w:bookmarkStart w:id="2663" w:name="_Toc221952093"/>
            <w:r>
              <w:rPr>
                <w:color w:val="auto"/>
              </w:rPr>
              <w:t>数量</w:t>
            </w:r>
            <w:bookmarkEnd w:id="2663"/>
          </w:p>
        </w:tc>
        <w:tc>
          <w:tcPr>
            <w:tcW w:w="733" w:type="dxa"/>
            <w:noWrap w:val="0"/>
            <w:vAlign w:val="center"/>
          </w:tcPr>
          <w:p>
            <w:pPr>
              <w:spacing w:line="380" w:lineRule="atLeast"/>
              <w:jc w:val="center"/>
              <w:rPr>
                <w:color w:val="auto"/>
              </w:rPr>
            </w:pPr>
            <w:bookmarkStart w:id="2664" w:name="_Toc221952094"/>
            <w:r>
              <w:rPr>
                <w:color w:val="auto"/>
              </w:rPr>
              <w:t>国别</w:t>
            </w:r>
            <w:bookmarkEnd w:id="2664"/>
          </w:p>
          <w:p>
            <w:pPr>
              <w:spacing w:line="380" w:lineRule="atLeast"/>
              <w:jc w:val="center"/>
              <w:rPr>
                <w:color w:val="auto"/>
              </w:rPr>
            </w:pPr>
            <w:bookmarkStart w:id="2665" w:name="_Toc221952095"/>
            <w:r>
              <w:rPr>
                <w:color w:val="auto"/>
              </w:rPr>
              <w:t>产地</w:t>
            </w:r>
            <w:bookmarkEnd w:id="2665"/>
          </w:p>
        </w:tc>
        <w:tc>
          <w:tcPr>
            <w:tcW w:w="805" w:type="dxa"/>
            <w:noWrap w:val="0"/>
            <w:vAlign w:val="center"/>
          </w:tcPr>
          <w:p>
            <w:pPr>
              <w:spacing w:line="380" w:lineRule="atLeast"/>
              <w:jc w:val="center"/>
              <w:rPr>
                <w:color w:val="auto"/>
              </w:rPr>
            </w:pPr>
            <w:bookmarkStart w:id="2666" w:name="_Toc221952096"/>
            <w:r>
              <w:rPr>
                <w:color w:val="auto"/>
              </w:rPr>
              <w:t>制造</w:t>
            </w:r>
            <w:bookmarkEnd w:id="2666"/>
          </w:p>
          <w:p>
            <w:pPr>
              <w:spacing w:line="380" w:lineRule="atLeast"/>
              <w:jc w:val="center"/>
              <w:rPr>
                <w:color w:val="auto"/>
              </w:rPr>
            </w:pPr>
            <w:bookmarkStart w:id="2667" w:name="_Toc221952097"/>
            <w:r>
              <w:rPr>
                <w:color w:val="auto"/>
              </w:rPr>
              <w:t>年份</w:t>
            </w:r>
            <w:bookmarkEnd w:id="2667"/>
          </w:p>
        </w:tc>
        <w:tc>
          <w:tcPr>
            <w:tcW w:w="1321" w:type="dxa"/>
            <w:noWrap w:val="0"/>
            <w:vAlign w:val="center"/>
          </w:tcPr>
          <w:p>
            <w:pPr>
              <w:spacing w:line="380" w:lineRule="atLeast"/>
              <w:jc w:val="center"/>
              <w:rPr>
                <w:rFonts w:hint="eastAsia"/>
                <w:color w:val="auto"/>
              </w:rPr>
            </w:pPr>
            <w:bookmarkStart w:id="2668" w:name="_Toc221952098"/>
            <w:r>
              <w:rPr>
                <w:color w:val="auto"/>
              </w:rPr>
              <w:t>已使用</w:t>
            </w:r>
          </w:p>
          <w:p>
            <w:pPr>
              <w:spacing w:line="380" w:lineRule="atLeast"/>
              <w:jc w:val="center"/>
              <w:rPr>
                <w:color w:val="auto"/>
              </w:rPr>
            </w:pPr>
            <w:r>
              <w:rPr>
                <w:color w:val="auto"/>
              </w:rPr>
              <w:t>台时数</w:t>
            </w:r>
            <w:bookmarkEnd w:id="2668"/>
          </w:p>
        </w:tc>
        <w:tc>
          <w:tcPr>
            <w:tcW w:w="1801" w:type="dxa"/>
            <w:noWrap w:val="0"/>
            <w:vAlign w:val="center"/>
          </w:tcPr>
          <w:p>
            <w:pPr>
              <w:spacing w:line="380" w:lineRule="atLeast"/>
              <w:jc w:val="center"/>
              <w:rPr>
                <w:color w:val="auto"/>
              </w:rPr>
            </w:pPr>
            <w:bookmarkStart w:id="2669" w:name="_Toc221952099"/>
            <w:r>
              <w:rPr>
                <w:color w:val="auto"/>
              </w:rPr>
              <w:t>用途</w:t>
            </w:r>
            <w:bookmarkEnd w:id="2669"/>
          </w:p>
        </w:tc>
        <w:tc>
          <w:tcPr>
            <w:tcW w:w="749" w:type="dxa"/>
            <w:noWrap w:val="0"/>
            <w:vAlign w:val="center"/>
          </w:tcPr>
          <w:p>
            <w:pPr>
              <w:spacing w:line="380" w:lineRule="atLeast"/>
              <w:jc w:val="center"/>
              <w:rPr>
                <w:color w:val="auto"/>
              </w:rPr>
            </w:pPr>
            <w:bookmarkStart w:id="2670" w:name="_Toc221952100"/>
            <w:r>
              <w:rPr>
                <w:color w:val="auto"/>
              </w:rPr>
              <w:t>备注</w:t>
            </w:r>
            <w:bookmarkEnd w:id="26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center"/>
          </w:tcPr>
          <w:p>
            <w:pPr>
              <w:spacing w:line="380" w:lineRule="atLeast"/>
              <w:rPr>
                <w:color w:val="auto"/>
              </w:rPr>
            </w:pPr>
          </w:p>
        </w:tc>
        <w:tc>
          <w:tcPr>
            <w:tcW w:w="1185" w:type="dxa"/>
            <w:noWrap w:val="0"/>
            <w:vAlign w:val="center"/>
          </w:tcPr>
          <w:p>
            <w:pPr>
              <w:spacing w:line="380" w:lineRule="atLeast"/>
              <w:rPr>
                <w:color w:val="auto"/>
              </w:rPr>
            </w:pPr>
          </w:p>
        </w:tc>
        <w:tc>
          <w:tcPr>
            <w:tcW w:w="829" w:type="dxa"/>
            <w:noWrap w:val="0"/>
            <w:vAlign w:val="center"/>
          </w:tcPr>
          <w:p>
            <w:pPr>
              <w:spacing w:line="380" w:lineRule="atLeast"/>
              <w:rPr>
                <w:color w:val="auto"/>
              </w:rPr>
            </w:pPr>
          </w:p>
        </w:tc>
        <w:tc>
          <w:tcPr>
            <w:tcW w:w="1080" w:type="dxa"/>
            <w:noWrap w:val="0"/>
            <w:vAlign w:val="center"/>
          </w:tcPr>
          <w:p>
            <w:pPr>
              <w:spacing w:line="380" w:lineRule="atLeast"/>
              <w:rPr>
                <w:color w:val="auto"/>
              </w:rPr>
            </w:pPr>
          </w:p>
        </w:tc>
        <w:tc>
          <w:tcPr>
            <w:tcW w:w="733" w:type="dxa"/>
            <w:noWrap w:val="0"/>
            <w:vAlign w:val="center"/>
          </w:tcPr>
          <w:p>
            <w:pPr>
              <w:spacing w:line="380" w:lineRule="atLeast"/>
              <w:rPr>
                <w:color w:val="auto"/>
              </w:rPr>
            </w:pPr>
          </w:p>
        </w:tc>
        <w:tc>
          <w:tcPr>
            <w:tcW w:w="805" w:type="dxa"/>
            <w:noWrap w:val="0"/>
            <w:vAlign w:val="center"/>
          </w:tcPr>
          <w:p>
            <w:pPr>
              <w:spacing w:line="380" w:lineRule="atLeast"/>
              <w:rPr>
                <w:color w:val="auto"/>
              </w:rPr>
            </w:pPr>
          </w:p>
        </w:tc>
        <w:tc>
          <w:tcPr>
            <w:tcW w:w="1321" w:type="dxa"/>
            <w:noWrap w:val="0"/>
            <w:vAlign w:val="center"/>
          </w:tcPr>
          <w:p>
            <w:pPr>
              <w:spacing w:line="380" w:lineRule="atLeast"/>
              <w:rPr>
                <w:color w:val="auto"/>
              </w:rPr>
            </w:pPr>
          </w:p>
        </w:tc>
        <w:tc>
          <w:tcPr>
            <w:tcW w:w="1801" w:type="dxa"/>
            <w:noWrap w:val="0"/>
            <w:vAlign w:val="center"/>
          </w:tcPr>
          <w:p>
            <w:pPr>
              <w:spacing w:line="380" w:lineRule="atLeast"/>
              <w:rPr>
                <w:color w:val="auto"/>
              </w:rPr>
            </w:pPr>
          </w:p>
        </w:tc>
        <w:tc>
          <w:tcPr>
            <w:tcW w:w="749" w:type="dxa"/>
            <w:noWrap w:val="0"/>
            <w:vAlign w:val="center"/>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center"/>
          </w:tcPr>
          <w:p>
            <w:pPr>
              <w:spacing w:line="380" w:lineRule="atLeast"/>
              <w:rPr>
                <w:color w:val="auto"/>
              </w:rPr>
            </w:pPr>
          </w:p>
        </w:tc>
        <w:tc>
          <w:tcPr>
            <w:tcW w:w="1185" w:type="dxa"/>
            <w:noWrap w:val="0"/>
            <w:vAlign w:val="center"/>
          </w:tcPr>
          <w:p>
            <w:pPr>
              <w:spacing w:line="380" w:lineRule="atLeast"/>
              <w:rPr>
                <w:color w:val="auto"/>
              </w:rPr>
            </w:pPr>
          </w:p>
        </w:tc>
        <w:tc>
          <w:tcPr>
            <w:tcW w:w="829" w:type="dxa"/>
            <w:noWrap w:val="0"/>
            <w:vAlign w:val="center"/>
          </w:tcPr>
          <w:p>
            <w:pPr>
              <w:spacing w:line="380" w:lineRule="atLeast"/>
              <w:rPr>
                <w:color w:val="auto"/>
              </w:rPr>
            </w:pPr>
          </w:p>
        </w:tc>
        <w:tc>
          <w:tcPr>
            <w:tcW w:w="1080" w:type="dxa"/>
            <w:noWrap w:val="0"/>
            <w:vAlign w:val="center"/>
          </w:tcPr>
          <w:p>
            <w:pPr>
              <w:spacing w:line="380" w:lineRule="atLeast"/>
              <w:rPr>
                <w:color w:val="auto"/>
              </w:rPr>
            </w:pPr>
          </w:p>
        </w:tc>
        <w:tc>
          <w:tcPr>
            <w:tcW w:w="733" w:type="dxa"/>
            <w:noWrap w:val="0"/>
            <w:vAlign w:val="center"/>
          </w:tcPr>
          <w:p>
            <w:pPr>
              <w:spacing w:line="380" w:lineRule="atLeast"/>
              <w:rPr>
                <w:color w:val="auto"/>
              </w:rPr>
            </w:pPr>
          </w:p>
        </w:tc>
        <w:tc>
          <w:tcPr>
            <w:tcW w:w="805" w:type="dxa"/>
            <w:noWrap w:val="0"/>
            <w:vAlign w:val="center"/>
          </w:tcPr>
          <w:p>
            <w:pPr>
              <w:spacing w:line="380" w:lineRule="atLeast"/>
              <w:rPr>
                <w:color w:val="auto"/>
              </w:rPr>
            </w:pPr>
          </w:p>
        </w:tc>
        <w:tc>
          <w:tcPr>
            <w:tcW w:w="1321" w:type="dxa"/>
            <w:noWrap w:val="0"/>
            <w:vAlign w:val="center"/>
          </w:tcPr>
          <w:p>
            <w:pPr>
              <w:spacing w:line="380" w:lineRule="atLeast"/>
              <w:rPr>
                <w:color w:val="auto"/>
              </w:rPr>
            </w:pPr>
          </w:p>
        </w:tc>
        <w:tc>
          <w:tcPr>
            <w:tcW w:w="1801" w:type="dxa"/>
            <w:noWrap w:val="0"/>
            <w:vAlign w:val="center"/>
          </w:tcPr>
          <w:p>
            <w:pPr>
              <w:spacing w:line="380" w:lineRule="atLeast"/>
              <w:rPr>
                <w:color w:val="auto"/>
              </w:rPr>
            </w:pPr>
          </w:p>
        </w:tc>
        <w:tc>
          <w:tcPr>
            <w:tcW w:w="749" w:type="dxa"/>
            <w:noWrap w:val="0"/>
            <w:vAlign w:val="center"/>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4" w:type="dxa"/>
            <w:noWrap w:val="0"/>
            <w:vAlign w:val="top"/>
          </w:tcPr>
          <w:p>
            <w:pPr>
              <w:spacing w:line="380" w:lineRule="atLeast"/>
              <w:rPr>
                <w:color w:val="auto"/>
              </w:rPr>
            </w:pPr>
          </w:p>
        </w:tc>
        <w:tc>
          <w:tcPr>
            <w:tcW w:w="1185" w:type="dxa"/>
            <w:noWrap w:val="0"/>
            <w:vAlign w:val="top"/>
          </w:tcPr>
          <w:p>
            <w:pPr>
              <w:spacing w:line="380" w:lineRule="atLeast"/>
              <w:rPr>
                <w:color w:val="auto"/>
              </w:rPr>
            </w:pPr>
          </w:p>
        </w:tc>
        <w:tc>
          <w:tcPr>
            <w:tcW w:w="829" w:type="dxa"/>
            <w:noWrap w:val="0"/>
            <w:vAlign w:val="top"/>
          </w:tcPr>
          <w:p>
            <w:pPr>
              <w:spacing w:line="380" w:lineRule="atLeast"/>
              <w:rPr>
                <w:color w:val="auto"/>
              </w:rPr>
            </w:pPr>
          </w:p>
        </w:tc>
        <w:tc>
          <w:tcPr>
            <w:tcW w:w="1080" w:type="dxa"/>
            <w:noWrap w:val="0"/>
            <w:vAlign w:val="top"/>
          </w:tcPr>
          <w:p>
            <w:pPr>
              <w:spacing w:line="380" w:lineRule="atLeast"/>
              <w:rPr>
                <w:color w:val="auto"/>
              </w:rPr>
            </w:pPr>
          </w:p>
        </w:tc>
        <w:tc>
          <w:tcPr>
            <w:tcW w:w="733" w:type="dxa"/>
            <w:noWrap w:val="0"/>
            <w:vAlign w:val="top"/>
          </w:tcPr>
          <w:p>
            <w:pPr>
              <w:spacing w:line="380" w:lineRule="atLeast"/>
              <w:rPr>
                <w:color w:val="auto"/>
              </w:rPr>
            </w:pPr>
          </w:p>
        </w:tc>
        <w:tc>
          <w:tcPr>
            <w:tcW w:w="805" w:type="dxa"/>
            <w:noWrap w:val="0"/>
            <w:vAlign w:val="top"/>
          </w:tcPr>
          <w:p>
            <w:pPr>
              <w:spacing w:line="380" w:lineRule="atLeast"/>
              <w:rPr>
                <w:color w:val="auto"/>
              </w:rPr>
            </w:pPr>
          </w:p>
        </w:tc>
        <w:tc>
          <w:tcPr>
            <w:tcW w:w="1321" w:type="dxa"/>
            <w:noWrap w:val="0"/>
            <w:vAlign w:val="top"/>
          </w:tcPr>
          <w:p>
            <w:pPr>
              <w:spacing w:line="380" w:lineRule="atLeast"/>
              <w:rPr>
                <w:color w:val="auto"/>
              </w:rPr>
            </w:pPr>
          </w:p>
        </w:tc>
        <w:tc>
          <w:tcPr>
            <w:tcW w:w="1801" w:type="dxa"/>
            <w:noWrap w:val="0"/>
            <w:vAlign w:val="top"/>
          </w:tcPr>
          <w:p>
            <w:pPr>
              <w:spacing w:line="380" w:lineRule="atLeast"/>
              <w:rPr>
                <w:color w:val="auto"/>
              </w:rPr>
            </w:pPr>
          </w:p>
        </w:tc>
        <w:tc>
          <w:tcPr>
            <w:tcW w:w="749" w:type="dxa"/>
            <w:noWrap w:val="0"/>
            <w:vAlign w:val="top"/>
          </w:tcPr>
          <w:p>
            <w:pPr>
              <w:spacing w:line="380" w:lineRule="atLeast"/>
              <w:rPr>
                <w:color w:val="auto"/>
              </w:rPr>
            </w:pPr>
          </w:p>
        </w:tc>
      </w:tr>
    </w:tbl>
    <w:p>
      <w:pPr>
        <w:rPr>
          <w:b/>
          <w:color w:val="auto"/>
        </w:rPr>
      </w:pPr>
      <w:r>
        <w:rPr>
          <w:rFonts w:eastAsia="黑体"/>
          <w:color w:val="auto"/>
          <w:sz w:val="20"/>
          <w:szCs w:val="20"/>
        </w:rPr>
        <w:br w:type="page"/>
      </w:r>
      <w:bookmarkStart w:id="2671" w:name="_Toc491089811"/>
      <w:bookmarkStart w:id="2672" w:name="_Toc144974867"/>
      <w:bookmarkStart w:id="2673" w:name="_Toc168476329"/>
      <w:bookmarkStart w:id="2674" w:name="_Toc221952101"/>
      <w:bookmarkStart w:id="2675" w:name="_Toc168475926"/>
      <w:r>
        <w:rPr>
          <w:b/>
          <w:color w:val="auto"/>
        </w:rPr>
        <w:t>附表三：</w:t>
      </w:r>
      <w:r>
        <w:rPr>
          <w:rFonts w:hint="eastAsia"/>
          <w:b/>
          <w:color w:val="auto"/>
        </w:rPr>
        <w:t>拟投入本标段的劳动力计划表</w:t>
      </w:r>
      <w:bookmarkEnd w:id="2671"/>
    </w:p>
    <w:p>
      <w:pPr>
        <w:jc w:val="center"/>
        <w:rPr>
          <w:rFonts w:hint="eastAsia"/>
          <w:color w:val="auto"/>
          <w:sz w:val="28"/>
          <w:szCs w:val="28"/>
        </w:rPr>
      </w:pPr>
    </w:p>
    <w:bookmarkEnd w:id="2672"/>
    <w:bookmarkEnd w:id="2673"/>
    <w:bookmarkEnd w:id="2674"/>
    <w:bookmarkEnd w:id="2675"/>
    <w:p>
      <w:pPr>
        <w:jc w:val="center"/>
        <w:rPr>
          <w:color w:val="auto"/>
          <w:sz w:val="28"/>
          <w:szCs w:val="28"/>
        </w:rPr>
      </w:pPr>
      <w:bookmarkStart w:id="2676" w:name="_Toc221952102"/>
      <w:r>
        <w:rPr>
          <w:rFonts w:hint="eastAsia"/>
          <w:color w:val="auto"/>
          <w:sz w:val="28"/>
          <w:szCs w:val="28"/>
        </w:rPr>
        <w:t>拟投入本标段的劳动力计划表</w:t>
      </w:r>
    </w:p>
    <w:p>
      <w:pPr>
        <w:spacing w:line="440" w:lineRule="exact"/>
        <w:ind w:right="200"/>
        <w:jc w:val="right"/>
        <w:rPr>
          <w:rFonts w:eastAsia="黑体"/>
          <w:color w:val="auto"/>
          <w:szCs w:val="21"/>
        </w:rPr>
      </w:pPr>
      <w:r>
        <w:rPr>
          <w:rFonts w:eastAsia="黑体"/>
          <w:color w:val="auto"/>
          <w:szCs w:val="21"/>
        </w:rPr>
        <w:t>单位：人</w:t>
      </w:r>
      <w:bookmarkEnd w:id="2676"/>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1420"/>
        <w:gridCol w:w="1161"/>
        <w:gridCol w:w="1161"/>
        <w:gridCol w:w="1161"/>
        <w:gridCol w:w="1161"/>
        <w:gridCol w:w="1161"/>
        <w:gridCol w:w="1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center"/>
          </w:tcPr>
          <w:p>
            <w:pPr>
              <w:jc w:val="center"/>
              <w:rPr>
                <w:color w:val="auto"/>
              </w:rPr>
            </w:pPr>
            <w:bookmarkStart w:id="2677" w:name="_Toc221952103"/>
            <w:r>
              <w:rPr>
                <w:color w:val="auto"/>
              </w:rPr>
              <w:t>工种</w:t>
            </w:r>
            <w:bookmarkEnd w:id="2677"/>
          </w:p>
        </w:tc>
        <w:tc>
          <w:tcPr>
            <w:tcW w:w="8384" w:type="dxa"/>
            <w:gridSpan w:val="7"/>
            <w:noWrap w:val="0"/>
            <w:vAlign w:val="center"/>
          </w:tcPr>
          <w:p>
            <w:pPr>
              <w:jc w:val="center"/>
              <w:rPr>
                <w:color w:val="auto"/>
              </w:rPr>
            </w:pPr>
            <w:bookmarkStart w:id="2678" w:name="_Toc221952104"/>
            <w:r>
              <w:rPr>
                <w:color w:val="auto"/>
              </w:rPr>
              <w:t>按工程施工阶段投入劳动力情况</w:t>
            </w:r>
            <w:bookmarkEnd w:id="26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center"/>
          </w:tcPr>
          <w:p>
            <w:pPr>
              <w:jc w:val="center"/>
              <w:rPr>
                <w:color w:val="auto"/>
              </w:rPr>
            </w:pPr>
          </w:p>
        </w:tc>
        <w:tc>
          <w:tcPr>
            <w:tcW w:w="1420"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59" w:type="dxa"/>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center"/>
          </w:tcPr>
          <w:p>
            <w:pPr>
              <w:jc w:val="center"/>
              <w:rPr>
                <w:color w:val="auto"/>
              </w:rPr>
            </w:pPr>
          </w:p>
        </w:tc>
        <w:tc>
          <w:tcPr>
            <w:tcW w:w="1420"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61" w:type="dxa"/>
            <w:noWrap w:val="0"/>
            <w:vAlign w:val="center"/>
          </w:tcPr>
          <w:p>
            <w:pPr>
              <w:jc w:val="center"/>
              <w:rPr>
                <w:color w:val="auto"/>
              </w:rPr>
            </w:pPr>
          </w:p>
        </w:tc>
        <w:tc>
          <w:tcPr>
            <w:tcW w:w="1159" w:type="dxa"/>
            <w:noWrap w:val="0"/>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02" w:type="dxa"/>
            <w:noWrap w:val="0"/>
            <w:vAlign w:val="top"/>
          </w:tcPr>
          <w:p>
            <w:pPr>
              <w:jc w:val="center"/>
              <w:rPr>
                <w:color w:val="auto"/>
              </w:rPr>
            </w:pPr>
          </w:p>
        </w:tc>
        <w:tc>
          <w:tcPr>
            <w:tcW w:w="1420"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61" w:type="dxa"/>
            <w:noWrap w:val="0"/>
            <w:vAlign w:val="top"/>
          </w:tcPr>
          <w:p>
            <w:pPr>
              <w:jc w:val="center"/>
              <w:rPr>
                <w:color w:val="auto"/>
              </w:rPr>
            </w:pPr>
          </w:p>
        </w:tc>
        <w:tc>
          <w:tcPr>
            <w:tcW w:w="1159" w:type="dxa"/>
            <w:noWrap w:val="0"/>
            <w:vAlign w:val="top"/>
          </w:tcPr>
          <w:p>
            <w:pPr>
              <w:jc w:val="center"/>
              <w:rPr>
                <w:color w:val="auto"/>
              </w:rPr>
            </w:pPr>
          </w:p>
        </w:tc>
      </w:tr>
    </w:tbl>
    <w:p>
      <w:pPr>
        <w:spacing w:line="440" w:lineRule="exact"/>
        <w:rPr>
          <w:rFonts w:eastAsia="黑体"/>
          <w:color w:val="auto"/>
          <w:sz w:val="20"/>
          <w:szCs w:val="20"/>
        </w:rPr>
      </w:pPr>
    </w:p>
    <w:p>
      <w:pPr>
        <w:spacing w:line="440" w:lineRule="exact"/>
        <w:rPr>
          <w:rFonts w:eastAsia="黑体"/>
          <w:color w:val="auto"/>
          <w:sz w:val="20"/>
          <w:szCs w:val="20"/>
        </w:rPr>
      </w:pPr>
    </w:p>
    <w:p>
      <w:pPr>
        <w:spacing w:line="380" w:lineRule="atLeast"/>
        <w:rPr>
          <w:rFonts w:hint="eastAsia"/>
          <w:color w:val="auto"/>
        </w:rPr>
      </w:pPr>
    </w:p>
    <w:p>
      <w:pPr>
        <w:rPr>
          <w:b/>
          <w:color w:val="auto"/>
        </w:rPr>
      </w:pPr>
      <w:bookmarkStart w:id="2679" w:name="_Toc491089812"/>
      <w:bookmarkStart w:id="2680" w:name="_Toc168476330"/>
      <w:bookmarkStart w:id="2681" w:name="_Toc221952105"/>
      <w:bookmarkStart w:id="2682" w:name="_Toc144974868"/>
      <w:bookmarkStart w:id="2683" w:name="_Toc168475927"/>
      <w:r>
        <w:rPr>
          <w:b/>
          <w:color w:val="auto"/>
        </w:rPr>
        <w:br w:type="page"/>
      </w:r>
      <w:r>
        <w:rPr>
          <w:b/>
          <w:color w:val="auto"/>
        </w:rPr>
        <w:t>附表四：计划开</w:t>
      </w:r>
      <w:r>
        <w:rPr>
          <w:rFonts w:hint="eastAsia"/>
          <w:b/>
          <w:color w:val="auto"/>
        </w:rPr>
        <w:t>工日期</w:t>
      </w:r>
      <w:r>
        <w:rPr>
          <w:b/>
          <w:color w:val="auto"/>
        </w:rPr>
        <w:t>、</w:t>
      </w:r>
      <w:r>
        <w:rPr>
          <w:rFonts w:hint="eastAsia"/>
          <w:b/>
          <w:color w:val="auto"/>
        </w:rPr>
        <w:t>完工</w:t>
      </w:r>
      <w:r>
        <w:rPr>
          <w:b/>
          <w:color w:val="auto"/>
        </w:rPr>
        <w:t>日期和施工进度网络图</w:t>
      </w:r>
      <w:bookmarkEnd w:id="2679"/>
    </w:p>
    <w:p>
      <w:pPr>
        <w:jc w:val="center"/>
        <w:rPr>
          <w:rFonts w:hint="eastAsia"/>
          <w:color w:val="auto"/>
          <w:sz w:val="28"/>
          <w:szCs w:val="28"/>
        </w:rPr>
      </w:pPr>
    </w:p>
    <w:p>
      <w:pPr>
        <w:jc w:val="center"/>
        <w:rPr>
          <w:rFonts w:hint="eastAsia"/>
          <w:color w:val="auto"/>
          <w:sz w:val="28"/>
          <w:szCs w:val="28"/>
        </w:rPr>
      </w:pPr>
    </w:p>
    <w:bookmarkEnd w:id="2680"/>
    <w:bookmarkEnd w:id="2681"/>
    <w:bookmarkEnd w:id="2682"/>
    <w:bookmarkEnd w:id="2683"/>
    <w:p>
      <w:pPr>
        <w:jc w:val="center"/>
        <w:rPr>
          <w:color w:val="auto"/>
          <w:sz w:val="28"/>
          <w:szCs w:val="28"/>
        </w:rPr>
      </w:pPr>
      <w:r>
        <w:rPr>
          <w:color w:val="auto"/>
          <w:sz w:val="28"/>
          <w:szCs w:val="28"/>
        </w:rPr>
        <w:t>计划开</w:t>
      </w:r>
      <w:r>
        <w:rPr>
          <w:rFonts w:hint="eastAsia"/>
          <w:color w:val="auto"/>
          <w:sz w:val="28"/>
          <w:szCs w:val="28"/>
        </w:rPr>
        <w:t>工日期</w:t>
      </w:r>
      <w:r>
        <w:rPr>
          <w:color w:val="auto"/>
          <w:sz w:val="28"/>
          <w:szCs w:val="28"/>
        </w:rPr>
        <w:t>、</w:t>
      </w:r>
      <w:r>
        <w:rPr>
          <w:rFonts w:hint="eastAsia"/>
          <w:color w:val="auto"/>
          <w:sz w:val="28"/>
          <w:szCs w:val="28"/>
        </w:rPr>
        <w:t>完工</w:t>
      </w:r>
      <w:r>
        <w:rPr>
          <w:color w:val="auto"/>
          <w:sz w:val="28"/>
          <w:szCs w:val="28"/>
        </w:rPr>
        <w:t>日期和施工进度网络图</w:t>
      </w:r>
    </w:p>
    <w:p>
      <w:pPr>
        <w:spacing w:line="440" w:lineRule="exact"/>
        <w:rPr>
          <w:rFonts w:eastAsia="黑体"/>
          <w:color w:val="auto"/>
          <w:sz w:val="20"/>
          <w:szCs w:val="20"/>
        </w:rPr>
      </w:pPr>
    </w:p>
    <w:p>
      <w:pPr>
        <w:spacing w:line="440" w:lineRule="exact"/>
        <w:ind w:firstLine="420" w:firstLineChars="200"/>
        <w:rPr>
          <w:color w:val="auto"/>
          <w:szCs w:val="21"/>
        </w:rPr>
      </w:pPr>
      <w:bookmarkStart w:id="2684" w:name="_Toc221952106"/>
      <w:r>
        <w:rPr>
          <w:color w:val="auto"/>
          <w:szCs w:val="21"/>
        </w:rPr>
        <w:t>1. 投标人应递交施工进度网络图或施工进度表，说明按招标文件要求的计划工期进行施工的各个关键日期。</w:t>
      </w:r>
      <w:bookmarkEnd w:id="2684"/>
    </w:p>
    <w:p>
      <w:pPr>
        <w:spacing w:line="440" w:lineRule="exact"/>
        <w:ind w:firstLine="420" w:firstLineChars="200"/>
        <w:rPr>
          <w:color w:val="auto"/>
          <w:szCs w:val="21"/>
        </w:rPr>
      </w:pPr>
      <w:bookmarkStart w:id="2685" w:name="_Toc221952107"/>
      <w:r>
        <w:rPr>
          <w:color w:val="auto"/>
          <w:szCs w:val="21"/>
        </w:rPr>
        <w:t>2. 施工进度表可采用</w:t>
      </w:r>
      <w:r>
        <w:rPr>
          <w:rFonts w:hint="eastAsia"/>
          <w:color w:val="auto"/>
          <w:szCs w:val="21"/>
          <w:u w:val="single"/>
        </w:rPr>
        <w:t xml:space="preserve">                               </w:t>
      </w:r>
      <w:r>
        <w:rPr>
          <w:color w:val="auto"/>
          <w:szCs w:val="21"/>
        </w:rPr>
        <w:t>网络图（或横道图）表示。</w:t>
      </w:r>
      <w:bookmarkEnd w:id="2685"/>
    </w:p>
    <w:p>
      <w:pPr>
        <w:spacing w:line="440" w:lineRule="exact"/>
        <w:rPr>
          <w:color w:val="auto"/>
          <w:sz w:val="20"/>
          <w:szCs w:val="20"/>
        </w:rPr>
      </w:pPr>
    </w:p>
    <w:p>
      <w:pPr>
        <w:spacing w:line="440" w:lineRule="exact"/>
        <w:rPr>
          <w:rFonts w:eastAsia="黑体"/>
          <w:color w:val="auto"/>
          <w:sz w:val="20"/>
          <w:szCs w:val="20"/>
        </w:rPr>
      </w:pPr>
    </w:p>
    <w:p>
      <w:pPr>
        <w:spacing w:line="440" w:lineRule="exact"/>
        <w:rPr>
          <w:rFonts w:eastAsia="黑体"/>
          <w:color w:val="auto"/>
          <w:sz w:val="20"/>
          <w:szCs w:val="20"/>
        </w:rPr>
      </w:pPr>
      <w:r>
        <w:rPr>
          <w:rFonts w:eastAsia="黑体"/>
          <w:color w:val="auto"/>
          <w:sz w:val="20"/>
          <w:szCs w:val="20"/>
        </w:rPr>
        <w:br w:type="page"/>
      </w:r>
      <w:bookmarkStart w:id="2686" w:name="_Toc491089813"/>
      <w:bookmarkStart w:id="2687" w:name="_Toc168475928"/>
      <w:bookmarkStart w:id="2688" w:name="_Toc144974869"/>
      <w:bookmarkStart w:id="2689" w:name="_Toc168476331"/>
      <w:bookmarkStart w:id="2690" w:name="_Toc221952108"/>
      <w:r>
        <w:rPr>
          <w:b/>
          <w:color w:val="auto"/>
        </w:rPr>
        <w:t>附表五：施工总平面图</w:t>
      </w:r>
      <w:bookmarkEnd w:id="2686"/>
    </w:p>
    <w:p>
      <w:pPr>
        <w:jc w:val="center"/>
        <w:rPr>
          <w:rFonts w:hint="eastAsia"/>
          <w:color w:val="auto"/>
          <w:sz w:val="28"/>
          <w:szCs w:val="28"/>
        </w:rPr>
      </w:pPr>
    </w:p>
    <w:p>
      <w:pPr>
        <w:jc w:val="center"/>
        <w:rPr>
          <w:color w:val="auto"/>
          <w:sz w:val="28"/>
          <w:szCs w:val="28"/>
        </w:rPr>
      </w:pPr>
      <w:r>
        <w:rPr>
          <w:color w:val="auto"/>
          <w:sz w:val="28"/>
          <w:szCs w:val="28"/>
        </w:rPr>
        <w:t>施工总平面图</w:t>
      </w:r>
      <w:bookmarkEnd w:id="2687"/>
      <w:bookmarkEnd w:id="2688"/>
      <w:bookmarkEnd w:id="2689"/>
      <w:bookmarkEnd w:id="2690"/>
    </w:p>
    <w:p>
      <w:pPr>
        <w:spacing w:line="440" w:lineRule="exact"/>
        <w:rPr>
          <w:rFonts w:eastAsia="黑体"/>
          <w:color w:val="auto"/>
          <w:sz w:val="20"/>
          <w:szCs w:val="20"/>
        </w:rPr>
      </w:pPr>
      <w:r>
        <w:rPr>
          <w:rFonts w:eastAsia="黑体"/>
          <w:color w:val="auto"/>
          <w:sz w:val="20"/>
          <w:szCs w:val="20"/>
        </w:rPr>
        <w:tab/>
      </w:r>
    </w:p>
    <w:p>
      <w:pPr>
        <w:spacing w:line="440" w:lineRule="exact"/>
        <w:ind w:firstLine="420" w:firstLineChars="200"/>
        <w:rPr>
          <w:color w:val="auto"/>
          <w:szCs w:val="21"/>
        </w:rPr>
      </w:pPr>
      <w:bookmarkStart w:id="2691" w:name="_Toc221952109"/>
      <w:r>
        <w:rPr>
          <w:color w:val="auto"/>
          <w:szCs w:val="21"/>
        </w:rPr>
        <w:t>投标人应递交一份施工总平面图，绘出现场临时设施布置图</w:t>
      </w:r>
      <w:r>
        <w:rPr>
          <w:rFonts w:hint="eastAsia"/>
          <w:color w:val="auto"/>
          <w:szCs w:val="21"/>
        </w:rPr>
        <w:t>及</w:t>
      </w:r>
      <w:r>
        <w:rPr>
          <w:color w:val="auto"/>
          <w:szCs w:val="21"/>
        </w:rPr>
        <w:t>表并附文字说明，说明临时设施、加工车间、现场办公、设备及仓储、供电、供水、卫生、生活、道路、消防等设施的情况和布置。</w:t>
      </w:r>
      <w:bookmarkEnd w:id="2691"/>
    </w:p>
    <w:p>
      <w:pPr>
        <w:spacing w:line="440" w:lineRule="exact"/>
        <w:rPr>
          <w:rFonts w:eastAsia="黑体"/>
          <w:color w:val="auto"/>
          <w:sz w:val="20"/>
          <w:szCs w:val="20"/>
        </w:rPr>
      </w:pPr>
    </w:p>
    <w:p>
      <w:pPr>
        <w:spacing w:line="440" w:lineRule="exact"/>
        <w:rPr>
          <w:rFonts w:eastAsia="黑体"/>
          <w:color w:val="auto"/>
          <w:sz w:val="20"/>
          <w:szCs w:val="20"/>
        </w:rPr>
      </w:pPr>
      <w:r>
        <w:rPr>
          <w:rFonts w:eastAsia="黑体"/>
          <w:color w:val="auto"/>
          <w:sz w:val="20"/>
          <w:szCs w:val="20"/>
        </w:rPr>
        <w:br w:type="page"/>
      </w:r>
      <w:bookmarkStart w:id="2692" w:name="_Toc491089814"/>
      <w:bookmarkStart w:id="2693" w:name="_Toc144974870"/>
      <w:bookmarkStart w:id="2694" w:name="_Toc168475929"/>
      <w:bookmarkStart w:id="2695" w:name="_Toc221952110"/>
      <w:bookmarkStart w:id="2696" w:name="_Toc168476332"/>
      <w:r>
        <w:rPr>
          <w:b/>
          <w:color w:val="auto"/>
        </w:rPr>
        <w:t>附表六</w:t>
      </w:r>
      <w:r>
        <w:rPr>
          <w:rFonts w:hint="eastAsia"/>
          <w:b/>
          <w:color w:val="auto"/>
        </w:rPr>
        <w:t>：</w:t>
      </w:r>
      <w:r>
        <w:rPr>
          <w:b/>
          <w:color w:val="auto"/>
        </w:rPr>
        <w:t>临时用地表</w:t>
      </w:r>
      <w:bookmarkEnd w:id="2692"/>
    </w:p>
    <w:p>
      <w:pPr>
        <w:jc w:val="center"/>
        <w:rPr>
          <w:rFonts w:hint="eastAsia"/>
          <w:color w:val="auto"/>
          <w:sz w:val="28"/>
          <w:szCs w:val="28"/>
        </w:rPr>
      </w:pPr>
    </w:p>
    <w:p>
      <w:pPr>
        <w:jc w:val="center"/>
        <w:rPr>
          <w:color w:val="auto"/>
        </w:rPr>
      </w:pPr>
      <w:r>
        <w:rPr>
          <w:color w:val="auto"/>
          <w:sz w:val="28"/>
          <w:szCs w:val="28"/>
        </w:rPr>
        <w:t>临时用地表</w:t>
      </w:r>
      <w:bookmarkEnd w:id="2693"/>
      <w:bookmarkEnd w:id="2694"/>
      <w:bookmarkEnd w:id="2695"/>
      <w:bookmarkEnd w:id="2696"/>
    </w:p>
    <w:p>
      <w:pPr>
        <w:spacing w:line="440" w:lineRule="exact"/>
        <w:jc w:val="center"/>
        <w:rPr>
          <w:color w:val="auto"/>
          <w:sz w:val="23"/>
          <w:szCs w:val="23"/>
        </w:rPr>
      </w:pP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1"/>
        <w:gridCol w:w="2321"/>
        <w:gridCol w:w="232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bookmarkStart w:id="2697" w:name="_Toc221952111"/>
            <w:r>
              <w:rPr>
                <w:color w:val="auto"/>
              </w:rPr>
              <w:t>用 途</w:t>
            </w:r>
            <w:bookmarkEnd w:id="2697"/>
            <w:r>
              <w:rPr>
                <w:color w:val="auto"/>
              </w:rPr>
              <w:cr/>
            </w:r>
          </w:p>
        </w:tc>
        <w:tc>
          <w:tcPr>
            <w:tcW w:w="2321" w:type="dxa"/>
            <w:noWrap w:val="0"/>
            <w:vAlign w:val="top"/>
          </w:tcPr>
          <w:p>
            <w:pPr>
              <w:spacing w:line="380" w:lineRule="atLeast"/>
              <w:jc w:val="center"/>
              <w:rPr>
                <w:color w:val="auto"/>
              </w:rPr>
            </w:pPr>
            <w:bookmarkStart w:id="2698" w:name="_Toc221952112"/>
            <w:r>
              <w:rPr>
                <w:color w:val="auto"/>
              </w:rPr>
              <w:t>面 积（</w:t>
            </w:r>
            <w:r>
              <w:rPr>
                <w:rFonts w:hint="eastAsia"/>
                <w:color w:val="auto"/>
              </w:rPr>
              <w:t>m</w:t>
            </w:r>
            <w:r>
              <w:rPr>
                <w:rFonts w:hint="eastAsia"/>
                <w:color w:val="auto"/>
                <w:vertAlign w:val="superscript"/>
              </w:rPr>
              <w:t>2</w:t>
            </w:r>
            <w:r>
              <w:rPr>
                <w:color w:val="auto"/>
              </w:rPr>
              <w:t>）</w:t>
            </w:r>
            <w:bookmarkEnd w:id="2698"/>
          </w:p>
        </w:tc>
        <w:tc>
          <w:tcPr>
            <w:tcW w:w="2322" w:type="dxa"/>
            <w:noWrap w:val="0"/>
            <w:vAlign w:val="top"/>
          </w:tcPr>
          <w:p>
            <w:pPr>
              <w:spacing w:line="380" w:lineRule="atLeast"/>
              <w:jc w:val="center"/>
              <w:rPr>
                <w:color w:val="auto"/>
              </w:rPr>
            </w:pPr>
            <w:bookmarkStart w:id="2699" w:name="_Toc221952113"/>
            <w:r>
              <w:rPr>
                <w:color w:val="auto"/>
              </w:rPr>
              <w:t>位 置</w:t>
            </w:r>
            <w:bookmarkEnd w:id="2699"/>
          </w:p>
        </w:tc>
        <w:tc>
          <w:tcPr>
            <w:tcW w:w="2322" w:type="dxa"/>
            <w:noWrap w:val="0"/>
            <w:vAlign w:val="top"/>
          </w:tcPr>
          <w:p>
            <w:pPr>
              <w:spacing w:line="380" w:lineRule="atLeast"/>
              <w:jc w:val="center"/>
              <w:rPr>
                <w:color w:val="auto"/>
              </w:rPr>
            </w:pPr>
            <w:bookmarkStart w:id="2700" w:name="_Toc221952114"/>
            <w:r>
              <w:rPr>
                <w:color w:val="auto"/>
              </w:rPr>
              <w:t>需用时间</w:t>
            </w:r>
            <w:bookmarkEnd w:id="27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1" w:type="dxa"/>
            <w:noWrap w:val="0"/>
            <w:vAlign w:val="top"/>
          </w:tcPr>
          <w:p>
            <w:pPr>
              <w:spacing w:line="380" w:lineRule="atLeast"/>
              <w:jc w:val="center"/>
              <w:rPr>
                <w:color w:val="auto"/>
              </w:rPr>
            </w:pPr>
          </w:p>
        </w:tc>
        <w:tc>
          <w:tcPr>
            <w:tcW w:w="2321"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c>
          <w:tcPr>
            <w:tcW w:w="2322" w:type="dxa"/>
            <w:noWrap w:val="0"/>
            <w:vAlign w:val="top"/>
          </w:tcPr>
          <w:p>
            <w:pPr>
              <w:spacing w:line="380" w:lineRule="atLeast"/>
              <w:jc w:val="center"/>
              <w:rPr>
                <w:color w:val="auto"/>
              </w:rPr>
            </w:pPr>
          </w:p>
        </w:tc>
      </w:tr>
    </w:tbl>
    <w:p>
      <w:pPr>
        <w:spacing w:line="440" w:lineRule="exact"/>
        <w:jc w:val="center"/>
        <w:rPr>
          <w:rFonts w:eastAsia="黑体"/>
          <w:color w:val="auto"/>
          <w:sz w:val="27"/>
          <w:szCs w:val="27"/>
        </w:rPr>
      </w:pPr>
    </w:p>
    <w:p>
      <w:pPr>
        <w:pStyle w:val="87"/>
        <w:jc w:val="center"/>
        <w:rPr>
          <w:color w:val="auto"/>
          <w:szCs w:val="28"/>
        </w:rPr>
        <w:sectPr>
          <w:pgSz w:w="11906" w:h="16838"/>
          <w:pgMar w:top="1418" w:right="1469" w:bottom="1418" w:left="1418" w:header="851" w:footer="992" w:gutter="0"/>
          <w:pgNumType w:fmt="decimal"/>
          <w:cols w:space="720" w:num="1"/>
          <w:docGrid w:linePitch="312" w:charSpace="0"/>
        </w:sectPr>
      </w:pPr>
    </w:p>
    <w:p>
      <w:pPr>
        <w:pStyle w:val="80"/>
        <w:spacing w:before="120" w:after="120" w:afterLines="50"/>
        <w:jc w:val="center"/>
        <w:rPr>
          <w:b/>
          <w:color w:val="auto"/>
        </w:rPr>
      </w:pPr>
      <w:bookmarkStart w:id="2701" w:name="_Toc491089815"/>
      <w:bookmarkStart w:id="2702" w:name="_Toc13087"/>
      <w:r>
        <w:rPr>
          <w:rFonts w:hint="eastAsia"/>
          <w:b/>
          <w:color w:val="auto"/>
        </w:rPr>
        <w:t>六、</w:t>
      </w:r>
      <w:r>
        <w:rPr>
          <w:b/>
          <w:color w:val="auto"/>
        </w:rPr>
        <w:t>项目管理机构</w:t>
      </w:r>
      <w:bookmarkEnd w:id="2701"/>
      <w:bookmarkEnd w:id="2702"/>
    </w:p>
    <w:p>
      <w:pPr>
        <w:rPr>
          <w:rFonts w:hint="eastAsia"/>
          <w:color w:val="auto"/>
        </w:rPr>
      </w:pPr>
    </w:p>
    <w:p>
      <w:pPr>
        <w:pStyle w:val="87"/>
        <w:spacing w:after="120" w:afterLines="50"/>
        <w:jc w:val="center"/>
        <w:rPr>
          <w:rFonts w:hint="eastAsia"/>
          <w:color w:val="auto"/>
          <w:sz w:val="28"/>
          <w:szCs w:val="28"/>
        </w:rPr>
      </w:pPr>
      <w:bookmarkStart w:id="2703" w:name="_Toc7"/>
      <w:bookmarkStart w:id="2704" w:name="_Toc491089816"/>
      <w:r>
        <w:rPr>
          <w:rFonts w:hint="eastAsia"/>
          <w:color w:val="auto"/>
          <w:sz w:val="28"/>
          <w:szCs w:val="28"/>
        </w:rPr>
        <w:t>（一）项目管理机构主要人员表</w:t>
      </w:r>
      <w:bookmarkEnd w:id="2703"/>
      <w:bookmarkEnd w:id="2704"/>
    </w:p>
    <w:tbl>
      <w:tblPr>
        <w:tblStyle w:val="38"/>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74"/>
        <w:gridCol w:w="874"/>
        <w:gridCol w:w="874"/>
        <w:gridCol w:w="874"/>
        <w:gridCol w:w="877"/>
        <w:gridCol w:w="877"/>
        <w:gridCol w:w="989"/>
        <w:gridCol w:w="765"/>
        <w:gridCol w:w="877"/>
        <w:gridCol w:w="877"/>
        <w:gridCol w:w="1026"/>
        <w:gridCol w:w="729"/>
        <w:gridCol w:w="877"/>
        <w:gridCol w:w="877"/>
        <w:gridCol w:w="878"/>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3" w:hRule="atLeast"/>
        </w:trPr>
        <w:tc>
          <w:tcPr>
            <w:tcW w:w="312" w:type="pct"/>
            <w:vMerge w:val="restart"/>
            <w:noWrap w:val="0"/>
            <w:vAlign w:val="center"/>
          </w:tcPr>
          <w:p>
            <w:pPr>
              <w:jc w:val="center"/>
              <w:rPr>
                <w:color w:val="auto"/>
                <w:szCs w:val="21"/>
              </w:rPr>
            </w:pPr>
            <w:r>
              <w:rPr>
                <w:rFonts w:hint="eastAsia"/>
                <w:color w:val="auto"/>
                <w:szCs w:val="21"/>
              </w:rPr>
              <w:t>序号</w:t>
            </w:r>
          </w:p>
        </w:tc>
        <w:tc>
          <w:tcPr>
            <w:tcW w:w="312" w:type="pct"/>
            <w:vMerge w:val="restart"/>
            <w:noWrap w:val="0"/>
            <w:vAlign w:val="center"/>
          </w:tcPr>
          <w:p>
            <w:pPr>
              <w:jc w:val="center"/>
              <w:rPr>
                <w:color w:val="auto"/>
                <w:szCs w:val="21"/>
              </w:rPr>
            </w:pPr>
            <w:r>
              <w:rPr>
                <w:rFonts w:hint="eastAsia"/>
                <w:color w:val="auto"/>
                <w:szCs w:val="21"/>
              </w:rPr>
              <w:t>拟任职务</w:t>
            </w:r>
          </w:p>
        </w:tc>
        <w:tc>
          <w:tcPr>
            <w:tcW w:w="312" w:type="pct"/>
            <w:vMerge w:val="restart"/>
            <w:noWrap w:val="0"/>
            <w:vAlign w:val="center"/>
          </w:tcPr>
          <w:p>
            <w:pPr>
              <w:jc w:val="center"/>
              <w:rPr>
                <w:color w:val="auto"/>
                <w:szCs w:val="21"/>
              </w:rPr>
            </w:pPr>
            <w:r>
              <w:rPr>
                <w:rFonts w:hint="eastAsia"/>
                <w:color w:val="auto"/>
                <w:szCs w:val="21"/>
              </w:rPr>
              <w:t>姓名</w:t>
            </w:r>
          </w:p>
        </w:tc>
        <w:tc>
          <w:tcPr>
            <w:tcW w:w="312" w:type="pct"/>
            <w:vMerge w:val="restart"/>
            <w:noWrap w:val="0"/>
            <w:vAlign w:val="center"/>
          </w:tcPr>
          <w:p>
            <w:pPr>
              <w:jc w:val="center"/>
              <w:rPr>
                <w:color w:val="auto"/>
                <w:szCs w:val="21"/>
              </w:rPr>
            </w:pPr>
            <w:r>
              <w:rPr>
                <w:rFonts w:hint="eastAsia"/>
                <w:color w:val="auto"/>
                <w:szCs w:val="21"/>
              </w:rPr>
              <w:t>性别</w:t>
            </w:r>
          </w:p>
        </w:tc>
        <w:tc>
          <w:tcPr>
            <w:tcW w:w="313" w:type="pct"/>
            <w:vMerge w:val="restart"/>
            <w:noWrap w:val="0"/>
            <w:vAlign w:val="center"/>
          </w:tcPr>
          <w:p>
            <w:pPr>
              <w:jc w:val="center"/>
              <w:rPr>
                <w:color w:val="auto"/>
                <w:szCs w:val="21"/>
              </w:rPr>
            </w:pPr>
            <w:r>
              <w:rPr>
                <w:rFonts w:hint="eastAsia"/>
                <w:color w:val="auto"/>
                <w:szCs w:val="21"/>
              </w:rPr>
              <w:t>年龄</w:t>
            </w:r>
          </w:p>
        </w:tc>
        <w:tc>
          <w:tcPr>
            <w:tcW w:w="313" w:type="pct"/>
            <w:vMerge w:val="restart"/>
            <w:noWrap w:val="0"/>
            <w:vAlign w:val="center"/>
          </w:tcPr>
          <w:p>
            <w:pPr>
              <w:jc w:val="center"/>
              <w:rPr>
                <w:color w:val="auto"/>
                <w:szCs w:val="21"/>
              </w:rPr>
            </w:pPr>
            <w:r>
              <w:rPr>
                <w:rFonts w:hint="eastAsia"/>
                <w:color w:val="auto"/>
                <w:szCs w:val="21"/>
              </w:rPr>
              <w:t>学历</w:t>
            </w:r>
          </w:p>
        </w:tc>
        <w:tc>
          <w:tcPr>
            <w:tcW w:w="353" w:type="pct"/>
            <w:vMerge w:val="restart"/>
            <w:noWrap w:val="0"/>
            <w:vAlign w:val="center"/>
          </w:tcPr>
          <w:p>
            <w:pPr>
              <w:jc w:val="center"/>
              <w:rPr>
                <w:color w:val="auto"/>
                <w:szCs w:val="21"/>
              </w:rPr>
            </w:pPr>
            <w:r>
              <w:rPr>
                <w:rFonts w:hint="eastAsia"/>
                <w:color w:val="auto"/>
                <w:szCs w:val="21"/>
              </w:rPr>
              <w:t>专业</w:t>
            </w:r>
          </w:p>
        </w:tc>
        <w:tc>
          <w:tcPr>
            <w:tcW w:w="273" w:type="pct"/>
            <w:vMerge w:val="restart"/>
            <w:noWrap w:val="0"/>
            <w:vAlign w:val="center"/>
          </w:tcPr>
          <w:p>
            <w:pPr>
              <w:jc w:val="center"/>
              <w:rPr>
                <w:rFonts w:hint="eastAsia"/>
                <w:color w:val="auto"/>
                <w:szCs w:val="21"/>
              </w:rPr>
            </w:pPr>
            <w:r>
              <w:rPr>
                <w:color w:val="auto"/>
                <w:szCs w:val="21"/>
              </w:rPr>
              <w:t>专业</w:t>
            </w:r>
          </w:p>
          <w:p>
            <w:pPr>
              <w:jc w:val="center"/>
              <w:rPr>
                <w:rFonts w:hint="eastAsia"/>
                <w:color w:val="auto"/>
                <w:szCs w:val="21"/>
              </w:rPr>
            </w:pPr>
            <w:r>
              <w:rPr>
                <w:rFonts w:hint="eastAsia"/>
                <w:color w:val="auto"/>
                <w:szCs w:val="21"/>
              </w:rPr>
              <w:t>工作</w:t>
            </w:r>
          </w:p>
          <w:p>
            <w:pPr>
              <w:jc w:val="center"/>
              <w:rPr>
                <w:rFonts w:hint="eastAsia"/>
                <w:color w:val="auto"/>
                <w:szCs w:val="21"/>
              </w:rPr>
            </w:pPr>
            <w:r>
              <w:rPr>
                <w:rFonts w:hint="eastAsia"/>
                <w:color w:val="auto"/>
                <w:szCs w:val="21"/>
              </w:rPr>
              <w:t>年限</w:t>
            </w:r>
          </w:p>
        </w:tc>
        <w:tc>
          <w:tcPr>
            <w:tcW w:w="626" w:type="pct"/>
            <w:gridSpan w:val="2"/>
            <w:noWrap w:val="0"/>
            <w:vAlign w:val="center"/>
          </w:tcPr>
          <w:p>
            <w:pPr>
              <w:jc w:val="center"/>
              <w:rPr>
                <w:rFonts w:hint="eastAsia" w:ascii="宋体" w:hAnsi="宋体"/>
                <w:color w:val="auto"/>
                <w:szCs w:val="21"/>
              </w:rPr>
            </w:pPr>
            <w:r>
              <w:rPr>
                <w:rFonts w:hint="eastAsia" w:ascii="宋体" w:hAnsi="宋体"/>
                <w:color w:val="auto"/>
                <w:szCs w:val="21"/>
              </w:rPr>
              <w:t>技术职称</w:t>
            </w:r>
          </w:p>
        </w:tc>
        <w:tc>
          <w:tcPr>
            <w:tcW w:w="1252" w:type="pct"/>
            <w:gridSpan w:val="4"/>
            <w:noWrap w:val="0"/>
            <w:vAlign w:val="center"/>
          </w:tcPr>
          <w:p>
            <w:pPr>
              <w:jc w:val="center"/>
              <w:rPr>
                <w:color w:val="auto"/>
                <w:szCs w:val="21"/>
              </w:rPr>
            </w:pPr>
            <w:r>
              <w:rPr>
                <w:rFonts w:hint="eastAsia" w:ascii="宋体" w:hAnsi="宋体"/>
                <w:color w:val="auto"/>
                <w:szCs w:val="21"/>
              </w:rPr>
              <w:t>执业或职业资格证明</w:t>
            </w:r>
          </w:p>
        </w:tc>
        <w:tc>
          <w:tcPr>
            <w:tcW w:w="313" w:type="pct"/>
            <w:vMerge w:val="restart"/>
            <w:noWrap w:val="0"/>
            <w:vAlign w:val="center"/>
          </w:tcPr>
          <w:p>
            <w:pPr>
              <w:jc w:val="center"/>
              <w:rPr>
                <w:rFonts w:hint="eastAsia" w:ascii="宋体" w:hAnsi="宋体"/>
                <w:color w:val="auto"/>
                <w:szCs w:val="21"/>
              </w:rPr>
            </w:pPr>
            <w:r>
              <w:rPr>
                <w:rFonts w:hint="eastAsia" w:ascii="宋体" w:hAnsi="宋体"/>
                <w:color w:val="auto"/>
                <w:szCs w:val="21"/>
              </w:rPr>
              <w:t>社会</w:t>
            </w:r>
          </w:p>
          <w:p>
            <w:pPr>
              <w:jc w:val="center"/>
              <w:rPr>
                <w:color w:val="auto"/>
                <w:szCs w:val="21"/>
              </w:rPr>
            </w:pPr>
            <w:r>
              <w:rPr>
                <w:rFonts w:hint="eastAsia" w:ascii="宋体" w:hAnsi="宋体"/>
                <w:color w:val="auto"/>
                <w:szCs w:val="21"/>
              </w:rPr>
              <w:t>保险</w:t>
            </w:r>
          </w:p>
        </w:tc>
        <w:tc>
          <w:tcPr>
            <w:tcW w:w="309" w:type="pct"/>
            <w:vMerge w:val="restart"/>
            <w:noWrap w:val="0"/>
            <w:vAlign w:val="center"/>
          </w:tcPr>
          <w:p>
            <w:pPr>
              <w:jc w:val="center"/>
              <w:rPr>
                <w:color w:val="auto"/>
                <w:szCs w:val="21"/>
                <w:vertAlign w:val="superscript"/>
              </w:rPr>
            </w:pPr>
            <w:r>
              <w:rPr>
                <w:rFonts w:hint="eastAsia"/>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12" w:type="pct"/>
            <w:vMerge w:val="continue"/>
            <w:noWrap w:val="0"/>
            <w:vAlign w:val="center"/>
          </w:tcPr>
          <w:p>
            <w:pPr>
              <w:jc w:val="center"/>
              <w:rPr>
                <w:color w:val="auto"/>
                <w:szCs w:val="21"/>
              </w:rPr>
            </w:pPr>
          </w:p>
        </w:tc>
        <w:tc>
          <w:tcPr>
            <w:tcW w:w="312" w:type="pct"/>
            <w:vMerge w:val="continue"/>
            <w:noWrap w:val="0"/>
            <w:vAlign w:val="center"/>
          </w:tcPr>
          <w:p>
            <w:pPr>
              <w:jc w:val="center"/>
              <w:rPr>
                <w:color w:val="auto"/>
                <w:szCs w:val="21"/>
              </w:rPr>
            </w:pPr>
          </w:p>
        </w:tc>
        <w:tc>
          <w:tcPr>
            <w:tcW w:w="312" w:type="pct"/>
            <w:vMerge w:val="continue"/>
            <w:noWrap w:val="0"/>
            <w:vAlign w:val="center"/>
          </w:tcPr>
          <w:p>
            <w:pPr>
              <w:jc w:val="center"/>
              <w:rPr>
                <w:color w:val="auto"/>
                <w:szCs w:val="21"/>
              </w:rPr>
            </w:pPr>
          </w:p>
        </w:tc>
        <w:tc>
          <w:tcPr>
            <w:tcW w:w="312" w:type="pct"/>
            <w:vMerge w:val="continue"/>
            <w:noWrap w:val="0"/>
            <w:vAlign w:val="center"/>
          </w:tcPr>
          <w:p>
            <w:pPr>
              <w:jc w:val="center"/>
              <w:rPr>
                <w:color w:val="auto"/>
                <w:szCs w:val="21"/>
              </w:rPr>
            </w:pPr>
          </w:p>
        </w:tc>
        <w:tc>
          <w:tcPr>
            <w:tcW w:w="313" w:type="pct"/>
            <w:vMerge w:val="continue"/>
            <w:noWrap w:val="0"/>
            <w:vAlign w:val="center"/>
          </w:tcPr>
          <w:p>
            <w:pPr>
              <w:jc w:val="center"/>
              <w:rPr>
                <w:color w:val="auto"/>
                <w:szCs w:val="21"/>
              </w:rPr>
            </w:pPr>
          </w:p>
        </w:tc>
        <w:tc>
          <w:tcPr>
            <w:tcW w:w="313" w:type="pct"/>
            <w:vMerge w:val="continue"/>
            <w:noWrap w:val="0"/>
            <w:vAlign w:val="center"/>
          </w:tcPr>
          <w:p>
            <w:pPr>
              <w:jc w:val="center"/>
              <w:rPr>
                <w:color w:val="auto"/>
                <w:szCs w:val="21"/>
              </w:rPr>
            </w:pPr>
          </w:p>
        </w:tc>
        <w:tc>
          <w:tcPr>
            <w:tcW w:w="353" w:type="pct"/>
            <w:vMerge w:val="continue"/>
            <w:noWrap w:val="0"/>
            <w:vAlign w:val="center"/>
          </w:tcPr>
          <w:p>
            <w:pPr>
              <w:jc w:val="center"/>
              <w:rPr>
                <w:color w:val="auto"/>
                <w:szCs w:val="21"/>
              </w:rPr>
            </w:pPr>
          </w:p>
        </w:tc>
        <w:tc>
          <w:tcPr>
            <w:tcW w:w="273" w:type="pct"/>
            <w:vMerge w:val="continue"/>
            <w:noWrap w:val="0"/>
            <w:vAlign w:val="center"/>
          </w:tcPr>
          <w:p>
            <w:pPr>
              <w:jc w:val="center"/>
              <w:rPr>
                <w:color w:val="auto"/>
                <w:szCs w:val="21"/>
              </w:rPr>
            </w:pPr>
          </w:p>
        </w:tc>
        <w:tc>
          <w:tcPr>
            <w:tcW w:w="313" w:type="pct"/>
            <w:noWrap w:val="0"/>
            <w:vAlign w:val="center"/>
          </w:tcPr>
          <w:p>
            <w:pPr>
              <w:jc w:val="center"/>
              <w:rPr>
                <w:rFonts w:hint="eastAsia" w:ascii="宋体" w:hAnsi="宋体"/>
                <w:color w:val="auto"/>
                <w:szCs w:val="21"/>
              </w:rPr>
            </w:pPr>
            <w:r>
              <w:rPr>
                <w:rFonts w:hint="eastAsia" w:ascii="宋体" w:hAnsi="宋体"/>
                <w:color w:val="auto"/>
                <w:szCs w:val="21"/>
              </w:rPr>
              <w:t>级别</w:t>
            </w:r>
          </w:p>
        </w:tc>
        <w:tc>
          <w:tcPr>
            <w:tcW w:w="313" w:type="pct"/>
            <w:noWrap w:val="0"/>
            <w:vAlign w:val="center"/>
          </w:tcPr>
          <w:p>
            <w:pPr>
              <w:jc w:val="center"/>
              <w:rPr>
                <w:rFonts w:hint="eastAsia" w:ascii="宋体" w:hAnsi="宋体"/>
                <w:color w:val="auto"/>
                <w:szCs w:val="21"/>
              </w:rPr>
            </w:pPr>
            <w:r>
              <w:rPr>
                <w:rFonts w:hint="eastAsia" w:ascii="宋体" w:hAnsi="宋体"/>
                <w:color w:val="auto"/>
                <w:szCs w:val="21"/>
              </w:rPr>
              <w:t>专业</w:t>
            </w:r>
          </w:p>
        </w:tc>
        <w:tc>
          <w:tcPr>
            <w:tcW w:w="366" w:type="pct"/>
            <w:noWrap w:val="0"/>
            <w:vAlign w:val="center"/>
          </w:tcPr>
          <w:p>
            <w:pPr>
              <w:jc w:val="center"/>
              <w:rPr>
                <w:rFonts w:hint="eastAsia" w:ascii="宋体" w:hAnsi="宋体"/>
                <w:color w:val="auto"/>
                <w:szCs w:val="21"/>
              </w:rPr>
            </w:pPr>
            <w:r>
              <w:rPr>
                <w:rFonts w:hint="eastAsia" w:ascii="宋体" w:hAnsi="宋体"/>
                <w:color w:val="auto"/>
                <w:szCs w:val="21"/>
              </w:rPr>
              <w:t>证书名称</w:t>
            </w:r>
          </w:p>
        </w:tc>
        <w:tc>
          <w:tcPr>
            <w:tcW w:w="260" w:type="pct"/>
            <w:noWrap w:val="0"/>
            <w:vAlign w:val="center"/>
          </w:tcPr>
          <w:p>
            <w:pPr>
              <w:jc w:val="center"/>
              <w:rPr>
                <w:rFonts w:hint="eastAsia" w:ascii="宋体" w:hAnsi="宋体"/>
                <w:color w:val="auto"/>
                <w:szCs w:val="21"/>
              </w:rPr>
            </w:pPr>
            <w:r>
              <w:rPr>
                <w:rFonts w:hint="eastAsia" w:ascii="宋体" w:hAnsi="宋体"/>
                <w:color w:val="auto"/>
                <w:szCs w:val="21"/>
              </w:rPr>
              <w:t>级别</w:t>
            </w:r>
          </w:p>
        </w:tc>
        <w:tc>
          <w:tcPr>
            <w:tcW w:w="313" w:type="pct"/>
            <w:noWrap w:val="0"/>
            <w:vAlign w:val="center"/>
          </w:tcPr>
          <w:p>
            <w:pPr>
              <w:jc w:val="center"/>
              <w:rPr>
                <w:rFonts w:hint="eastAsia" w:ascii="宋体" w:hAnsi="宋体"/>
                <w:color w:val="auto"/>
                <w:szCs w:val="21"/>
              </w:rPr>
            </w:pPr>
            <w:r>
              <w:rPr>
                <w:rFonts w:hint="eastAsia" w:ascii="宋体" w:hAnsi="宋体"/>
                <w:color w:val="auto"/>
                <w:szCs w:val="21"/>
              </w:rPr>
              <w:t>证号</w:t>
            </w:r>
          </w:p>
        </w:tc>
        <w:tc>
          <w:tcPr>
            <w:tcW w:w="313" w:type="pct"/>
            <w:noWrap w:val="0"/>
            <w:vAlign w:val="center"/>
          </w:tcPr>
          <w:p>
            <w:pPr>
              <w:jc w:val="center"/>
              <w:rPr>
                <w:rFonts w:hint="eastAsia" w:ascii="宋体" w:hAnsi="宋体"/>
                <w:color w:val="auto"/>
                <w:szCs w:val="21"/>
              </w:rPr>
            </w:pPr>
            <w:r>
              <w:rPr>
                <w:rFonts w:hint="eastAsia" w:ascii="宋体" w:hAnsi="宋体"/>
                <w:color w:val="auto"/>
                <w:szCs w:val="21"/>
              </w:rPr>
              <w:t>专业</w:t>
            </w:r>
          </w:p>
        </w:tc>
        <w:tc>
          <w:tcPr>
            <w:tcW w:w="313" w:type="pct"/>
            <w:vMerge w:val="continue"/>
            <w:noWrap w:val="0"/>
            <w:vAlign w:val="center"/>
          </w:tcPr>
          <w:p>
            <w:pPr>
              <w:jc w:val="center"/>
              <w:rPr>
                <w:color w:val="auto"/>
                <w:szCs w:val="21"/>
              </w:rPr>
            </w:pPr>
          </w:p>
        </w:tc>
        <w:tc>
          <w:tcPr>
            <w:tcW w:w="309" w:type="pct"/>
            <w:vMerge w:val="continue"/>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1</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2</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3</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4</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5</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6</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7</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8</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hint="eastAsia"/>
                <w:color w:val="auto"/>
                <w:szCs w:val="21"/>
              </w:rPr>
              <w:t>9</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12" w:type="pct"/>
            <w:noWrap w:val="0"/>
            <w:vAlign w:val="center"/>
          </w:tcPr>
          <w:p>
            <w:pPr>
              <w:jc w:val="center"/>
              <w:rPr>
                <w:rFonts w:ascii="宋体" w:hAnsi="宋体" w:cs="宋体"/>
                <w:color w:val="auto"/>
                <w:szCs w:val="21"/>
              </w:rPr>
            </w:pPr>
            <w:r>
              <w:rPr>
                <w:rFonts w:ascii="宋体" w:hAnsi="宋体" w:cs="宋体"/>
                <w:color w:val="auto"/>
                <w:szCs w:val="21"/>
              </w:rPr>
              <w:t>…</w:t>
            </w: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2"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53" w:type="pct"/>
            <w:noWrap w:val="0"/>
            <w:vAlign w:val="center"/>
          </w:tcPr>
          <w:p>
            <w:pPr>
              <w:jc w:val="center"/>
              <w:rPr>
                <w:color w:val="auto"/>
                <w:szCs w:val="21"/>
              </w:rPr>
            </w:pPr>
          </w:p>
        </w:tc>
        <w:tc>
          <w:tcPr>
            <w:tcW w:w="273" w:type="pct"/>
            <w:noWrap w:val="0"/>
            <w:vAlign w:val="center"/>
          </w:tcPr>
          <w:p>
            <w:pPr>
              <w:jc w:val="center"/>
              <w:rPr>
                <w:color w:val="auto"/>
                <w:szCs w:val="21"/>
              </w:rPr>
            </w:pPr>
          </w:p>
        </w:tc>
        <w:tc>
          <w:tcPr>
            <w:tcW w:w="313" w:type="pct"/>
            <w:noWrap w:val="0"/>
            <w:vAlign w:val="top"/>
          </w:tcPr>
          <w:p>
            <w:pPr>
              <w:jc w:val="center"/>
              <w:rPr>
                <w:color w:val="auto"/>
                <w:szCs w:val="21"/>
              </w:rPr>
            </w:pPr>
          </w:p>
        </w:tc>
        <w:tc>
          <w:tcPr>
            <w:tcW w:w="313" w:type="pct"/>
            <w:noWrap w:val="0"/>
            <w:vAlign w:val="top"/>
          </w:tcPr>
          <w:p>
            <w:pPr>
              <w:jc w:val="center"/>
              <w:rPr>
                <w:color w:val="auto"/>
                <w:szCs w:val="21"/>
              </w:rPr>
            </w:pPr>
          </w:p>
        </w:tc>
        <w:tc>
          <w:tcPr>
            <w:tcW w:w="366" w:type="pct"/>
            <w:noWrap w:val="0"/>
            <w:vAlign w:val="center"/>
          </w:tcPr>
          <w:p>
            <w:pPr>
              <w:jc w:val="center"/>
              <w:rPr>
                <w:color w:val="auto"/>
                <w:szCs w:val="21"/>
              </w:rPr>
            </w:pPr>
          </w:p>
        </w:tc>
        <w:tc>
          <w:tcPr>
            <w:tcW w:w="260"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13" w:type="pct"/>
            <w:noWrap w:val="0"/>
            <w:vAlign w:val="center"/>
          </w:tcPr>
          <w:p>
            <w:pPr>
              <w:jc w:val="center"/>
              <w:rPr>
                <w:color w:val="auto"/>
                <w:szCs w:val="21"/>
              </w:rPr>
            </w:pPr>
          </w:p>
        </w:tc>
        <w:tc>
          <w:tcPr>
            <w:tcW w:w="309" w:type="pct"/>
            <w:noWrap w:val="0"/>
            <w:vAlign w:val="center"/>
          </w:tcPr>
          <w:p>
            <w:pPr>
              <w:jc w:val="center"/>
              <w:rPr>
                <w:color w:val="auto"/>
                <w:szCs w:val="21"/>
              </w:rPr>
            </w:pPr>
          </w:p>
        </w:tc>
      </w:tr>
    </w:tbl>
    <w:p>
      <w:pPr>
        <w:spacing w:line="400" w:lineRule="atLeast"/>
        <w:ind w:left="630" w:hanging="630" w:hangingChars="300"/>
        <w:rPr>
          <w:rFonts w:hint="eastAsia"/>
          <w:color w:val="auto"/>
        </w:rPr>
      </w:pPr>
      <w:r>
        <w:rPr>
          <w:rFonts w:hint="eastAsia"/>
          <w:color w:val="auto"/>
        </w:rPr>
        <w:t>备注</w:t>
      </w:r>
      <w:r>
        <w:rPr>
          <w:color w:val="auto"/>
        </w:rPr>
        <w:t>：</w:t>
      </w:r>
      <w:r>
        <w:rPr>
          <w:rFonts w:hint="eastAsia" w:ascii="宋体" w:hAnsi="宋体"/>
          <w:color w:val="auto"/>
          <w:szCs w:val="21"/>
        </w:rPr>
        <w:t>附项目管理机构主要人员</w:t>
      </w:r>
      <w:r>
        <w:rPr>
          <w:rFonts w:ascii="宋体" w:hAnsi="宋体"/>
          <w:color w:val="auto"/>
          <w:szCs w:val="21"/>
        </w:rPr>
        <w:t>社会保险证明</w:t>
      </w:r>
      <w:r>
        <w:rPr>
          <w:rFonts w:hint="eastAsia" w:ascii="宋体" w:hAnsi="宋体"/>
          <w:color w:val="auto"/>
          <w:szCs w:val="21"/>
        </w:rPr>
        <w:t>的复印件。</w:t>
      </w:r>
      <w:r>
        <w:rPr>
          <w:rFonts w:ascii="宋体" w:hAnsi="宋体"/>
          <w:color w:val="auto"/>
          <w:szCs w:val="21"/>
        </w:rPr>
        <w:t>社会保险证明应至少体现以下内容：缴纳保险单位名称、人员姓名、社会保障号（或身份证号）、险种、缴费期限等</w:t>
      </w:r>
      <w:r>
        <w:rPr>
          <w:rFonts w:hint="eastAsia" w:ascii="宋体" w:hAnsi="宋体"/>
          <w:color w:val="auto"/>
          <w:szCs w:val="21"/>
        </w:rPr>
        <w:t>；</w:t>
      </w:r>
      <w:r>
        <w:rPr>
          <w:rFonts w:ascii="宋体" w:hAnsi="宋体"/>
          <w:color w:val="auto"/>
          <w:szCs w:val="21"/>
        </w:rPr>
        <w:t>社会保险证明中缴费单位应与</w:t>
      </w:r>
      <w:r>
        <w:rPr>
          <w:rFonts w:hint="eastAsia" w:ascii="宋体" w:hAnsi="宋体"/>
          <w:color w:val="auto"/>
          <w:szCs w:val="21"/>
        </w:rPr>
        <w:t>投标</w:t>
      </w:r>
      <w:r>
        <w:rPr>
          <w:rFonts w:ascii="宋体" w:hAnsi="宋体"/>
          <w:color w:val="auto"/>
          <w:szCs w:val="21"/>
        </w:rPr>
        <w:t>单位一致</w:t>
      </w:r>
      <w:r>
        <w:rPr>
          <w:rFonts w:hint="eastAsia" w:ascii="宋体" w:hAnsi="宋体"/>
          <w:color w:val="auto"/>
          <w:szCs w:val="21"/>
        </w:rPr>
        <w:t>。</w:t>
      </w:r>
    </w:p>
    <w:p>
      <w:pPr>
        <w:rPr>
          <w:rFonts w:hint="eastAsia"/>
          <w:color w:val="auto"/>
        </w:rPr>
        <w:sectPr>
          <w:footerReference r:id="rId16" w:type="default"/>
          <w:pgSz w:w="16838" w:h="11906" w:orient="landscape"/>
          <w:pgMar w:top="1418" w:right="1418" w:bottom="1469" w:left="1418" w:header="851" w:footer="992" w:gutter="0"/>
          <w:pgNumType w:fmt="decimal"/>
          <w:cols w:space="720" w:num="1"/>
          <w:docGrid w:linePitch="312" w:charSpace="0"/>
        </w:sectPr>
      </w:pPr>
    </w:p>
    <w:p>
      <w:pPr>
        <w:pStyle w:val="87"/>
        <w:spacing w:after="120" w:afterLines="50"/>
        <w:jc w:val="center"/>
        <w:rPr>
          <w:rFonts w:hint="eastAsia"/>
          <w:color w:val="auto"/>
          <w:sz w:val="28"/>
          <w:szCs w:val="28"/>
        </w:rPr>
      </w:pPr>
      <w:bookmarkStart w:id="2705" w:name="_Toc11828"/>
      <w:bookmarkStart w:id="2706" w:name="_Toc491089817"/>
      <w:r>
        <w:rPr>
          <w:rFonts w:hint="eastAsia"/>
          <w:color w:val="auto"/>
          <w:sz w:val="28"/>
          <w:szCs w:val="28"/>
        </w:rPr>
        <w:t>（二）项目经理简历表</w:t>
      </w:r>
      <w:bookmarkEnd w:id="2705"/>
      <w:bookmarkEnd w:id="2706"/>
    </w:p>
    <w:p>
      <w:pPr>
        <w:pStyle w:val="87"/>
        <w:jc w:val="center"/>
        <w:outlineLvl w:val="9"/>
        <w:rPr>
          <w:rFonts w:hint="eastAsia"/>
          <w:color w:val="auto"/>
          <w:sz w:val="28"/>
          <w:szCs w:val="28"/>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560"/>
        <w:gridCol w:w="1275"/>
        <w:gridCol w:w="1560"/>
        <w:gridCol w:w="850"/>
        <w:gridCol w:w="992"/>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姓  名</w:t>
            </w:r>
          </w:p>
        </w:tc>
        <w:tc>
          <w:tcPr>
            <w:tcW w:w="1560" w:type="dxa"/>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年   龄</w:t>
            </w:r>
          </w:p>
        </w:tc>
        <w:tc>
          <w:tcPr>
            <w:tcW w:w="1560" w:type="dxa"/>
            <w:noWrap w:val="0"/>
            <w:vAlign w:val="top"/>
          </w:tcPr>
          <w:p>
            <w:pPr>
              <w:jc w:val="center"/>
              <w:rPr>
                <w:rFonts w:hint="eastAsia" w:ascii="宋体" w:hAnsi="宋体"/>
                <w:color w:val="auto"/>
                <w:szCs w:val="21"/>
              </w:rPr>
            </w:pPr>
          </w:p>
        </w:tc>
        <w:tc>
          <w:tcPr>
            <w:tcW w:w="1842" w:type="dxa"/>
            <w:gridSpan w:val="2"/>
            <w:noWrap w:val="0"/>
            <w:vAlign w:val="center"/>
          </w:tcPr>
          <w:p>
            <w:pPr>
              <w:jc w:val="center"/>
              <w:rPr>
                <w:rFonts w:hint="eastAsia" w:ascii="宋体" w:hAnsi="宋体"/>
                <w:color w:val="auto"/>
                <w:szCs w:val="21"/>
              </w:rPr>
            </w:pPr>
            <w:r>
              <w:rPr>
                <w:rFonts w:hint="eastAsia" w:ascii="宋体" w:hAnsi="宋体"/>
                <w:color w:val="auto"/>
                <w:szCs w:val="21"/>
              </w:rPr>
              <w:t>拟在本工程任职</w:t>
            </w:r>
          </w:p>
        </w:tc>
        <w:tc>
          <w:tcPr>
            <w:tcW w:w="1756" w:type="dxa"/>
            <w:noWrap w:val="0"/>
            <w:vAlign w:val="center"/>
          </w:tcPr>
          <w:p>
            <w:pPr>
              <w:jc w:val="center"/>
              <w:rPr>
                <w:rFonts w:hint="eastAsia" w:ascii="宋体" w:hAnsi="宋体"/>
                <w:color w:val="auto"/>
                <w:szCs w:val="21"/>
              </w:rPr>
            </w:pPr>
            <w:r>
              <w:rPr>
                <w:rFonts w:hint="eastAsia" w:ascii="宋体" w:hAnsi="宋体"/>
                <w:color w:val="auto"/>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学  历</w:t>
            </w:r>
          </w:p>
        </w:tc>
        <w:tc>
          <w:tcPr>
            <w:tcW w:w="1560" w:type="dxa"/>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毕业学校</w:t>
            </w:r>
          </w:p>
        </w:tc>
        <w:tc>
          <w:tcPr>
            <w:tcW w:w="5158" w:type="dxa"/>
            <w:gridSpan w:val="4"/>
            <w:noWrap w:val="0"/>
            <w:vAlign w:val="center"/>
          </w:tcPr>
          <w:p>
            <w:pPr>
              <w:rPr>
                <w:rFonts w:hint="eastAsia" w:ascii="宋体" w:hAnsi="宋体"/>
                <w:color w:val="auto"/>
                <w:szCs w:val="21"/>
              </w:rPr>
            </w:pP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年毕业于</w:t>
            </w:r>
            <w:r>
              <w:rPr>
                <w:rFonts w:hint="eastAsia" w:ascii="宋体" w:hAnsi="宋体"/>
                <w:color w:val="auto"/>
                <w:szCs w:val="21"/>
                <w:u w:val="single"/>
              </w:rPr>
              <w:t xml:space="preserve">           </w:t>
            </w:r>
            <w:r>
              <w:rPr>
                <w:rFonts w:hint="eastAsia" w:ascii="宋体" w:hAnsi="宋体"/>
                <w:color w:val="auto"/>
                <w:szCs w:val="21"/>
              </w:rPr>
              <w:t>学校</w:t>
            </w:r>
            <w:r>
              <w:rPr>
                <w:rFonts w:hint="eastAsia" w:ascii="宋体" w:hAnsi="宋体"/>
                <w:color w:val="auto"/>
                <w:szCs w:val="21"/>
                <w:u w:val="single"/>
              </w:rPr>
              <w:t xml:space="preserve">          </w:t>
            </w:r>
            <w:r>
              <w:rPr>
                <w:rFonts w:hint="eastAsia" w:ascii="宋体" w:hAnsi="宋体"/>
                <w:color w:val="auto"/>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注册建造师</w:t>
            </w:r>
          </w:p>
          <w:p>
            <w:pPr>
              <w:jc w:val="center"/>
              <w:rPr>
                <w:rFonts w:hint="eastAsia" w:ascii="宋体" w:hAnsi="宋体"/>
                <w:color w:val="auto"/>
                <w:szCs w:val="21"/>
              </w:rPr>
            </w:pPr>
            <w:r>
              <w:rPr>
                <w:rFonts w:hint="eastAsia" w:ascii="宋体" w:hAnsi="宋体"/>
                <w:color w:val="auto"/>
                <w:szCs w:val="21"/>
              </w:rPr>
              <w:t>执业资格等级</w:t>
            </w:r>
          </w:p>
        </w:tc>
        <w:tc>
          <w:tcPr>
            <w:tcW w:w="6433" w:type="dxa"/>
            <w:gridSpan w:val="5"/>
            <w:noWrap w:val="0"/>
            <w:vAlign w:val="center"/>
          </w:tcPr>
          <w:p>
            <w:pPr>
              <w:ind w:firstLine="105" w:firstLineChars="50"/>
              <w:rPr>
                <w:rFonts w:hint="eastAsia" w:ascii="宋体" w:hAnsi="宋体"/>
                <w:color w:val="auto"/>
                <w:szCs w:val="21"/>
              </w:rPr>
            </w:pP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r>
              <w:rPr>
                <w:rFonts w:hint="eastAsia" w:ascii="宋体" w:hAnsi="宋体"/>
                <w:color w:val="auto"/>
                <w:szCs w:val="21"/>
              </w:rPr>
              <w:t xml:space="preserve"> 注册编号：</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安全生产考核合格证</w:t>
            </w:r>
          </w:p>
        </w:tc>
        <w:tc>
          <w:tcPr>
            <w:tcW w:w="6433" w:type="dxa"/>
            <w:gridSpan w:val="5"/>
            <w:noWrap w:val="0"/>
            <w:vAlign w:val="center"/>
          </w:tcPr>
          <w:p>
            <w:pPr>
              <w:ind w:firstLine="105" w:firstLineChars="50"/>
              <w:rPr>
                <w:rFonts w:hint="eastAsia" w:ascii="宋体" w:hAnsi="宋体"/>
                <w:color w:val="auto"/>
                <w:szCs w:val="21"/>
              </w:rPr>
            </w:pP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编号：</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职  称</w:t>
            </w:r>
          </w:p>
        </w:tc>
        <w:tc>
          <w:tcPr>
            <w:tcW w:w="6433" w:type="dxa"/>
            <w:gridSpan w:val="5"/>
            <w:noWrap w:val="0"/>
            <w:vAlign w:val="center"/>
          </w:tcPr>
          <w:p>
            <w:pPr>
              <w:ind w:firstLine="105" w:firstLineChars="50"/>
              <w:rPr>
                <w:rFonts w:hint="eastAsia" w:ascii="宋体" w:hAnsi="宋体"/>
                <w:color w:val="auto"/>
                <w:szCs w:val="21"/>
              </w:rPr>
            </w:pP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127" w:type="dxa"/>
            <w:gridSpan w:val="7"/>
            <w:noWrap w:val="0"/>
            <w:vAlign w:val="center"/>
          </w:tcPr>
          <w:p>
            <w:pPr>
              <w:jc w:val="center"/>
              <w:rPr>
                <w:rFonts w:hint="eastAsia" w:ascii="宋体" w:hAnsi="宋体"/>
                <w:color w:val="auto"/>
                <w:szCs w:val="21"/>
              </w:rPr>
            </w:pPr>
            <w:r>
              <w:rPr>
                <w:rFonts w:ascii="宋体" w:hAnsi="宋体"/>
                <w:color w:val="auto"/>
                <w:szCs w:val="21"/>
              </w:rPr>
              <w:t>主要</w:t>
            </w:r>
            <w:r>
              <w:rPr>
                <w:rFonts w:hint="eastAsia" w:ascii="宋体" w:hAnsi="宋体"/>
                <w:color w:val="auto"/>
                <w:szCs w:val="21"/>
              </w:rPr>
              <w:t>施工管理</w:t>
            </w:r>
            <w:r>
              <w:rPr>
                <w:rFonts w:ascii="宋体" w:hAnsi="宋体"/>
                <w:color w:val="auto"/>
                <w:szCs w:val="21"/>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近五年担任过同类工程项目经理的项目名称</w:t>
            </w: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合同工期</w:t>
            </w:r>
          </w:p>
          <w:p>
            <w:pPr>
              <w:jc w:val="center"/>
              <w:rPr>
                <w:rFonts w:hint="eastAsia" w:ascii="宋体" w:hAnsi="宋体"/>
                <w:color w:val="auto"/>
                <w:szCs w:val="21"/>
              </w:rPr>
            </w:pPr>
            <w:r>
              <w:rPr>
                <w:rFonts w:hint="eastAsia" w:ascii="宋体" w:hAnsi="宋体"/>
                <w:color w:val="auto"/>
                <w:szCs w:val="21"/>
              </w:rPr>
              <w:t>（日历天）</w:t>
            </w: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任职时间</w:t>
            </w:r>
          </w:p>
        </w:tc>
        <w:tc>
          <w:tcPr>
            <w:tcW w:w="2748" w:type="dxa"/>
            <w:gridSpan w:val="2"/>
            <w:noWrap w:val="0"/>
            <w:vAlign w:val="center"/>
          </w:tcPr>
          <w:p>
            <w:pPr>
              <w:jc w:val="center"/>
              <w:rPr>
                <w:rFonts w:hint="eastAsia" w:ascii="宋体" w:hAnsi="宋体"/>
                <w:color w:val="auto"/>
                <w:szCs w:val="21"/>
              </w:rPr>
            </w:pPr>
            <w:r>
              <w:rPr>
                <w:rFonts w:hint="eastAsia" w:ascii="宋体" w:hAnsi="宋体"/>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748"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748"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近五年担任过类似工程项目经理的项目名称</w:t>
            </w: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合同工期</w:t>
            </w:r>
          </w:p>
          <w:p>
            <w:pPr>
              <w:jc w:val="center"/>
              <w:rPr>
                <w:rFonts w:hint="eastAsia" w:ascii="宋体" w:hAnsi="宋体"/>
                <w:color w:val="auto"/>
                <w:szCs w:val="21"/>
              </w:rPr>
            </w:pPr>
            <w:r>
              <w:rPr>
                <w:rFonts w:hint="eastAsia" w:ascii="宋体" w:hAnsi="宋体"/>
                <w:color w:val="auto"/>
                <w:szCs w:val="21"/>
              </w:rPr>
              <w:t>（日历天）</w:t>
            </w: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任职时间</w:t>
            </w:r>
          </w:p>
        </w:tc>
        <w:tc>
          <w:tcPr>
            <w:tcW w:w="2748" w:type="dxa"/>
            <w:gridSpan w:val="2"/>
            <w:noWrap w:val="0"/>
            <w:vAlign w:val="center"/>
          </w:tcPr>
          <w:p>
            <w:pPr>
              <w:jc w:val="center"/>
              <w:rPr>
                <w:rFonts w:hint="eastAsia" w:ascii="宋体" w:hAnsi="宋体"/>
                <w:color w:val="auto"/>
                <w:szCs w:val="21"/>
              </w:rPr>
            </w:pPr>
            <w:r>
              <w:rPr>
                <w:rFonts w:hint="eastAsia" w:ascii="宋体" w:hAnsi="宋体"/>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748"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410"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748"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9127" w:type="dxa"/>
            <w:gridSpan w:val="7"/>
            <w:noWrap w:val="0"/>
            <w:vAlign w:val="center"/>
          </w:tcPr>
          <w:p>
            <w:pPr>
              <w:jc w:val="center"/>
              <w:rPr>
                <w:rFonts w:hint="eastAsia" w:ascii="宋体" w:hAnsi="宋体"/>
                <w:color w:val="auto"/>
                <w:szCs w:val="21"/>
              </w:rPr>
            </w:pPr>
            <w:r>
              <w:rPr>
                <w:rFonts w:ascii="宋体" w:hAnsi="宋体"/>
                <w:color w:val="auto"/>
                <w:szCs w:val="21"/>
              </w:rPr>
              <w:t>近三年项目经理</w:t>
            </w:r>
            <w:r>
              <w:rPr>
                <w:rFonts w:hint="eastAsia" w:ascii="宋体" w:hAnsi="宋体"/>
                <w:color w:val="auto"/>
                <w:szCs w:val="21"/>
              </w:rPr>
              <w:t>获奖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r>
              <w:rPr>
                <w:rFonts w:hint="eastAsia"/>
                <w:color w:val="auto"/>
                <w:szCs w:val="21"/>
              </w:rPr>
              <w:t>获奖日期</w:t>
            </w:r>
          </w:p>
        </w:tc>
        <w:tc>
          <w:tcPr>
            <w:tcW w:w="1275" w:type="dxa"/>
            <w:noWrap w:val="0"/>
            <w:vAlign w:val="center"/>
          </w:tcPr>
          <w:p>
            <w:pPr>
              <w:jc w:val="center"/>
              <w:rPr>
                <w:rFonts w:hint="eastAsia"/>
                <w:color w:val="auto"/>
                <w:szCs w:val="21"/>
              </w:rPr>
            </w:pPr>
            <w:r>
              <w:rPr>
                <w:rFonts w:hint="eastAsia"/>
                <w:color w:val="auto"/>
                <w:szCs w:val="21"/>
              </w:rPr>
              <w:t>颁奖单位</w:t>
            </w:r>
          </w:p>
        </w:tc>
        <w:tc>
          <w:tcPr>
            <w:tcW w:w="5158" w:type="dxa"/>
            <w:gridSpan w:val="4"/>
            <w:noWrap w:val="0"/>
            <w:vAlign w:val="center"/>
          </w:tcPr>
          <w:p>
            <w:pPr>
              <w:jc w:val="center"/>
              <w:rPr>
                <w:rFonts w:hint="eastAsia"/>
                <w:color w:val="auto"/>
                <w:szCs w:val="21"/>
              </w:rPr>
            </w:pPr>
            <w:r>
              <w:rPr>
                <w:rFonts w:hint="eastAsia"/>
                <w:color w:val="auto"/>
                <w:szCs w:val="21"/>
              </w:rPr>
              <w:t>获奖名称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5158" w:type="dxa"/>
            <w:gridSpan w:val="4"/>
            <w:noWrap w:val="0"/>
            <w:vAlign w:val="top"/>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5158" w:type="dxa"/>
            <w:gridSpan w:val="4"/>
            <w:noWrap w:val="0"/>
            <w:vAlign w:val="top"/>
          </w:tcPr>
          <w:p>
            <w:pPr>
              <w:jc w:val="center"/>
              <w:rPr>
                <w:rFonts w:hint="eastAsia" w:ascii="宋体" w:hAnsi="宋体"/>
                <w:color w:val="auto"/>
                <w:szCs w:val="21"/>
              </w:rPr>
            </w:pPr>
          </w:p>
        </w:tc>
      </w:tr>
    </w:tbl>
    <w:p>
      <w:pPr>
        <w:spacing w:line="400" w:lineRule="exact"/>
        <w:ind w:left="840" w:hanging="840" w:hangingChars="400"/>
        <w:rPr>
          <w:rFonts w:hint="eastAsia" w:ascii="宋体" w:hAnsi="宋体"/>
          <w:color w:val="auto"/>
        </w:rPr>
      </w:pPr>
      <w:r>
        <w:rPr>
          <w:rFonts w:hint="eastAsia" w:ascii="宋体" w:hAnsi="宋体"/>
          <w:color w:val="auto"/>
        </w:rPr>
        <w:t>备注：1.项目经理的证明资料按下列顺序附后，建造师资格证书、注册证书(不含临时)、安全生产考核合格证书</w:t>
      </w:r>
      <w:r>
        <w:rPr>
          <w:color w:val="auto"/>
        </w:rPr>
        <w:t>（</w:t>
      </w:r>
      <w:r>
        <w:rPr>
          <w:rFonts w:hint="eastAsia"/>
          <w:color w:val="auto"/>
        </w:rPr>
        <w:t>B证</w:t>
      </w:r>
      <w:r>
        <w:rPr>
          <w:color w:val="auto"/>
        </w:rPr>
        <w:t>）</w:t>
      </w:r>
      <w:r>
        <w:rPr>
          <w:rFonts w:hint="eastAsia" w:ascii="宋体" w:hAnsi="宋体"/>
          <w:color w:val="auto"/>
        </w:rPr>
        <w:t>、职称证、学历证、业绩证明等复印件。</w:t>
      </w:r>
    </w:p>
    <w:p>
      <w:pPr>
        <w:spacing w:line="400" w:lineRule="exact"/>
        <w:ind w:left="735" w:leftChars="300" w:hanging="105" w:hangingChars="50"/>
        <w:rPr>
          <w:rFonts w:hint="eastAsia" w:ascii="宋体" w:hAnsi="宋体"/>
          <w:color w:val="auto"/>
        </w:rPr>
      </w:pPr>
      <w:r>
        <w:rPr>
          <w:rFonts w:hint="eastAsia" w:ascii="宋体" w:hAnsi="宋体"/>
          <w:color w:val="auto"/>
        </w:rPr>
        <w:t>2.项目经理业绩经历指履行工程项目经理时间大于合同工期一半的经历，否则视为无效项目经理业绩；</w:t>
      </w:r>
      <w:r>
        <w:rPr>
          <w:rFonts w:hint="eastAsia" w:ascii="宋体" w:hAnsi="宋体"/>
          <w:b/>
          <w:color w:val="auto"/>
        </w:rPr>
        <w:t>业绩证明以湖北省水利建设市场主体信用信息平台证明材料（《湖北省水利建设市场主体信用信息平台》网站导出的标注有二维码的材料，包括业绩汇总表以及中标通知书、合同、业主证明（如有）等附件）为准</w:t>
      </w:r>
      <w:r>
        <w:rPr>
          <w:rFonts w:hint="eastAsia" w:ascii="宋体" w:hAnsi="宋体"/>
          <w:color w:val="auto"/>
        </w:rPr>
        <w:t>。拟任人员业绩年限从投标截止日往前推算，以合同签订的日期为准，下同。</w:t>
      </w:r>
    </w:p>
    <w:p>
      <w:pPr>
        <w:spacing w:line="400" w:lineRule="exact"/>
        <w:ind w:left="840" w:hanging="840" w:hangingChars="400"/>
        <w:rPr>
          <w:rFonts w:hint="eastAsia" w:ascii="宋体" w:hAnsi="宋体"/>
          <w:color w:val="auto"/>
        </w:rPr>
      </w:pPr>
      <w:r>
        <w:rPr>
          <w:rFonts w:hint="eastAsia" w:ascii="宋体" w:hAnsi="宋体"/>
          <w:color w:val="auto"/>
        </w:rPr>
        <w:t xml:space="preserve">      3</w:t>
      </w:r>
      <w:r>
        <w:rPr>
          <w:rFonts w:hint="eastAsia" w:ascii="宋体" w:hAnsi="宋体"/>
          <w:color w:val="auto"/>
          <w:szCs w:val="21"/>
        </w:rPr>
        <w:t>.</w:t>
      </w:r>
      <w:r>
        <w:rPr>
          <w:rFonts w:ascii="宋体" w:hAnsi="宋体"/>
          <w:color w:val="auto"/>
          <w:szCs w:val="21"/>
        </w:rPr>
        <w:t>项目</w:t>
      </w:r>
      <w:r>
        <w:rPr>
          <w:rFonts w:ascii="宋体" w:hAnsi="宋体"/>
          <w:color w:val="auto"/>
        </w:rPr>
        <w:t>经理</w:t>
      </w:r>
      <w:r>
        <w:rPr>
          <w:rFonts w:hint="eastAsia" w:ascii="宋体" w:hAnsi="宋体"/>
          <w:color w:val="auto"/>
          <w:szCs w:val="21"/>
        </w:rPr>
        <w:t>获奖</w:t>
      </w:r>
      <w:r>
        <w:rPr>
          <w:rFonts w:hint="eastAsia" w:ascii="宋体" w:hAnsi="宋体"/>
          <w:color w:val="auto"/>
        </w:rPr>
        <w:t>的证明资料应附</w:t>
      </w:r>
      <w:r>
        <w:rPr>
          <w:rFonts w:hint="eastAsia"/>
          <w:color w:val="auto"/>
        </w:rPr>
        <w:t>颁奖机构颁发的表彰证书或表彰文件</w:t>
      </w:r>
      <w:r>
        <w:rPr>
          <w:rFonts w:hint="eastAsia" w:ascii="宋体" w:hAnsi="宋体"/>
          <w:color w:val="auto"/>
          <w:szCs w:val="21"/>
        </w:rPr>
        <w:t>的</w:t>
      </w:r>
      <w:r>
        <w:rPr>
          <w:rFonts w:hint="eastAsia" w:ascii="宋体" w:hAnsi="宋体"/>
          <w:color w:val="auto"/>
        </w:rPr>
        <w:t>复印件，获奖年限从投标截止日往前推算，以奖励证书发出日期为准。</w:t>
      </w:r>
    </w:p>
    <w:p>
      <w:pPr>
        <w:spacing w:line="400" w:lineRule="exact"/>
        <w:ind w:left="735" w:leftChars="300" w:hanging="105" w:hangingChars="50"/>
        <w:rPr>
          <w:rFonts w:hint="eastAsia"/>
          <w:color w:val="auto"/>
          <w:szCs w:val="21"/>
        </w:rPr>
      </w:pPr>
      <w:bookmarkStart w:id="2707" w:name="OLE_LINK11"/>
      <w:bookmarkStart w:id="2708" w:name="OLE_LINK12"/>
      <w:bookmarkStart w:id="2709" w:name="OLE_LINK13"/>
      <w:r>
        <w:rPr>
          <w:rFonts w:hint="eastAsia"/>
          <w:color w:val="auto"/>
          <w:szCs w:val="21"/>
        </w:rPr>
        <w:t>4.近三年是指从投标截止日往前推算的3年，如投标截止日为20</w:t>
      </w:r>
      <w:r>
        <w:rPr>
          <w:color w:val="auto"/>
          <w:szCs w:val="21"/>
        </w:rPr>
        <w:t>20</w:t>
      </w:r>
      <w:r>
        <w:rPr>
          <w:rFonts w:hint="eastAsia"/>
          <w:color w:val="auto"/>
          <w:szCs w:val="21"/>
        </w:rPr>
        <w:t>年7月1日，则近三年是指201</w:t>
      </w:r>
      <w:r>
        <w:rPr>
          <w:color w:val="auto"/>
          <w:szCs w:val="21"/>
        </w:rPr>
        <w:t>7</w:t>
      </w:r>
      <w:r>
        <w:rPr>
          <w:rFonts w:hint="eastAsia"/>
          <w:color w:val="auto"/>
          <w:szCs w:val="21"/>
        </w:rPr>
        <w:t>年7月1日至20</w:t>
      </w:r>
      <w:r>
        <w:rPr>
          <w:color w:val="auto"/>
          <w:szCs w:val="21"/>
        </w:rPr>
        <w:t>20</w:t>
      </w:r>
      <w:r>
        <w:rPr>
          <w:rFonts w:hint="eastAsia"/>
          <w:color w:val="auto"/>
          <w:szCs w:val="21"/>
        </w:rPr>
        <w:t>年6月30日，其他年限的推算同理，下同。</w:t>
      </w:r>
    </w:p>
    <w:bookmarkEnd w:id="2707"/>
    <w:bookmarkEnd w:id="2708"/>
    <w:bookmarkEnd w:id="2709"/>
    <w:p>
      <w:pPr>
        <w:pStyle w:val="87"/>
        <w:spacing w:after="120" w:afterLines="50"/>
        <w:jc w:val="center"/>
        <w:rPr>
          <w:rFonts w:hint="eastAsia"/>
          <w:color w:val="auto"/>
          <w:sz w:val="28"/>
          <w:szCs w:val="28"/>
        </w:rPr>
      </w:pPr>
      <w:bookmarkStart w:id="2710" w:name="_Toc8560"/>
      <w:bookmarkStart w:id="2711" w:name="_Toc491089818"/>
      <w:r>
        <w:rPr>
          <w:rFonts w:hint="eastAsia"/>
          <w:color w:val="auto"/>
          <w:sz w:val="28"/>
          <w:szCs w:val="28"/>
        </w:rPr>
        <w:t>（三）拟任项目经理无在施项目的承诺书</w:t>
      </w:r>
      <w:bookmarkEnd w:id="2710"/>
      <w:bookmarkEnd w:id="2711"/>
    </w:p>
    <w:p>
      <w:pPr>
        <w:rPr>
          <w:rFonts w:hint="eastAsia" w:ascii="宋体" w:hAnsi="宋体"/>
          <w:color w:val="auto"/>
          <w:u w:val="single"/>
        </w:rPr>
      </w:pPr>
    </w:p>
    <w:p>
      <w:pPr>
        <w:rPr>
          <w:rFonts w:hint="eastAsia" w:ascii="宋体" w:hAnsi="宋体"/>
          <w:color w:val="auto"/>
        </w:rPr>
      </w:pPr>
      <w:r>
        <w:rPr>
          <w:rFonts w:hint="eastAsia" w:ascii="宋体" w:hAnsi="宋体"/>
          <w:color w:val="auto"/>
          <w:u w:val="single"/>
        </w:rPr>
        <w:t xml:space="preserve">                     </w:t>
      </w:r>
      <w:r>
        <w:rPr>
          <w:rFonts w:hint="eastAsia" w:ascii="宋体" w:hAnsi="宋体"/>
          <w:color w:val="auto"/>
        </w:rPr>
        <w:t>（招标人名称）：</w:t>
      </w:r>
    </w:p>
    <w:p>
      <w:pPr>
        <w:spacing w:line="440" w:lineRule="exact"/>
        <w:ind w:firstLine="420" w:firstLineChars="200"/>
        <w:rPr>
          <w:rFonts w:hint="eastAsia"/>
          <w:color w:val="auto"/>
          <w:szCs w:val="21"/>
        </w:rPr>
      </w:pPr>
      <w:r>
        <w:rPr>
          <w:rFonts w:hint="eastAsia" w:ascii="宋体" w:hAnsi="宋体"/>
          <w:color w:val="auto"/>
          <w:szCs w:val="21"/>
        </w:rPr>
        <w:t>我方在此声明，我方拟派往</w:t>
      </w:r>
      <w:r>
        <w:rPr>
          <w:rFonts w:hint="eastAsia" w:ascii="宋体" w:hAnsi="宋体"/>
          <w:color w:val="auto"/>
          <w:szCs w:val="21"/>
          <w:u w:val="single"/>
        </w:rPr>
        <w:t xml:space="preserve">                 </w:t>
      </w:r>
      <w:r>
        <w:rPr>
          <w:rFonts w:hint="eastAsia" w:ascii="宋体" w:hAnsi="宋体"/>
          <w:color w:val="auto"/>
          <w:szCs w:val="21"/>
        </w:rPr>
        <w:t>（项目名称）</w:t>
      </w:r>
      <w:r>
        <w:rPr>
          <w:rFonts w:hint="eastAsia" w:ascii="宋体" w:hAnsi="宋体"/>
          <w:color w:val="auto"/>
          <w:szCs w:val="21"/>
          <w:u w:val="single"/>
        </w:rPr>
        <w:t xml:space="preserve">         </w:t>
      </w:r>
      <w:r>
        <w:rPr>
          <w:rFonts w:hint="eastAsia" w:ascii="宋体" w:hAnsi="宋体"/>
          <w:color w:val="auto"/>
          <w:szCs w:val="21"/>
        </w:rPr>
        <w:t>（标段名称）（以下简称“本工程”）的项目经理</w:t>
      </w:r>
      <w:r>
        <w:rPr>
          <w:rFonts w:hint="eastAsia" w:ascii="宋体" w:hAnsi="宋体"/>
          <w:color w:val="auto"/>
          <w:szCs w:val="21"/>
          <w:u w:val="single"/>
        </w:rPr>
        <w:t xml:space="preserve">         </w:t>
      </w:r>
      <w:r>
        <w:rPr>
          <w:rFonts w:hint="eastAsia" w:ascii="宋体" w:hAnsi="宋体"/>
          <w:color w:val="auto"/>
          <w:szCs w:val="21"/>
        </w:rPr>
        <w:t xml:space="preserve"> （项目经理姓名） 现阶段（投标截止时间之前）没有担</w:t>
      </w:r>
      <w:r>
        <w:rPr>
          <w:rFonts w:hint="eastAsia"/>
          <w:color w:val="auto"/>
          <w:szCs w:val="21"/>
        </w:rPr>
        <w:t>其他</w:t>
      </w:r>
      <w:r>
        <w:rPr>
          <w:rFonts w:hint="eastAsia" w:ascii="宋体" w:hAnsi="宋体"/>
          <w:color w:val="auto"/>
          <w:szCs w:val="21"/>
        </w:rPr>
        <w:t>在施建设工程项目的项目经理。</w:t>
      </w:r>
    </w:p>
    <w:p>
      <w:pPr>
        <w:spacing w:line="440" w:lineRule="exact"/>
        <w:ind w:firstLine="420" w:firstLineChars="200"/>
        <w:rPr>
          <w:rFonts w:hint="eastAsia" w:ascii="宋体" w:hAnsi="宋体"/>
          <w:color w:val="auto"/>
          <w:szCs w:val="21"/>
        </w:rPr>
      </w:pPr>
      <w:r>
        <w:rPr>
          <w:rFonts w:hint="eastAsia" w:ascii="宋体" w:hAnsi="宋体"/>
          <w:color w:val="auto"/>
          <w:szCs w:val="21"/>
        </w:rPr>
        <w:t>根据</w:t>
      </w:r>
      <w:r>
        <w:rPr>
          <w:rFonts w:ascii="宋体" w:hAnsi="宋体"/>
          <w:color w:val="auto"/>
          <w:szCs w:val="21"/>
        </w:rPr>
        <w:t>《注册建造师执业管理办法（试行）》</w:t>
      </w:r>
      <w:r>
        <w:rPr>
          <w:rFonts w:hint="eastAsia" w:ascii="宋体" w:hAnsi="宋体"/>
          <w:color w:val="auto"/>
          <w:szCs w:val="21"/>
        </w:rPr>
        <w:t>第九条规定“注册建造师不得同时担任两个及以上建设工程施工项目负责人”， 第十条规定“注册建造师担任施工项目负责人期间原则上不得更换”。我方拟任项目经理的能够参加本工程的投标是基于以下理由：</w:t>
      </w:r>
    </w:p>
    <w:p>
      <w:pPr>
        <w:spacing w:line="440" w:lineRule="exact"/>
        <w:ind w:firstLine="525" w:firstLineChars="250"/>
        <w:rPr>
          <w:rFonts w:hint="eastAsia" w:ascii="宋体" w:hAnsi="宋体"/>
          <w:color w:val="auto"/>
          <w:szCs w:val="21"/>
        </w:rPr>
      </w:pPr>
      <w:r>
        <w:rPr>
          <w:rFonts w:hint="eastAsia"/>
          <w:color w:val="auto"/>
          <w:szCs w:val="21"/>
        </w:rPr>
        <w:t xml:space="preserve">□  </w:t>
      </w:r>
      <w:r>
        <w:rPr>
          <w:rFonts w:hint="eastAsia" w:ascii="宋体" w:hAnsi="宋体"/>
          <w:color w:val="auto"/>
          <w:szCs w:val="21"/>
        </w:rPr>
        <w:t>拟任项目经理存在</w:t>
      </w:r>
      <w:r>
        <w:rPr>
          <w:rFonts w:ascii="宋体" w:hAnsi="宋体"/>
          <w:color w:val="auto"/>
          <w:szCs w:val="21"/>
        </w:rPr>
        <w:t>《注册建造师执业管理办法（试行）》</w:t>
      </w:r>
      <w:r>
        <w:rPr>
          <w:rFonts w:hint="eastAsia" w:ascii="宋体" w:hAnsi="宋体"/>
          <w:color w:val="auto"/>
          <w:szCs w:val="21"/>
        </w:rPr>
        <w:t>第九条规定的下列情形：</w:t>
      </w:r>
    </w:p>
    <w:p>
      <w:pPr>
        <w:spacing w:line="440" w:lineRule="exact"/>
        <w:ind w:firstLine="945" w:firstLineChars="450"/>
        <w:rPr>
          <w:rFonts w:hint="eastAsia" w:ascii="宋体" w:hAnsi="宋体"/>
          <w:color w:val="auto"/>
          <w:szCs w:val="21"/>
        </w:rPr>
      </w:pPr>
      <w:r>
        <w:rPr>
          <w:rFonts w:hint="eastAsia"/>
          <w:color w:val="auto"/>
          <w:szCs w:val="21"/>
        </w:rPr>
        <w:t>□</w:t>
      </w:r>
      <w:r>
        <w:rPr>
          <w:rFonts w:ascii="宋体" w:hAnsi="宋体"/>
          <w:color w:val="auto"/>
          <w:szCs w:val="21"/>
        </w:rPr>
        <w:t>同一工程相邻分段发包或分期施工的</w:t>
      </w:r>
      <w:r>
        <w:rPr>
          <w:rFonts w:hint="eastAsia" w:ascii="宋体" w:hAnsi="宋体"/>
          <w:color w:val="auto"/>
          <w:szCs w:val="21"/>
        </w:rPr>
        <w:t>；</w:t>
      </w:r>
    </w:p>
    <w:p>
      <w:pPr>
        <w:spacing w:line="440" w:lineRule="exact"/>
        <w:ind w:firstLine="945" w:firstLineChars="450"/>
        <w:rPr>
          <w:rFonts w:hint="eastAsia" w:ascii="宋体" w:hAnsi="宋体"/>
          <w:color w:val="auto"/>
          <w:szCs w:val="21"/>
        </w:rPr>
      </w:pPr>
      <w:r>
        <w:rPr>
          <w:rFonts w:hint="eastAsia"/>
          <w:color w:val="auto"/>
          <w:szCs w:val="21"/>
        </w:rPr>
        <w:t>□</w:t>
      </w:r>
      <w:r>
        <w:rPr>
          <w:rFonts w:ascii="宋体" w:hAnsi="宋体"/>
          <w:color w:val="auto"/>
          <w:szCs w:val="21"/>
        </w:rPr>
        <w:t>合同约定的工程验收合格的；</w:t>
      </w:r>
    </w:p>
    <w:p>
      <w:pPr>
        <w:spacing w:line="440" w:lineRule="exact"/>
        <w:ind w:firstLine="945" w:firstLineChars="450"/>
        <w:rPr>
          <w:rFonts w:hint="eastAsia" w:ascii="宋体" w:hAnsi="宋体"/>
          <w:color w:val="auto"/>
          <w:szCs w:val="21"/>
        </w:rPr>
      </w:pPr>
      <w:r>
        <w:rPr>
          <w:rFonts w:hint="eastAsia"/>
          <w:color w:val="auto"/>
          <w:szCs w:val="21"/>
        </w:rPr>
        <w:t>□</w:t>
      </w:r>
      <w:r>
        <w:rPr>
          <w:rFonts w:ascii="宋体" w:hAnsi="宋体"/>
          <w:color w:val="auto"/>
          <w:szCs w:val="21"/>
        </w:rPr>
        <w:t>因非承包方原因致使工程项目停工超过120天（含），经建设单位同意的</w:t>
      </w:r>
      <w:r>
        <w:rPr>
          <w:rFonts w:hint="eastAsia" w:ascii="宋体" w:hAnsi="宋体"/>
          <w:color w:val="auto"/>
          <w:szCs w:val="21"/>
        </w:rPr>
        <w:t>；</w:t>
      </w:r>
    </w:p>
    <w:p>
      <w:pPr>
        <w:spacing w:line="440" w:lineRule="exact"/>
        <w:ind w:firstLine="945" w:firstLineChars="450"/>
        <w:rPr>
          <w:rFonts w:hint="eastAsia" w:ascii="宋体" w:hAnsi="宋体"/>
          <w:color w:val="auto"/>
          <w:szCs w:val="21"/>
        </w:rPr>
      </w:pPr>
      <w:r>
        <w:rPr>
          <w:rFonts w:hint="eastAsia"/>
          <w:color w:val="auto"/>
          <w:szCs w:val="21"/>
        </w:rPr>
        <w:t>□</w:t>
      </w:r>
      <w:r>
        <w:rPr>
          <w:rFonts w:ascii="宋体" w:hAnsi="宋体"/>
          <w:color w:val="auto"/>
          <w:szCs w:val="21"/>
        </w:rPr>
        <w:t>因非承包方原因合同工期内工程未完工且工程已完成80%以上的工作量的，经建设单位同意的。</w:t>
      </w:r>
    </w:p>
    <w:p>
      <w:pPr>
        <w:spacing w:line="440" w:lineRule="exact"/>
        <w:ind w:firstLine="525" w:firstLineChars="250"/>
        <w:rPr>
          <w:rFonts w:hint="eastAsia" w:ascii="宋体" w:hAnsi="宋体"/>
          <w:color w:val="auto"/>
          <w:szCs w:val="21"/>
        </w:rPr>
      </w:pPr>
      <w:r>
        <w:rPr>
          <w:rFonts w:hint="eastAsia"/>
          <w:color w:val="auto"/>
          <w:szCs w:val="21"/>
        </w:rPr>
        <w:t xml:space="preserve">    □</w:t>
      </w:r>
      <w:r>
        <w:rPr>
          <w:rFonts w:hint="eastAsia" w:ascii="宋体" w:hAnsi="宋体"/>
          <w:color w:val="auto"/>
          <w:szCs w:val="21"/>
        </w:rPr>
        <w:t>拟任项目经理担任其他施工项目负责人期间因下列原因进行了更换，并办理书面交接手续：</w:t>
      </w:r>
    </w:p>
    <w:p>
      <w:pPr>
        <w:spacing w:line="440" w:lineRule="exact"/>
        <w:ind w:firstLine="945" w:firstLineChars="450"/>
        <w:rPr>
          <w:rFonts w:hint="eastAsia" w:ascii="宋体" w:hAnsi="宋体"/>
          <w:color w:val="auto"/>
          <w:szCs w:val="21"/>
        </w:rPr>
      </w:pPr>
      <w:r>
        <w:rPr>
          <w:rFonts w:hint="eastAsia"/>
          <w:color w:val="auto"/>
          <w:szCs w:val="21"/>
        </w:rPr>
        <w:t>□</w:t>
      </w:r>
      <w:r>
        <w:rPr>
          <w:rFonts w:hint="eastAsia" w:ascii="宋体" w:hAnsi="宋体"/>
          <w:color w:val="auto"/>
          <w:szCs w:val="21"/>
        </w:rPr>
        <w:t>发包方与注册建造师受聘企业已解除承包合同的；</w:t>
      </w:r>
    </w:p>
    <w:p>
      <w:pPr>
        <w:spacing w:line="440" w:lineRule="exact"/>
        <w:ind w:firstLine="945" w:firstLineChars="450"/>
        <w:rPr>
          <w:rFonts w:hint="eastAsia" w:ascii="宋体" w:hAnsi="宋体"/>
          <w:color w:val="auto"/>
          <w:szCs w:val="21"/>
        </w:rPr>
      </w:pPr>
      <w:r>
        <w:rPr>
          <w:rFonts w:hint="eastAsia"/>
          <w:color w:val="auto"/>
          <w:szCs w:val="21"/>
        </w:rPr>
        <w:t>□</w:t>
      </w:r>
      <w:r>
        <w:rPr>
          <w:rFonts w:hint="eastAsia" w:ascii="宋体" w:hAnsi="宋体"/>
          <w:color w:val="auto"/>
          <w:szCs w:val="21"/>
        </w:rPr>
        <w:t>发包方同意更换项目负责人的；</w:t>
      </w:r>
    </w:p>
    <w:p>
      <w:pPr>
        <w:spacing w:line="440" w:lineRule="exact"/>
        <w:ind w:firstLine="945" w:firstLineChars="450"/>
        <w:rPr>
          <w:rFonts w:hint="eastAsia" w:ascii="宋体" w:hAnsi="宋体"/>
          <w:color w:val="auto"/>
          <w:szCs w:val="21"/>
        </w:rPr>
      </w:pPr>
      <w:r>
        <w:rPr>
          <w:rFonts w:hint="eastAsia"/>
          <w:color w:val="auto"/>
          <w:szCs w:val="21"/>
        </w:rPr>
        <w:t>□</w:t>
      </w:r>
      <w:r>
        <w:rPr>
          <w:rFonts w:hint="eastAsia" w:ascii="宋体" w:hAnsi="宋体"/>
          <w:color w:val="auto"/>
          <w:szCs w:val="21"/>
        </w:rPr>
        <w:t>因不可抗力等特殊情况必须更换项目负责人的。</w:t>
      </w:r>
    </w:p>
    <w:p>
      <w:pPr>
        <w:spacing w:line="440" w:lineRule="exact"/>
        <w:ind w:firstLine="420" w:firstLineChars="200"/>
        <w:rPr>
          <w:rFonts w:hint="eastAsia" w:ascii="宋体" w:hAnsi="宋体"/>
          <w:color w:val="auto"/>
          <w:szCs w:val="21"/>
        </w:rPr>
      </w:pPr>
      <w:r>
        <w:rPr>
          <w:rFonts w:hint="eastAsia" w:ascii="宋体" w:hAnsi="宋体"/>
          <w:color w:val="auto"/>
          <w:szCs w:val="21"/>
        </w:rPr>
        <w:t>我方保证上述信息的真实和准确，并愿意承担因我方就此弄虚作假所引起的一切法律后果。</w:t>
      </w:r>
    </w:p>
    <w:p>
      <w:pPr>
        <w:spacing w:line="440" w:lineRule="exact"/>
        <w:ind w:firstLine="420" w:firstLineChars="200"/>
        <w:rPr>
          <w:rFonts w:hint="eastAsia" w:ascii="宋体" w:hAnsi="宋体"/>
          <w:color w:val="auto"/>
          <w:szCs w:val="21"/>
        </w:rPr>
      </w:pPr>
      <w:r>
        <w:rPr>
          <w:rFonts w:hint="eastAsia" w:ascii="宋体" w:hAnsi="宋体"/>
          <w:color w:val="auto"/>
          <w:szCs w:val="21"/>
        </w:rPr>
        <w:t>我方在此声明，如拟任项目经理参加不同工程项目投标，我方先后被列为第一中标候选人，我方将无条件放弃评标结果后公示的工程建设项目的中标资格。</w:t>
      </w:r>
    </w:p>
    <w:p>
      <w:pPr>
        <w:spacing w:line="440" w:lineRule="exact"/>
        <w:ind w:firstLine="420" w:firstLineChars="200"/>
        <w:rPr>
          <w:rFonts w:hint="eastAsia" w:ascii="宋体" w:hAnsi="宋体"/>
          <w:color w:val="auto"/>
          <w:szCs w:val="21"/>
        </w:rPr>
      </w:pPr>
      <w:r>
        <w:rPr>
          <w:rFonts w:hint="eastAsia" w:ascii="宋体" w:hAnsi="宋体"/>
          <w:color w:val="auto"/>
          <w:szCs w:val="21"/>
        </w:rPr>
        <w:t>特此承诺。</w:t>
      </w:r>
    </w:p>
    <w:p>
      <w:pPr>
        <w:spacing w:line="440" w:lineRule="exact"/>
        <w:jc w:val="right"/>
        <w:rPr>
          <w:rFonts w:hint="eastAsia" w:ascii="宋体" w:hAnsi="宋体"/>
          <w:color w:val="auto"/>
          <w:szCs w:val="21"/>
        </w:rPr>
      </w:pPr>
      <w:r>
        <w:rPr>
          <w:rFonts w:hint="eastAsia" w:ascii="宋体" w:hAnsi="宋体"/>
          <w:color w:val="auto"/>
          <w:szCs w:val="21"/>
        </w:rPr>
        <w:t>投标人：</w:t>
      </w:r>
      <w:r>
        <w:rPr>
          <w:rFonts w:hint="eastAsia" w:ascii="宋体" w:hAnsi="宋体"/>
          <w:color w:val="auto"/>
          <w:szCs w:val="21"/>
          <w:u w:val="single"/>
        </w:rPr>
        <w:t xml:space="preserve">                             </w:t>
      </w:r>
      <w:r>
        <w:rPr>
          <w:rFonts w:hint="eastAsia" w:ascii="宋体" w:hAnsi="宋体"/>
          <w:color w:val="auto"/>
          <w:szCs w:val="21"/>
        </w:rPr>
        <w:t>（盖单位章）</w:t>
      </w:r>
    </w:p>
    <w:p>
      <w:pPr>
        <w:jc w:val="right"/>
        <w:rPr>
          <w:rFonts w:hint="eastAsia" w:ascii="宋体" w:hAnsi="宋体"/>
          <w:color w:val="auto"/>
          <w:szCs w:val="21"/>
        </w:rPr>
      </w:pPr>
    </w:p>
    <w:p>
      <w:pPr>
        <w:ind w:right="420"/>
        <w:jc w:val="right"/>
        <w:rPr>
          <w:rFonts w:hint="eastAsia"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jc w:val="right"/>
        <w:rPr>
          <w:rFonts w:hint="eastAsia" w:ascii="宋体" w:hAnsi="宋体"/>
          <w:color w:val="auto"/>
          <w:szCs w:val="21"/>
        </w:rPr>
      </w:pPr>
    </w:p>
    <w:p>
      <w:pPr>
        <w:spacing w:line="440" w:lineRule="exact"/>
        <w:ind w:left="840" w:hanging="840" w:hangingChars="400"/>
        <w:rPr>
          <w:rFonts w:hint="eastAsia" w:ascii="宋体" w:hAnsi="宋体"/>
          <w:color w:val="auto"/>
          <w:szCs w:val="21"/>
        </w:rPr>
      </w:pPr>
      <w:r>
        <w:rPr>
          <w:rFonts w:hint="eastAsia" w:ascii="宋体" w:hAnsi="宋体"/>
          <w:color w:val="auto"/>
          <w:szCs w:val="21"/>
        </w:rPr>
        <w:t>备注：1.投标人应当根据“承诺书”的格式（在存在情况前面的方框“□”内打钩“√”），如实说明拟任项目经理能够参加本工程投标的理由，并附相关证明材料的复印件。其中合同履行期间变更项目负责人的，相关证明材料包括发包方同意变更项目负责人的函件和合同协议书的复印件。事后提交的相关证明材料不予认可。</w:t>
      </w:r>
    </w:p>
    <w:p>
      <w:pPr>
        <w:spacing w:line="440" w:lineRule="exact"/>
        <w:ind w:left="630" w:leftChars="300"/>
        <w:rPr>
          <w:rFonts w:hint="eastAsia" w:ascii="宋体" w:hAnsi="宋体"/>
          <w:color w:val="auto"/>
          <w:szCs w:val="21"/>
        </w:rPr>
      </w:pPr>
      <w:r>
        <w:rPr>
          <w:rFonts w:hint="eastAsia" w:ascii="宋体" w:hAnsi="宋体"/>
          <w:color w:val="auto"/>
          <w:szCs w:val="21"/>
        </w:rPr>
        <w:t>2.投标人“承诺书”的实质内容应当与格式规定的实质内容一致。</w:t>
      </w:r>
    </w:p>
    <w:p>
      <w:pPr>
        <w:pStyle w:val="87"/>
        <w:spacing w:after="120" w:afterLines="50"/>
        <w:jc w:val="center"/>
        <w:rPr>
          <w:rFonts w:hint="eastAsia"/>
          <w:color w:val="auto"/>
          <w:sz w:val="28"/>
          <w:szCs w:val="28"/>
        </w:rPr>
      </w:pPr>
      <w:bookmarkStart w:id="2712" w:name="_Toc491089819"/>
      <w:bookmarkStart w:id="2713" w:name="_Toc22818"/>
      <w:r>
        <w:rPr>
          <w:rFonts w:hint="eastAsia"/>
          <w:color w:val="auto"/>
          <w:sz w:val="28"/>
          <w:szCs w:val="28"/>
        </w:rPr>
        <w:t>（四）项目技术负责人简历表</w:t>
      </w:r>
      <w:bookmarkEnd w:id="2712"/>
      <w:bookmarkEnd w:id="2713"/>
    </w:p>
    <w:p>
      <w:pPr>
        <w:jc w:val="center"/>
        <w:rPr>
          <w:rFonts w:hint="eastAsia"/>
          <w:color w:val="auto"/>
          <w:sz w:val="28"/>
          <w:szCs w:val="28"/>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560"/>
        <w:gridCol w:w="1275"/>
        <w:gridCol w:w="1560"/>
        <w:gridCol w:w="1134"/>
        <w:gridCol w:w="708"/>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姓  名</w:t>
            </w:r>
          </w:p>
        </w:tc>
        <w:tc>
          <w:tcPr>
            <w:tcW w:w="1560" w:type="dxa"/>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年   龄</w:t>
            </w:r>
          </w:p>
        </w:tc>
        <w:tc>
          <w:tcPr>
            <w:tcW w:w="1560" w:type="dxa"/>
            <w:noWrap w:val="0"/>
            <w:vAlign w:val="top"/>
          </w:tcPr>
          <w:p>
            <w:pPr>
              <w:jc w:val="center"/>
              <w:rPr>
                <w:rFonts w:hint="eastAsia" w:ascii="宋体" w:hAnsi="宋体"/>
                <w:color w:val="auto"/>
                <w:szCs w:val="21"/>
              </w:rPr>
            </w:pPr>
          </w:p>
        </w:tc>
        <w:tc>
          <w:tcPr>
            <w:tcW w:w="1842" w:type="dxa"/>
            <w:gridSpan w:val="2"/>
            <w:noWrap w:val="0"/>
            <w:vAlign w:val="center"/>
          </w:tcPr>
          <w:p>
            <w:pPr>
              <w:jc w:val="center"/>
              <w:rPr>
                <w:rFonts w:hint="eastAsia" w:ascii="宋体" w:hAnsi="宋体"/>
                <w:color w:val="auto"/>
                <w:szCs w:val="21"/>
              </w:rPr>
            </w:pPr>
            <w:r>
              <w:rPr>
                <w:rFonts w:hint="eastAsia" w:ascii="宋体" w:hAnsi="宋体"/>
                <w:color w:val="auto"/>
                <w:szCs w:val="21"/>
              </w:rPr>
              <w:t>拟在本工程任职</w:t>
            </w:r>
          </w:p>
        </w:tc>
        <w:tc>
          <w:tcPr>
            <w:tcW w:w="1756" w:type="dxa"/>
            <w:noWrap w:val="0"/>
            <w:vAlign w:val="center"/>
          </w:tcPr>
          <w:p>
            <w:pPr>
              <w:jc w:val="center"/>
              <w:rPr>
                <w:rFonts w:hint="eastAsia" w:ascii="宋体" w:hAnsi="宋体"/>
                <w:color w:val="auto"/>
                <w:szCs w:val="21"/>
              </w:rPr>
            </w:pPr>
            <w:r>
              <w:rPr>
                <w:rFonts w:hint="eastAsia" w:ascii="宋体" w:hAnsi="宋体"/>
                <w:color w:val="auto"/>
                <w:szCs w:val="21"/>
              </w:rPr>
              <w:t>项目技术负责人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学  历</w:t>
            </w:r>
          </w:p>
        </w:tc>
        <w:tc>
          <w:tcPr>
            <w:tcW w:w="1560" w:type="dxa"/>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毕业学校</w:t>
            </w:r>
          </w:p>
        </w:tc>
        <w:tc>
          <w:tcPr>
            <w:tcW w:w="5158" w:type="dxa"/>
            <w:gridSpan w:val="4"/>
            <w:noWrap w:val="0"/>
            <w:vAlign w:val="center"/>
          </w:tcPr>
          <w:p>
            <w:pPr>
              <w:rPr>
                <w:rFonts w:hint="eastAsia" w:ascii="宋体" w:hAnsi="宋体"/>
                <w:color w:val="auto"/>
                <w:szCs w:val="21"/>
              </w:rPr>
            </w:pP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年毕业于</w:t>
            </w:r>
            <w:r>
              <w:rPr>
                <w:rFonts w:hint="eastAsia" w:ascii="宋体" w:hAnsi="宋体"/>
                <w:color w:val="auto"/>
                <w:szCs w:val="21"/>
                <w:u w:val="single"/>
              </w:rPr>
              <w:t xml:space="preserve">           </w:t>
            </w:r>
            <w:r>
              <w:rPr>
                <w:rFonts w:hint="eastAsia" w:ascii="宋体" w:hAnsi="宋体"/>
                <w:color w:val="auto"/>
                <w:szCs w:val="21"/>
              </w:rPr>
              <w:t>学校</w:t>
            </w:r>
            <w:r>
              <w:rPr>
                <w:rFonts w:hint="eastAsia" w:ascii="宋体" w:hAnsi="宋体"/>
                <w:color w:val="auto"/>
                <w:szCs w:val="21"/>
                <w:u w:val="single"/>
              </w:rPr>
              <w:t xml:space="preserve">          </w:t>
            </w:r>
            <w:r>
              <w:rPr>
                <w:rFonts w:hint="eastAsia" w:ascii="宋体" w:hAnsi="宋体"/>
                <w:color w:val="auto"/>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职  称</w:t>
            </w:r>
          </w:p>
        </w:tc>
        <w:tc>
          <w:tcPr>
            <w:tcW w:w="6433" w:type="dxa"/>
            <w:gridSpan w:val="5"/>
            <w:noWrap w:val="0"/>
            <w:vAlign w:val="center"/>
          </w:tcPr>
          <w:p>
            <w:pPr>
              <w:ind w:firstLine="105" w:firstLineChars="50"/>
              <w:rPr>
                <w:rFonts w:hint="eastAsia" w:ascii="宋体" w:hAnsi="宋体"/>
                <w:color w:val="auto"/>
                <w:szCs w:val="21"/>
              </w:rPr>
            </w:pP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注册建造师</w:t>
            </w:r>
          </w:p>
          <w:p>
            <w:pPr>
              <w:jc w:val="center"/>
              <w:rPr>
                <w:rFonts w:hint="eastAsia" w:ascii="宋体" w:hAnsi="宋体"/>
                <w:color w:val="auto"/>
                <w:szCs w:val="21"/>
              </w:rPr>
            </w:pPr>
            <w:r>
              <w:rPr>
                <w:rFonts w:hint="eastAsia" w:ascii="宋体" w:hAnsi="宋体"/>
                <w:color w:val="auto"/>
                <w:szCs w:val="21"/>
              </w:rPr>
              <w:t>执业资格等级</w:t>
            </w:r>
          </w:p>
        </w:tc>
        <w:tc>
          <w:tcPr>
            <w:tcW w:w="6433" w:type="dxa"/>
            <w:gridSpan w:val="5"/>
            <w:noWrap w:val="0"/>
            <w:vAlign w:val="center"/>
          </w:tcPr>
          <w:p>
            <w:pPr>
              <w:rPr>
                <w:rFonts w:hint="eastAsia" w:ascii="宋体" w:hAnsi="宋体"/>
                <w:color w:val="auto"/>
                <w:szCs w:val="21"/>
              </w:rPr>
            </w:pPr>
            <w:r>
              <w:rPr>
                <w:rFonts w:hint="eastAsia" w:ascii="宋体" w:hAnsi="宋体"/>
                <w:color w:val="auto"/>
                <w:szCs w:val="21"/>
              </w:rPr>
              <w:t xml:space="preserve"> 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r>
              <w:rPr>
                <w:rFonts w:hint="eastAsia" w:ascii="宋体" w:hAnsi="宋体"/>
                <w:color w:val="auto"/>
                <w:szCs w:val="21"/>
              </w:rPr>
              <w:t xml:space="preserve"> 注册编号：</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7" w:type="dxa"/>
            <w:gridSpan w:val="7"/>
            <w:noWrap w:val="0"/>
            <w:vAlign w:val="center"/>
          </w:tcPr>
          <w:p>
            <w:pPr>
              <w:jc w:val="center"/>
              <w:rPr>
                <w:rFonts w:hint="eastAsia" w:ascii="宋体" w:hAnsi="宋体"/>
                <w:color w:val="auto"/>
                <w:szCs w:val="21"/>
              </w:rPr>
            </w:pPr>
            <w:r>
              <w:rPr>
                <w:rFonts w:hint="eastAsia"/>
                <w:color w:val="auto"/>
                <w:u w:val="single"/>
              </w:rPr>
              <w:t xml:space="preserve">     </w:t>
            </w:r>
            <w:r>
              <w:rPr>
                <w:rFonts w:hint="eastAsia"/>
                <w:color w:val="auto"/>
              </w:rPr>
              <w:t>年及以上从事工程施工技术管理工作经验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u w:val="single"/>
              </w:rPr>
            </w:pPr>
            <w:r>
              <w:rPr>
                <w:rFonts w:hint="eastAsia" w:ascii="宋体" w:hAnsi="宋体"/>
                <w:color w:val="auto"/>
                <w:szCs w:val="21"/>
              </w:rPr>
              <w:t>工作单位</w:t>
            </w: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拟任职务</w:t>
            </w: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工作时间</w:t>
            </w:r>
          </w:p>
        </w:tc>
        <w:tc>
          <w:tcPr>
            <w:tcW w:w="2464" w:type="dxa"/>
            <w:gridSpan w:val="2"/>
            <w:noWrap w:val="0"/>
            <w:vAlign w:val="center"/>
          </w:tcPr>
          <w:p>
            <w:pPr>
              <w:jc w:val="center"/>
              <w:rPr>
                <w:rFonts w:hint="eastAsia" w:ascii="宋体" w:hAnsi="宋体"/>
                <w:color w:val="auto"/>
                <w:szCs w:val="21"/>
              </w:rPr>
            </w:pPr>
            <w:r>
              <w:rPr>
                <w:rFonts w:hint="eastAsia" w:ascii="宋体" w:hAnsi="宋体"/>
                <w:color w:val="auto"/>
                <w:szCs w:val="21"/>
              </w:rPr>
              <w:t>主要工作内容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7" w:type="dxa"/>
            <w:gridSpan w:val="7"/>
            <w:noWrap w:val="0"/>
            <w:vAlign w:val="center"/>
          </w:tcPr>
          <w:p>
            <w:pPr>
              <w:jc w:val="center"/>
              <w:rPr>
                <w:rFonts w:hint="eastAsia" w:ascii="宋体" w:hAnsi="宋体"/>
                <w:color w:val="auto"/>
                <w:szCs w:val="21"/>
              </w:rPr>
            </w:pPr>
            <w:r>
              <w:rPr>
                <w:rFonts w:ascii="宋体" w:hAnsi="宋体"/>
                <w:color w:val="auto"/>
                <w:szCs w:val="21"/>
              </w:rPr>
              <w:t>主要</w:t>
            </w:r>
            <w:r>
              <w:rPr>
                <w:rFonts w:hint="eastAsia" w:ascii="宋体" w:hAnsi="宋体"/>
                <w:color w:val="auto"/>
                <w:szCs w:val="21"/>
              </w:rPr>
              <w:t>施工管理</w:t>
            </w:r>
            <w:r>
              <w:rPr>
                <w:rFonts w:ascii="宋体" w:hAnsi="宋体"/>
                <w:color w:val="auto"/>
                <w:szCs w:val="21"/>
              </w:rPr>
              <w:t>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近五年担任过同类工程技术负责人（或项目经理）的项目名称</w:t>
            </w: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合同工期</w:t>
            </w:r>
          </w:p>
          <w:p>
            <w:pPr>
              <w:jc w:val="center"/>
              <w:rPr>
                <w:rFonts w:hint="eastAsia" w:ascii="宋体" w:hAnsi="宋体"/>
                <w:color w:val="auto"/>
                <w:szCs w:val="21"/>
              </w:rPr>
            </w:pPr>
            <w:r>
              <w:rPr>
                <w:rFonts w:hint="eastAsia" w:ascii="宋体" w:hAnsi="宋体"/>
                <w:color w:val="auto"/>
                <w:szCs w:val="21"/>
              </w:rPr>
              <w:t>（日历天）</w:t>
            </w: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任职时间</w:t>
            </w:r>
          </w:p>
        </w:tc>
        <w:tc>
          <w:tcPr>
            <w:tcW w:w="2464" w:type="dxa"/>
            <w:gridSpan w:val="2"/>
            <w:noWrap w:val="0"/>
            <w:vAlign w:val="center"/>
          </w:tcPr>
          <w:p>
            <w:pPr>
              <w:jc w:val="center"/>
              <w:rPr>
                <w:rFonts w:hint="eastAsia" w:ascii="宋体" w:hAnsi="宋体"/>
                <w:color w:val="auto"/>
                <w:szCs w:val="21"/>
              </w:rPr>
            </w:pPr>
            <w:r>
              <w:rPr>
                <w:rFonts w:hint="eastAsia" w:ascii="宋体" w:hAnsi="宋体"/>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近五年担任过类似工程技术负责人（或项目经理）的项目名称</w:t>
            </w:r>
          </w:p>
        </w:tc>
        <w:tc>
          <w:tcPr>
            <w:tcW w:w="1275" w:type="dxa"/>
            <w:noWrap w:val="0"/>
            <w:vAlign w:val="center"/>
          </w:tcPr>
          <w:p>
            <w:pPr>
              <w:jc w:val="center"/>
              <w:rPr>
                <w:rFonts w:hint="eastAsia" w:ascii="宋体" w:hAnsi="宋体"/>
                <w:color w:val="auto"/>
                <w:szCs w:val="21"/>
              </w:rPr>
            </w:pPr>
            <w:r>
              <w:rPr>
                <w:rFonts w:hint="eastAsia" w:ascii="宋体" w:hAnsi="宋体"/>
                <w:color w:val="auto"/>
                <w:szCs w:val="21"/>
              </w:rPr>
              <w:t>合同工期</w:t>
            </w:r>
          </w:p>
          <w:p>
            <w:pPr>
              <w:jc w:val="center"/>
              <w:rPr>
                <w:rFonts w:hint="eastAsia" w:ascii="宋体" w:hAnsi="宋体"/>
                <w:color w:val="auto"/>
                <w:szCs w:val="21"/>
              </w:rPr>
            </w:pPr>
            <w:r>
              <w:rPr>
                <w:rFonts w:hint="eastAsia" w:ascii="宋体" w:hAnsi="宋体"/>
                <w:color w:val="auto"/>
                <w:szCs w:val="21"/>
              </w:rPr>
              <w:t>（日历天）</w:t>
            </w: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任职时间</w:t>
            </w:r>
          </w:p>
        </w:tc>
        <w:tc>
          <w:tcPr>
            <w:tcW w:w="2464" w:type="dxa"/>
            <w:gridSpan w:val="2"/>
            <w:noWrap w:val="0"/>
            <w:vAlign w:val="center"/>
          </w:tcPr>
          <w:p>
            <w:pPr>
              <w:jc w:val="center"/>
              <w:rPr>
                <w:rFonts w:hint="eastAsia" w:ascii="宋体" w:hAnsi="宋体"/>
                <w:color w:val="auto"/>
                <w:szCs w:val="21"/>
              </w:rPr>
            </w:pPr>
            <w:r>
              <w:rPr>
                <w:rFonts w:hint="eastAsia" w:ascii="宋体" w:hAnsi="宋体"/>
                <w:color w:val="auto"/>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94" w:type="dxa"/>
            <w:gridSpan w:val="2"/>
            <w:noWrap w:val="0"/>
            <w:vAlign w:val="center"/>
          </w:tcPr>
          <w:p>
            <w:pPr>
              <w:jc w:val="center"/>
              <w:rPr>
                <w:rFonts w:hint="eastAsia" w:ascii="宋体" w:hAnsi="宋体"/>
                <w:color w:val="auto"/>
                <w:szCs w:val="21"/>
              </w:rPr>
            </w:pPr>
          </w:p>
        </w:tc>
        <w:tc>
          <w:tcPr>
            <w:tcW w:w="1275"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464" w:type="dxa"/>
            <w:gridSpan w:val="2"/>
            <w:noWrap w:val="0"/>
            <w:vAlign w:val="center"/>
          </w:tcPr>
          <w:p>
            <w:pPr>
              <w:jc w:val="center"/>
              <w:rPr>
                <w:rFonts w:hint="eastAsia" w:ascii="宋体" w:hAnsi="宋体"/>
                <w:color w:val="auto"/>
                <w:szCs w:val="21"/>
              </w:rPr>
            </w:pPr>
          </w:p>
        </w:tc>
      </w:tr>
    </w:tbl>
    <w:p>
      <w:pPr>
        <w:spacing w:line="420" w:lineRule="exact"/>
        <w:ind w:left="840" w:hanging="840" w:hangingChars="400"/>
        <w:rPr>
          <w:rFonts w:hint="eastAsia" w:ascii="宋体" w:hAnsi="宋体"/>
          <w:color w:val="auto"/>
        </w:rPr>
      </w:pPr>
      <w:r>
        <w:rPr>
          <w:rFonts w:hint="eastAsia" w:ascii="宋体" w:hAnsi="宋体"/>
          <w:color w:val="auto"/>
        </w:rPr>
        <w:t>备注：1.项目技术负责人的证明资料按下列顺序附后，职称证、建造师资格证书、注册证书(不含临时)、学历证、业绩证明等复印件。</w:t>
      </w:r>
    </w:p>
    <w:p>
      <w:pPr>
        <w:spacing w:line="420" w:lineRule="exact"/>
        <w:ind w:left="840" w:leftChars="300" w:hanging="210" w:hangingChars="100"/>
        <w:rPr>
          <w:rFonts w:hint="eastAsia" w:ascii="宋体" w:hAnsi="宋体"/>
          <w:color w:val="auto"/>
        </w:rPr>
      </w:pPr>
      <w:r>
        <w:rPr>
          <w:rFonts w:hint="eastAsia" w:ascii="宋体" w:hAnsi="宋体"/>
          <w:color w:val="auto"/>
        </w:rPr>
        <w:t>2. 项目技术负责人业绩经历指履行工程项目技术负责人（或项目经理）时间大于合同工期一半的经历，否则视为无效项目技术负责人业绩；</w:t>
      </w:r>
      <w:r>
        <w:rPr>
          <w:rFonts w:hint="eastAsia" w:ascii="宋体" w:hAnsi="宋体"/>
          <w:b/>
          <w:color w:val="auto"/>
        </w:rPr>
        <w:t>业绩证明以湖北省水利建设市场主体信用信息平台证明材料（《湖北省水利建设市场主体信用信息平台》网站导出的标注有二维码的材料，包括业绩汇总表以及合同、业主证明等附件）为准</w:t>
      </w:r>
      <w:r>
        <w:rPr>
          <w:rFonts w:hint="eastAsia" w:ascii="宋体" w:hAnsi="宋体"/>
          <w:color w:val="auto"/>
        </w:rPr>
        <w:t>。</w:t>
      </w:r>
    </w:p>
    <w:p>
      <w:pPr>
        <w:spacing w:line="420" w:lineRule="exact"/>
        <w:ind w:left="840" w:leftChars="300" w:hanging="210" w:hangingChars="100"/>
        <w:rPr>
          <w:rFonts w:hint="eastAsia" w:ascii="宋体" w:hAnsi="宋体"/>
          <w:color w:val="auto"/>
        </w:rPr>
      </w:pPr>
    </w:p>
    <w:p>
      <w:pPr>
        <w:spacing w:line="420" w:lineRule="exact"/>
        <w:ind w:left="840" w:leftChars="300" w:hanging="210" w:hangingChars="100"/>
        <w:rPr>
          <w:rFonts w:hint="eastAsia" w:ascii="宋体" w:hAnsi="宋体"/>
          <w:color w:val="auto"/>
        </w:rPr>
      </w:pPr>
    </w:p>
    <w:p>
      <w:pPr>
        <w:spacing w:line="420" w:lineRule="exact"/>
        <w:ind w:left="840" w:leftChars="300" w:hanging="210" w:hangingChars="100"/>
        <w:rPr>
          <w:rFonts w:hint="eastAsia" w:ascii="宋体" w:hAnsi="宋体"/>
          <w:color w:val="auto"/>
        </w:rPr>
      </w:pPr>
    </w:p>
    <w:p>
      <w:pPr>
        <w:pStyle w:val="87"/>
        <w:spacing w:after="120" w:afterLines="50"/>
        <w:jc w:val="center"/>
        <w:rPr>
          <w:rFonts w:hint="eastAsia"/>
          <w:color w:val="auto"/>
          <w:sz w:val="28"/>
          <w:szCs w:val="28"/>
        </w:rPr>
      </w:pPr>
      <w:bookmarkStart w:id="2714" w:name="_Toc491089820"/>
      <w:bookmarkStart w:id="2715" w:name="_Toc7622"/>
      <w:r>
        <w:rPr>
          <w:rFonts w:hint="eastAsia"/>
          <w:color w:val="auto"/>
          <w:sz w:val="28"/>
          <w:szCs w:val="28"/>
        </w:rPr>
        <w:t>（五）其他主要项目管理人员简历表</w:t>
      </w:r>
      <w:bookmarkEnd w:id="2714"/>
      <w:bookmarkEnd w:id="2715"/>
    </w:p>
    <w:p>
      <w:pPr>
        <w:jc w:val="center"/>
        <w:rPr>
          <w:rFonts w:hint="eastAsia"/>
          <w:color w:val="auto"/>
          <w:sz w:val="28"/>
          <w:szCs w:val="28"/>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701"/>
        <w:gridCol w:w="1560"/>
        <w:gridCol w:w="1134"/>
        <w:gridCol w:w="850"/>
        <w:gridCol w:w="16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序  号</w:t>
            </w:r>
          </w:p>
        </w:tc>
        <w:tc>
          <w:tcPr>
            <w:tcW w:w="1134" w:type="dxa"/>
            <w:noWrap w:val="0"/>
            <w:vAlign w:val="center"/>
          </w:tcPr>
          <w:p>
            <w:pPr>
              <w:jc w:val="center"/>
              <w:rPr>
                <w:rFonts w:hint="eastAsia" w:ascii="宋体" w:hAnsi="宋体"/>
                <w:color w:val="auto"/>
                <w:szCs w:val="21"/>
              </w:rPr>
            </w:pPr>
          </w:p>
        </w:tc>
        <w:tc>
          <w:tcPr>
            <w:tcW w:w="1701" w:type="dxa"/>
            <w:noWrap w:val="0"/>
            <w:vAlign w:val="center"/>
          </w:tcPr>
          <w:p>
            <w:pPr>
              <w:jc w:val="center"/>
              <w:rPr>
                <w:rFonts w:hint="eastAsia" w:ascii="宋体" w:hAnsi="宋体"/>
                <w:color w:val="auto"/>
                <w:szCs w:val="21"/>
              </w:rPr>
            </w:pPr>
            <w:r>
              <w:rPr>
                <w:rFonts w:hint="eastAsia" w:ascii="宋体" w:hAnsi="宋体"/>
                <w:color w:val="auto"/>
                <w:szCs w:val="21"/>
              </w:rPr>
              <w:t>拟在本工程岗位</w:t>
            </w:r>
          </w:p>
        </w:tc>
        <w:tc>
          <w:tcPr>
            <w:tcW w:w="5158" w:type="dxa"/>
            <w:gridSpan w:val="4"/>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姓  名</w:t>
            </w:r>
          </w:p>
        </w:tc>
        <w:tc>
          <w:tcPr>
            <w:tcW w:w="1134" w:type="dxa"/>
            <w:noWrap w:val="0"/>
            <w:vAlign w:val="center"/>
          </w:tcPr>
          <w:p>
            <w:pPr>
              <w:jc w:val="center"/>
              <w:rPr>
                <w:rFonts w:hint="eastAsia" w:ascii="宋体" w:hAnsi="宋体"/>
                <w:color w:val="auto"/>
                <w:szCs w:val="21"/>
              </w:rPr>
            </w:pPr>
          </w:p>
        </w:tc>
        <w:tc>
          <w:tcPr>
            <w:tcW w:w="1701" w:type="dxa"/>
            <w:noWrap w:val="0"/>
            <w:vAlign w:val="center"/>
          </w:tcPr>
          <w:p>
            <w:pPr>
              <w:jc w:val="center"/>
              <w:rPr>
                <w:rFonts w:hint="eastAsia" w:ascii="宋体" w:hAnsi="宋体"/>
                <w:color w:val="auto"/>
                <w:szCs w:val="21"/>
              </w:rPr>
            </w:pPr>
            <w:r>
              <w:rPr>
                <w:rFonts w:hint="eastAsia" w:ascii="宋体" w:hAnsi="宋体"/>
                <w:color w:val="auto"/>
                <w:szCs w:val="21"/>
              </w:rPr>
              <w:t>年   龄</w:t>
            </w:r>
          </w:p>
        </w:tc>
        <w:tc>
          <w:tcPr>
            <w:tcW w:w="1560" w:type="dxa"/>
            <w:noWrap w:val="0"/>
            <w:vAlign w:val="top"/>
          </w:tcPr>
          <w:p>
            <w:pPr>
              <w:jc w:val="center"/>
              <w:rPr>
                <w:rFonts w:hint="eastAsia" w:ascii="宋体" w:hAnsi="宋体"/>
                <w:color w:val="auto"/>
                <w:szCs w:val="21"/>
              </w:rPr>
            </w:pPr>
          </w:p>
        </w:tc>
        <w:tc>
          <w:tcPr>
            <w:tcW w:w="1984" w:type="dxa"/>
            <w:gridSpan w:val="2"/>
            <w:noWrap w:val="0"/>
            <w:vAlign w:val="center"/>
          </w:tcPr>
          <w:p>
            <w:pPr>
              <w:jc w:val="center"/>
              <w:rPr>
                <w:rFonts w:hint="eastAsia" w:ascii="宋体" w:hAnsi="宋体"/>
                <w:color w:val="auto"/>
                <w:szCs w:val="21"/>
              </w:rPr>
            </w:pPr>
            <w:r>
              <w:rPr>
                <w:rFonts w:hint="eastAsia" w:ascii="宋体" w:hAnsi="宋体"/>
                <w:color w:val="auto"/>
                <w:szCs w:val="21"/>
              </w:rPr>
              <w:t>性别</w:t>
            </w:r>
          </w:p>
        </w:tc>
        <w:tc>
          <w:tcPr>
            <w:tcW w:w="1614" w:type="dxa"/>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ascii="宋体" w:hAnsi="宋体"/>
                <w:color w:val="auto"/>
                <w:szCs w:val="21"/>
              </w:rPr>
            </w:pPr>
            <w:r>
              <w:rPr>
                <w:rFonts w:hint="eastAsia" w:ascii="宋体" w:hAnsi="宋体"/>
                <w:color w:val="auto"/>
                <w:szCs w:val="21"/>
              </w:rPr>
              <w:t>学  历</w:t>
            </w:r>
          </w:p>
        </w:tc>
        <w:tc>
          <w:tcPr>
            <w:tcW w:w="1134" w:type="dxa"/>
            <w:noWrap w:val="0"/>
            <w:vAlign w:val="center"/>
          </w:tcPr>
          <w:p>
            <w:pPr>
              <w:jc w:val="center"/>
              <w:rPr>
                <w:rFonts w:hint="eastAsia" w:ascii="宋体" w:hAnsi="宋体"/>
                <w:color w:val="auto"/>
                <w:szCs w:val="21"/>
              </w:rPr>
            </w:pPr>
          </w:p>
        </w:tc>
        <w:tc>
          <w:tcPr>
            <w:tcW w:w="1701" w:type="dxa"/>
            <w:noWrap w:val="0"/>
            <w:vAlign w:val="center"/>
          </w:tcPr>
          <w:p>
            <w:pPr>
              <w:jc w:val="center"/>
              <w:rPr>
                <w:rFonts w:hint="eastAsia" w:ascii="宋体" w:hAnsi="宋体"/>
                <w:color w:val="auto"/>
                <w:szCs w:val="21"/>
              </w:rPr>
            </w:pPr>
            <w:r>
              <w:rPr>
                <w:rFonts w:hint="eastAsia" w:ascii="宋体" w:hAnsi="宋体"/>
                <w:color w:val="auto"/>
                <w:szCs w:val="21"/>
              </w:rPr>
              <w:t>毕业学校</w:t>
            </w:r>
          </w:p>
        </w:tc>
        <w:tc>
          <w:tcPr>
            <w:tcW w:w="5158" w:type="dxa"/>
            <w:gridSpan w:val="4"/>
            <w:noWrap w:val="0"/>
            <w:vAlign w:val="center"/>
          </w:tcPr>
          <w:p>
            <w:pPr>
              <w:rPr>
                <w:rFonts w:hint="eastAsia" w:ascii="宋体" w:hAnsi="宋体"/>
                <w:color w:val="auto"/>
                <w:szCs w:val="21"/>
              </w:rPr>
            </w:pPr>
            <w:r>
              <w:rPr>
                <w:rFonts w:ascii="宋体" w:hAnsi="宋体"/>
                <w:color w:val="auto"/>
                <w:szCs w:val="21"/>
                <w:u w:val="single"/>
              </w:rPr>
              <w:t xml:space="preserve"> </w:t>
            </w:r>
            <w:r>
              <w:rPr>
                <w:rFonts w:hint="eastAsia" w:ascii="宋体" w:hAnsi="宋体"/>
                <w:color w:val="auto"/>
                <w:szCs w:val="21"/>
                <w:u w:val="single"/>
              </w:rPr>
              <w:t xml:space="preserve">    </w:t>
            </w:r>
            <w:r>
              <w:rPr>
                <w:rFonts w:hint="eastAsia" w:ascii="宋体" w:hAnsi="宋体"/>
                <w:color w:val="auto"/>
                <w:szCs w:val="21"/>
              </w:rPr>
              <w:t>年毕业于</w:t>
            </w:r>
            <w:r>
              <w:rPr>
                <w:rFonts w:hint="eastAsia" w:ascii="宋体" w:hAnsi="宋体"/>
                <w:color w:val="auto"/>
                <w:szCs w:val="21"/>
                <w:u w:val="single"/>
              </w:rPr>
              <w:t xml:space="preserve">           </w:t>
            </w:r>
            <w:r>
              <w:rPr>
                <w:rFonts w:hint="eastAsia" w:ascii="宋体" w:hAnsi="宋体"/>
                <w:color w:val="auto"/>
                <w:szCs w:val="21"/>
              </w:rPr>
              <w:t>学校</w:t>
            </w:r>
            <w:r>
              <w:rPr>
                <w:rFonts w:hint="eastAsia" w:ascii="宋体" w:hAnsi="宋体"/>
                <w:color w:val="auto"/>
                <w:szCs w:val="21"/>
                <w:u w:val="single"/>
              </w:rPr>
              <w:t xml:space="preserve">          </w:t>
            </w:r>
            <w:r>
              <w:rPr>
                <w:rFonts w:hint="eastAsia" w:ascii="宋体" w:hAnsi="宋体"/>
                <w:color w:val="auto"/>
                <w:szCs w:val="21"/>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8" w:type="dxa"/>
            <w:gridSpan w:val="2"/>
            <w:noWrap w:val="0"/>
            <w:vAlign w:val="center"/>
          </w:tcPr>
          <w:p>
            <w:pPr>
              <w:jc w:val="center"/>
              <w:rPr>
                <w:rFonts w:hint="eastAsia" w:ascii="宋体" w:hAnsi="宋体"/>
                <w:color w:val="auto"/>
                <w:szCs w:val="21"/>
              </w:rPr>
            </w:pPr>
            <w:r>
              <w:rPr>
                <w:rFonts w:hint="eastAsia" w:ascii="宋体" w:hAnsi="宋体"/>
                <w:color w:val="auto"/>
                <w:szCs w:val="21"/>
              </w:rPr>
              <w:t>职  称</w:t>
            </w:r>
          </w:p>
        </w:tc>
        <w:tc>
          <w:tcPr>
            <w:tcW w:w="6859" w:type="dxa"/>
            <w:gridSpan w:val="5"/>
            <w:noWrap w:val="0"/>
            <w:vAlign w:val="center"/>
          </w:tcPr>
          <w:p>
            <w:pPr>
              <w:ind w:firstLine="105" w:firstLineChars="50"/>
              <w:rPr>
                <w:rFonts w:hint="eastAsia" w:ascii="宋体" w:hAnsi="宋体"/>
                <w:color w:val="auto"/>
                <w:szCs w:val="21"/>
              </w:rPr>
            </w:pP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2268" w:type="dxa"/>
            <w:gridSpan w:val="2"/>
            <w:noWrap w:val="0"/>
            <w:vAlign w:val="center"/>
          </w:tcPr>
          <w:p>
            <w:pPr>
              <w:jc w:val="center"/>
              <w:rPr>
                <w:rFonts w:hint="eastAsia" w:ascii="宋体" w:hAnsi="宋体"/>
                <w:color w:val="auto"/>
                <w:szCs w:val="21"/>
              </w:rPr>
            </w:pPr>
            <w:r>
              <w:rPr>
                <w:rFonts w:hint="eastAsia" w:ascii="宋体" w:hAnsi="宋体"/>
                <w:color w:val="auto"/>
                <w:szCs w:val="21"/>
              </w:rPr>
              <w:t>执业/岗位证书</w:t>
            </w:r>
          </w:p>
        </w:tc>
        <w:tc>
          <w:tcPr>
            <w:tcW w:w="6859" w:type="dxa"/>
            <w:gridSpan w:val="5"/>
            <w:noWrap w:val="0"/>
            <w:vAlign w:val="center"/>
          </w:tcPr>
          <w:p>
            <w:pPr>
              <w:rPr>
                <w:rFonts w:hint="eastAsia" w:ascii="宋体" w:hAnsi="宋体"/>
                <w:color w:val="auto"/>
                <w:szCs w:val="21"/>
                <w:u w:val="single"/>
              </w:rPr>
            </w:pPr>
            <w:r>
              <w:rPr>
                <w:rFonts w:ascii="宋体" w:hAnsi="宋体"/>
                <w:color w:val="auto"/>
                <w:szCs w:val="21"/>
              </w:rPr>
              <w:fldChar w:fldCharType="begin"/>
            </w:r>
            <w:r>
              <w:rPr>
                <w:rFonts w:ascii="宋体" w:hAnsi="宋体"/>
                <w:color w:val="auto"/>
                <w:szCs w:val="21"/>
              </w:rPr>
              <w:instrText xml:space="preserve"> </w:instrText>
            </w:r>
            <w:r>
              <w:rPr>
                <w:rFonts w:hint="eastAsia" w:ascii="宋体" w:hAnsi="宋体"/>
                <w:color w:val="auto"/>
                <w:szCs w:val="21"/>
              </w:rPr>
              <w:instrText xml:space="preserve">= 1 \* GB3</w:instrText>
            </w:r>
            <w:r>
              <w:rPr>
                <w:rFonts w:ascii="宋体" w:hAnsi="宋体"/>
                <w:color w:val="auto"/>
                <w:szCs w:val="21"/>
              </w:rPr>
              <w:instrText xml:space="preserve"> </w:instrText>
            </w:r>
            <w:r>
              <w:rPr>
                <w:rFonts w:ascii="宋体" w:hAnsi="宋体"/>
                <w:color w:val="auto"/>
                <w:szCs w:val="21"/>
              </w:rPr>
              <w:fldChar w:fldCharType="separate"/>
            </w:r>
            <w:r>
              <w:rPr>
                <w:rFonts w:hint="eastAsia" w:ascii="宋体" w:hAnsi="宋体"/>
                <w:color w:val="auto"/>
                <w:szCs w:val="21"/>
              </w:rPr>
              <w:t>①</w:t>
            </w:r>
            <w:r>
              <w:rPr>
                <w:rFonts w:ascii="宋体" w:hAnsi="宋体"/>
                <w:color w:val="auto"/>
                <w:szCs w:val="21"/>
              </w:rPr>
              <w:fldChar w:fldCharType="end"/>
            </w:r>
            <w:r>
              <w:rPr>
                <w:rFonts w:hint="eastAsia" w:ascii="宋体" w:hAnsi="宋体"/>
                <w:color w:val="auto"/>
                <w:szCs w:val="21"/>
              </w:rPr>
              <w:t>证书名称：</w:t>
            </w:r>
            <w:r>
              <w:rPr>
                <w:rFonts w:hint="eastAsia" w:ascii="宋体" w:hAnsi="宋体"/>
                <w:color w:val="auto"/>
                <w:szCs w:val="21"/>
                <w:u w:val="single"/>
              </w:rPr>
              <w:t xml:space="preserve">      </w:t>
            </w:r>
            <w:r>
              <w:rPr>
                <w:rFonts w:hint="eastAsia" w:ascii="宋体" w:hAnsi="宋体"/>
                <w:color w:val="auto"/>
                <w:szCs w:val="21"/>
              </w:rPr>
              <w:t>等级：</w:t>
            </w:r>
            <w:r>
              <w:rPr>
                <w:rFonts w:hint="eastAsia" w:ascii="宋体" w:hAnsi="宋体"/>
                <w:color w:val="auto"/>
                <w:szCs w:val="21"/>
                <w:u w:val="single"/>
              </w:rPr>
              <w:t xml:space="preserve">      </w:t>
            </w:r>
            <w:r>
              <w:rPr>
                <w:rFonts w:hint="eastAsia" w:ascii="宋体" w:hAnsi="宋体"/>
                <w:color w:val="auto"/>
                <w:szCs w:val="21"/>
              </w:rPr>
              <w:t xml:space="preserve">  专业：</w:t>
            </w:r>
            <w:r>
              <w:rPr>
                <w:rFonts w:hint="eastAsia" w:ascii="宋体" w:hAnsi="宋体"/>
                <w:color w:val="auto"/>
                <w:szCs w:val="21"/>
                <w:u w:val="single"/>
              </w:rPr>
              <w:t xml:space="preserve">       </w:t>
            </w:r>
            <w:r>
              <w:rPr>
                <w:rFonts w:hint="eastAsia" w:ascii="宋体" w:hAnsi="宋体"/>
                <w:color w:val="auto"/>
                <w:szCs w:val="21"/>
              </w:rPr>
              <w:t xml:space="preserve"> 编号：</w:t>
            </w:r>
            <w:r>
              <w:rPr>
                <w:rFonts w:hint="eastAsia" w:ascii="宋体" w:hAnsi="宋体"/>
                <w:color w:val="auto"/>
                <w:szCs w:val="21"/>
                <w:u w:val="single"/>
              </w:rPr>
              <w:t xml:space="preserve">        </w:t>
            </w:r>
          </w:p>
          <w:p>
            <w:pPr>
              <w:rPr>
                <w:rFonts w:hint="eastAsia" w:ascii="宋体" w:hAnsi="宋体"/>
                <w:color w:val="auto"/>
                <w:szCs w:val="21"/>
              </w:rPr>
            </w:pPr>
            <w:r>
              <w:rPr>
                <w:rFonts w:ascii="宋体" w:hAnsi="宋体"/>
                <w:color w:val="auto"/>
                <w:szCs w:val="21"/>
              </w:rPr>
              <w:fldChar w:fldCharType="begin"/>
            </w:r>
            <w:r>
              <w:rPr>
                <w:rFonts w:ascii="宋体" w:hAnsi="宋体"/>
                <w:color w:val="auto"/>
                <w:szCs w:val="21"/>
              </w:rPr>
              <w:instrText xml:space="preserve"> </w:instrText>
            </w:r>
            <w:r>
              <w:rPr>
                <w:rFonts w:hint="eastAsia" w:ascii="宋体" w:hAnsi="宋体"/>
                <w:color w:val="auto"/>
                <w:szCs w:val="21"/>
              </w:rPr>
              <w:instrText xml:space="preserve">= 2 \* GB3</w:instrText>
            </w:r>
            <w:r>
              <w:rPr>
                <w:rFonts w:ascii="宋体" w:hAnsi="宋体"/>
                <w:color w:val="auto"/>
                <w:szCs w:val="21"/>
              </w:rPr>
              <w:instrText xml:space="preserve"> </w:instrText>
            </w:r>
            <w:r>
              <w:rPr>
                <w:rFonts w:ascii="宋体" w:hAnsi="宋体"/>
                <w:color w:val="auto"/>
                <w:szCs w:val="21"/>
              </w:rPr>
              <w:fldChar w:fldCharType="separate"/>
            </w:r>
            <w:r>
              <w:rPr>
                <w:rFonts w:hint="eastAsia" w:ascii="宋体" w:hAnsi="宋体"/>
                <w:color w:val="auto"/>
                <w:szCs w:val="21"/>
              </w:rPr>
              <w:t>②</w:t>
            </w:r>
            <w:r>
              <w:rPr>
                <w:rFonts w:ascii="宋体" w:hAnsi="宋体"/>
                <w:color w:val="auto"/>
                <w:szCs w:val="21"/>
              </w:rPr>
              <w:fldChar w:fldCharType="end"/>
            </w: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127" w:type="dxa"/>
            <w:gridSpan w:val="7"/>
            <w:noWrap w:val="0"/>
            <w:vAlign w:val="center"/>
          </w:tcPr>
          <w:p>
            <w:pPr>
              <w:jc w:val="center"/>
              <w:rPr>
                <w:rFonts w:hint="eastAsia" w:ascii="宋体" w:hAnsi="宋体"/>
                <w:color w:val="auto"/>
                <w:szCs w:val="21"/>
              </w:rPr>
            </w:pPr>
            <w:r>
              <w:rPr>
                <w:rFonts w:hint="eastAsia" w:ascii="宋体" w:hAnsi="宋体"/>
                <w:color w:val="auto"/>
                <w:szCs w:val="21"/>
              </w:rPr>
              <w:t>主要工作业绩及担任的主要工作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8" w:type="dxa"/>
            <w:gridSpan w:val="2"/>
            <w:noWrap w:val="0"/>
            <w:vAlign w:val="center"/>
          </w:tcPr>
          <w:p>
            <w:pPr>
              <w:jc w:val="center"/>
              <w:rPr>
                <w:rFonts w:hint="eastAsia" w:ascii="宋体" w:hAnsi="宋体"/>
                <w:color w:val="auto"/>
                <w:szCs w:val="21"/>
                <w:u w:val="single"/>
              </w:rPr>
            </w:pPr>
            <w:r>
              <w:rPr>
                <w:rFonts w:hint="eastAsia" w:ascii="宋体" w:hAnsi="宋体"/>
                <w:color w:val="auto"/>
                <w:szCs w:val="21"/>
              </w:rPr>
              <w:t>工作单位</w:t>
            </w:r>
          </w:p>
        </w:tc>
        <w:tc>
          <w:tcPr>
            <w:tcW w:w="1701" w:type="dxa"/>
            <w:noWrap w:val="0"/>
            <w:vAlign w:val="center"/>
          </w:tcPr>
          <w:p>
            <w:pPr>
              <w:jc w:val="center"/>
              <w:rPr>
                <w:rFonts w:hint="eastAsia" w:ascii="宋体" w:hAnsi="宋体"/>
                <w:color w:val="auto"/>
                <w:szCs w:val="21"/>
              </w:rPr>
            </w:pPr>
            <w:r>
              <w:rPr>
                <w:rFonts w:hint="eastAsia" w:ascii="宋体" w:hAnsi="宋体"/>
                <w:color w:val="auto"/>
                <w:szCs w:val="21"/>
              </w:rPr>
              <w:t>拟任职务/岗位</w:t>
            </w: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工作时间</w:t>
            </w:r>
          </w:p>
        </w:tc>
        <w:tc>
          <w:tcPr>
            <w:tcW w:w="2464" w:type="dxa"/>
            <w:gridSpan w:val="2"/>
            <w:noWrap w:val="0"/>
            <w:vAlign w:val="center"/>
          </w:tcPr>
          <w:p>
            <w:pPr>
              <w:jc w:val="center"/>
              <w:rPr>
                <w:rFonts w:hint="eastAsia" w:ascii="宋体" w:hAnsi="宋体"/>
                <w:color w:val="auto"/>
                <w:szCs w:val="21"/>
              </w:rPr>
            </w:pPr>
            <w:r>
              <w:rPr>
                <w:rFonts w:hint="eastAsia" w:ascii="宋体" w:hAnsi="宋体"/>
                <w:color w:val="auto"/>
                <w:szCs w:val="21"/>
              </w:rPr>
              <w:t>主要工作业绩/工作内容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8" w:type="dxa"/>
            <w:gridSpan w:val="2"/>
            <w:noWrap w:val="0"/>
            <w:vAlign w:val="center"/>
          </w:tcPr>
          <w:p>
            <w:pPr>
              <w:jc w:val="center"/>
              <w:rPr>
                <w:rFonts w:hint="eastAsia" w:ascii="宋体" w:hAnsi="宋体"/>
                <w:color w:val="auto"/>
                <w:szCs w:val="21"/>
              </w:rPr>
            </w:pPr>
          </w:p>
        </w:tc>
        <w:tc>
          <w:tcPr>
            <w:tcW w:w="1701"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年 月 日-年 月 日</w:t>
            </w:r>
          </w:p>
        </w:tc>
        <w:tc>
          <w:tcPr>
            <w:tcW w:w="2464" w:type="dxa"/>
            <w:gridSpan w:val="2"/>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8" w:type="dxa"/>
            <w:gridSpan w:val="2"/>
            <w:noWrap w:val="0"/>
            <w:vAlign w:val="center"/>
          </w:tcPr>
          <w:p>
            <w:pPr>
              <w:jc w:val="center"/>
              <w:rPr>
                <w:rFonts w:hint="eastAsia" w:ascii="宋体" w:hAnsi="宋体"/>
                <w:color w:val="auto"/>
                <w:szCs w:val="21"/>
              </w:rPr>
            </w:pPr>
          </w:p>
        </w:tc>
        <w:tc>
          <w:tcPr>
            <w:tcW w:w="1701" w:type="dxa"/>
            <w:noWrap w:val="0"/>
            <w:vAlign w:val="center"/>
          </w:tcPr>
          <w:p>
            <w:pPr>
              <w:jc w:val="center"/>
              <w:rPr>
                <w:rFonts w:hint="eastAsia" w:ascii="宋体" w:hAnsi="宋体"/>
                <w:color w:val="auto"/>
                <w:szCs w:val="21"/>
              </w:rPr>
            </w:pPr>
          </w:p>
        </w:tc>
        <w:tc>
          <w:tcPr>
            <w:tcW w:w="2694" w:type="dxa"/>
            <w:gridSpan w:val="2"/>
            <w:noWrap w:val="0"/>
            <w:vAlign w:val="center"/>
          </w:tcPr>
          <w:p>
            <w:pPr>
              <w:jc w:val="center"/>
              <w:rPr>
                <w:rFonts w:hint="eastAsia" w:ascii="宋体" w:hAnsi="宋体"/>
                <w:color w:val="auto"/>
                <w:szCs w:val="21"/>
              </w:rPr>
            </w:pPr>
            <w:r>
              <w:rPr>
                <w:rFonts w:hint="eastAsia" w:ascii="宋体" w:hAnsi="宋体"/>
                <w:color w:val="auto"/>
                <w:szCs w:val="21"/>
              </w:rPr>
              <w:t>……</w:t>
            </w:r>
          </w:p>
        </w:tc>
        <w:tc>
          <w:tcPr>
            <w:tcW w:w="2464" w:type="dxa"/>
            <w:gridSpan w:val="2"/>
            <w:noWrap w:val="0"/>
            <w:vAlign w:val="center"/>
          </w:tcPr>
          <w:p>
            <w:pPr>
              <w:jc w:val="center"/>
              <w:rPr>
                <w:rFonts w:hint="eastAsia" w:ascii="宋体" w:hAnsi="宋体"/>
                <w:color w:val="auto"/>
                <w:szCs w:val="21"/>
              </w:rPr>
            </w:pPr>
          </w:p>
        </w:tc>
      </w:tr>
    </w:tbl>
    <w:p>
      <w:pPr>
        <w:spacing w:line="420" w:lineRule="exact"/>
        <w:ind w:left="840" w:hanging="840" w:hangingChars="400"/>
        <w:rPr>
          <w:rFonts w:hint="eastAsia" w:ascii="宋体" w:hAnsi="宋体"/>
          <w:color w:val="auto"/>
        </w:rPr>
      </w:pPr>
      <w:r>
        <w:rPr>
          <w:rFonts w:hint="eastAsia" w:ascii="宋体" w:hAnsi="宋体"/>
          <w:color w:val="auto"/>
        </w:rPr>
        <w:t>备注：1.</w:t>
      </w:r>
      <w:r>
        <w:rPr>
          <w:rFonts w:ascii="宋体" w:hAnsi="宋体"/>
          <w:color w:val="auto"/>
        </w:rPr>
        <w:t>管理人员（此处不包括项目经理和技术负责人）包括五大员</w:t>
      </w:r>
      <w:r>
        <w:rPr>
          <w:rFonts w:hint="eastAsia" w:ascii="宋体" w:hAnsi="宋体"/>
          <w:color w:val="auto"/>
        </w:rPr>
        <w:t>（安全员、施工员、质量员、材料员、资料员）</w:t>
      </w:r>
      <w:r>
        <w:rPr>
          <w:rFonts w:ascii="宋体" w:hAnsi="宋体"/>
          <w:color w:val="auto"/>
        </w:rPr>
        <w:t>且不限于项目副经理、工程技术部负责人、合同管理人员、安全管理人员、财务人员等。</w:t>
      </w:r>
    </w:p>
    <w:p>
      <w:pPr>
        <w:spacing w:line="420" w:lineRule="exact"/>
        <w:ind w:left="840" w:leftChars="300" w:hanging="210" w:hangingChars="100"/>
        <w:rPr>
          <w:rFonts w:hint="eastAsia" w:ascii="宋体" w:hAnsi="宋体"/>
          <w:color w:val="auto"/>
        </w:rPr>
      </w:pPr>
      <w:r>
        <w:rPr>
          <w:rFonts w:hint="eastAsia" w:ascii="宋体" w:hAnsi="宋体"/>
          <w:color w:val="auto"/>
        </w:rPr>
        <w:t>2.每张表格只填写一个人，并标明序号，后附相应岗位的资格证书（如有，下同）、注册证书（不含临时）、岗位培训考核合格证书、职称证、学历证等复印件，主要业绩（如有）须附合同协议书等复印件。</w:t>
      </w:r>
    </w:p>
    <w:p>
      <w:pPr>
        <w:spacing w:line="420" w:lineRule="exact"/>
        <w:ind w:left="840" w:leftChars="300" w:hanging="210" w:hangingChars="100"/>
        <w:rPr>
          <w:rFonts w:hint="eastAsia" w:ascii="宋体" w:hAnsi="宋体"/>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rPr>
          <w:rFonts w:hint="eastAsia"/>
          <w:color w:val="auto"/>
        </w:rPr>
      </w:pPr>
    </w:p>
    <w:p>
      <w:pPr>
        <w:pStyle w:val="87"/>
        <w:spacing w:after="120" w:afterLines="50"/>
        <w:jc w:val="center"/>
        <w:rPr>
          <w:rFonts w:hint="eastAsia"/>
          <w:color w:val="auto"/>
          <w:sz w:val="28"/>
          <w:szCs w:val="28"/>
        </w:rPr>
      </w:pPr>
      <w:bookmarkStart w:id="2716" w:name="_Toc27868"/>
      <w:bookmarkStart w:id="2717" w:name="_Toc491089821"/>
      <w:r>
        <w:rPr>
          <w:rFonts w:hint="eastAsia"/>
          <w:color w:val="auto"/>
          <w:sz w:val="28"/>
          <w:szCs w:val="28"/>
        </w:rPr>
        <w:t>（六）</w:t>
      </w:r>
      <w:r>
        <w:rPr>
          <w:color w:val="auto"/>
          <w:sz w:val="28"/>
          <w:szCs w:val="28"/>
        </w:rPr>
        <w:t>投标人</w:t>
      </w:r>
      <w:r>
        <w:rPr>
          <w:rFonts w:hint="eastAsia"/>
          <w:color w:val="auto"/>
          <w:sz w:val="28"/>
          <w:szCs w:val="28"/>
        </w:rPr>
        <w:t>承诺书</w:t>
      </w:r>
      <w:bookmarkEnd w:id="2716"/>
      <w:bookmarkEnd w:id="2717"/>
    </w:p>
    <w:p>
      <w:pPr>
        <w:spacing w:line="440" w:lineRule="exact"/>
        <w:ind w:firstLine="560" w:firstLineChars="200"/>
        <w:rPr>
          <w:rFonts w:hint="eastAsia"/>
          <w:color w:val="auto"/>
          <w:sz w:val="28"/>
          <w:szCs w:val="28"/>
        </w:rPr>
      </w:pPr>
    </w:p>
    <w:p>
      <w:pPr>
        <w:spacing w:line="400" w:lineRule="exact"/>
        <w:rPr>
          <w:color w:val="auto"/>
          <w:szCs w:val="21"/>
        </w:rPr>
      </w:pPr>
      <w:r>
        <w:rPr>
          <w:color w:val="auto"/>
          <w:szCs w:val="21"/>
        </w:rPr>
        <w:t>________________（招标人</w:t>
      </w:r>
      <w:r>
        <w:rPr>
          <w:rFonts w:hint="eastAsia"/>
          <w:color w:val="auto"/>
          <w:szCs w:val="21"/>
        </w:rPr>
        <w:t>名</w:t>
      </w:r>
      <w:r>
        <w:rPr>
          <w:color w:val="auto"/>
          <w:szCs w:val="21"/>
        </w:rPr>
        <w:t>称）：</w:t>
      </w:r>
    </w:p>
    <w:p>
      <w:pPr>
        <w:spacing w:line="440" w:lineRule="exact"/>
        <w:ind w:firstLine="420" w:firstLineChars="200"/>
        <w:rPr>
          <w:rFonts w:ascii="宋体" w:hAnsi="宋体"/>
          <w:color w:val="auto"/>
          <w:szCs w:val="21"/>
        </w:rPr>
      </w:pPr>
      <w:r>
        <w:rPr>
          <w:rFonts w:ascii="宋体" w:hAnsi="宋体"/>
          <w:color w:val="auto"/>
          <w:szCs w:val="21"/>
        </w:rPr>
        <w:t>我方拟参加_</w:t>
      </w:r>
      <w:r>
        <w:rPr>
          <w:rFonts w:ascii="宋体" w:hAnsi="宋体"/>
          <w:color w:val="auto"/>
          <w:szCs w:val="21"/>
          <w:u w:val="single"/>
        </w:rPr>
        <w:t>___________</w:t>
      </w:r>
      <w:r>
        <w:rPr>
          <w:rFonts w:ascii="宋体" w:hAnsi="宋体"/>
          <w:color w:val="auto"/>
          <w:szCs w:val="21"/>
        </w:rPr>
        <w:t>（项目名称）</w:t>
      </w:r>
      <w:r>
        <w:rPr>
          <w:rFonts w:ascii="宋体" w:hAnsi="宋体"/>
          <w:color w:val="auto"/>
          <w:szCs w:val="21"/>
          <w:u w:val="single"/>
        </w:rPr>
        <w:t>________</w:t>
      </w:r>
      <w:r>
        <w:rPr>
          <w:rFonts w:hint="eastAsia" w:ascii="宋体" w:hAnsi="宋体"/>
          <w:color w:val="auto"/>
          <w:szCs w:val="21"/>
        </w:rPr>
        <w:t>（</w:t>
      </w:r>
      <w:r>
        <w:rPr>
          <w:rFonts w:ascii="宋体" w:hAnsi="宋体"/>
          <w:color w:val="auto"/>
          <w:szCs w:val="21"/>
        </w:rPr>
        <w:t>标段名称）投标。现就有关事宜承诺如下：</w:t>
      </w:r>
    </w:p>
    <w:p>
      <w:pPr>
        <w:spacing w:line="440" w:lineRule="exact"/>
        <w:ind w:firstLine="420" w:firstLineChars="200"/>
        <w:rPr>
          <w:rFonts w:hint="eastAsia" w:ascii="宋体" w:hAnsi="宋体"/>
          <w:color w:val="auto"/>
          <w:szCs w:val="21"/>
        </w:rPr>
      </w:pPr>
      <w:r>
        <w:rPr>
          <w:rFonts w:hint="eastAsia" w:ascii="宋体" w:hAnsi="宋体"/>
          <w:color w:val="auto"/>
          <w:szCs w:val="21"/>
        </w:rPr>
        <w:t>（2）</w:t>
      </w:r>
      <w:r>
        <w:rPr>
          <w:rFonts w:ascii="宋体" w:hAnsi="宋体"/>
          <w:color w:val="auto"/>
          <w:szCs w:val="21"/>
        </w:rPr>
        <w:t>我方</w:t>
      </w:r>
      <w:r>
        <w:rPr>
          <w:rFonts w:hint="eastAsia" w:ascii="宋体" w:hAnsi="宋体"/>
          <w:color w:val="auto"/>
          <w:szCs w:val="21"/>
        </w:rPr>
        <w:t>承诺，</w:t>
      </w:r>
      <w:r>
        <w:rPr>
          <w:rFonts w:ascii="宋体" w:hAnsi="宋体"/>
          <w:color w:val="auto"/>
          <w:szCs w:val="21"/>
        </w:rPr>
        <w:t>若中标</w:t>
      </w:r>
      <w:r>
        <w:rPr>
          <w:rFonts w:hint="eastAsia" w:ascii="宋体" w:hAnsi="宋体"/>
          <w:color w:val="auto"/>
          <w:szCs w:val="21"/>
        </w:rPr>
        <w:t>，将按照《水利系统防止拖欠工程款和农民工工资的若干意见》（水建管［2008］75号）和《建设领域农民工工资支付管理暂行办法》（劳社部发〔2004〕22号）文件的要求，依法与农民工签订劳动用工合同，合同中包含工资支付、劳动条件等具体条款，</w:t>
      </w:r>
      <w:r>
        <w:rPr>
          <w:rFonts w:ascii="宋体" w:hAnsi="宋体"/>
          <w:color w:val="auto"/>
          <w:szCs w:val="21"/>
        </w:rPr>
        <w:t>在本工程施工过程</w:t>
      </w:r>
      <w:r>
        <w:rPr>
          <w:rFonts w:hint="eastAsia" w:ascii="宋体" w:hAnsi="宋体"/>
          <w:color w:val="auto"/>
          <w:szCs w:val="21"/>
        </w:rPr>
        <w:t>绝</w:t>
      </w:r>
      <w:r>
        <w:rPr>
          <w:rFonts w:ascii="宋体" w:hAnsi="宋体"/>
          <w:color w:val="auto"/>
          <w:szCs w:val="21"/>
        </w:rPr>
        <w:t>不拖欠</w:t>
      </w:r>
      <w:r>
        <w:rPr>
          <w:rFonts w:hint="eastAsia" w:ascii="宋体" w:hAnsi="宋体"/>
          <w:color w:val="auto"/>
          <w:szCs w:val="21"/>
        </w:rPr>
        <w:t>农民工和其他</w:t>
      </w:r>
      <w:r>
        <w:rPr>
          <w:rFonts w:ascii="宋体" w:hAnsi="宋体"/>
          <w:color w:val="auto"/>
          <w:szCs w:val="21"/>
        </w:rPr>
        <w:t>施工人员工资</w:t>
      </w:r>
      <w:r>
        <w:rPr>
          <w:rFonts w:hint="eastAsia" w:ascii="宋体" w:hAnsi="宋体"/>
          <w:color w:val="auto"/>
          <w:szCs w:val="21"/>
        </w:rPr>
        <w:t>，保障施工人员权益（包括但不限于为施工人员办理相关保险、不拖欠施工人员工资、保障施工人员福利等）。如若出现拖欠农民工和其他</w:t>
      </w:r>
      <w:r>
        <w:rPr>
          <w:rFonts w:ascii="宋体" w:hAnsi="宋体"/>
          <w:color w:val="auto"/>
          <w:szCs w:val="21"/>
        </w:rPr>
        <w:t>施工人员工资</w:t>
      </w:r>
      <w:r>
        <w:rPr>
          <w:rFonts w:hint="eastAsia" w:ascii="宋体" w:hAnsi="宋体"/>
          <w:color w:val="auto"/>
          <w:szCs w:val="21"/>
        </w:rPr>
        <w:t>的违约行为，我方愿向发包人按</w:t>
      </w:r>
      <w:r>
        <w:rPr>
          <w:rFonts w:hint="eastAsia" w:ascii="宋体" w:hAnsi="宋体"/>
          <w:color w:val="auto"/>
          <w:szCs w:val="21"/>
          <w:u w:val="single"/>
        </w:rPr>
        <w:t xml:space="preserve">      </w:t>
      </w:r>
      <w:r>
        <w:rPr>
          <w:rFonts w:hint="eastAsia" w:ascii="宋体" w:hAnsi="宋体"/>
          <w:color w:val="auto"/>
          <w:szCs w:val="21"/>
        </w:rPr>
        <w:t>万元/次 支付违约金。</w:t>
      </w:r>
    </w:p>
    <w:p>
      <w:pPr>
        <w:spacing w:line="440" w:lineRule="exact"/>
        <w:ind w:firstLine="420" w:firstLineChars="200"/>
        <w:rPr>
          <w:rFonts w:ascii="宋体" w:hAnsi="宋体"/>
          <w:color w:val="auto"/>
          <w:szCs w:val="21"/>
        </w:rPr>
      </w:pPr>
      <w:r>
        <w:rPr>
          <w:rFonts w:hint="eastAsia" w:ascii="宋体" w:hAnsi="宋体"/>
          <w:color w:val="auto"/>
          <w:szCs w:val="21"/>
        </w:rPr>
        <w:t>（3）</w:t>
      </w:r>
      <w:r>
        <w:rPr>
          <w:rFonts w:ascii="宋体" w:hAnsi="宋体"/>
          <w:color w:val="auto"/>
          <w:szCs w:val="21"/>
        </w:rPr>
        <w:t>我方承诺</w:t>
      </w:r>
      <w:r>
        <w:rPr>
          <w:rFonts w:hint="eastAsia" w:ascii="宋体" w:hAnsi="宋体"/>
          <w:color w:val="auto"/>
          <w:szCs w:val="21"/>
        </w:rPr>
        <w:t>，</w:t>
      </w:r>
      <w:r>
        <w:rPr>
          <w:rFonts w:ascii="宋体" w:hAnsi="宋体"/>
          <w:color w:val="auto"/>
          <w:szCs w:val="21"/>
        </w:rPr>
        <w:t>若中标，</w:t>
      </w:r>
      <w:r>
        <w:rPr>
          <w:rFonts w:hint="eastAsia" w:ascii="宋体" w:hAnsi="宋体"/>
          <w:color w:val="auto"/>
          <w:szCs w:val="21"/>
        </w:rPr>
        <w:t>项目经理及项目技术负责人每月驻场工作时间不少于</w:t>
      </w:r>
      <w:r>
        <w:rPr>
          <w:rFonts w:hint="eastAsia" w:ascii="宋体" w:hAnsi="宋体"/>
          <w:color w:val="auto"/>
          <w:szCs w:val="21"/>
          <w:u w:val="single"/>
        </w:rPr>
        <w:t xml:space="preserve">      </w:t>
      </w:r>
      <w:r>
        <w:rPr>
          <w:rFonts w:hint="eastAsia" w:ascii="宋体" w:hAnsi="宋体"/>
          <w:color w:val="auto"/>
          <w:szCs w:val="21"/>
        </w:rPr>
        <w:t>天。贵方（或授权监理人）有权对我方项目经理和项目技术负责人到位及驻场工作情况进行考核，若发现我方项目经理或项目技术负责人月驻场工作时间不能满足</w:t>
      </w:r>
      <w:r>
        <w:rPr>
          <w:rFonts w:hint="eastAsia" w:ascii="宋体" w:hAnsi="宋体"/>
          <w:color w:val="auto"/>
          <w:szCs w:val="21"/>
          <w:u w:val="single"/>
        </w:rPr>
        <w:t xml:space="preserve">      </w:t>
      </w:r>
      <w:r>
        <w:rPr>
          <w:rFonts w:hint="eastAsia" w:ascii="宋体" w:hAnsi="宋体"/>
          <w:color w:val="auto"/>
          <w:szCs w:val="21"/>
        </w:rPr>
        <w:t>天的承诺，且未事先得到贵方的同意时，其驻场时间每少1天，我方愿意向发包人按</w:t>
      </w:r>
      <w:r>
        <w:rPr>
          <w:rFonts w:hint="eastAsia" w:ascii="宋体" w:hAnsi="宋体"/>
          <w:color w:val="auto"/>
          <w:szCs w:val="21"/>
          <w:u w:val="single"/>
        </w:rPr>
        <w:t xml:space="preserve">       </w:t>
      </w:r>
      <w:r>
        <w:rPr>
          <w:rFonts w:hint="eastAsia" w:ascii="宋体" w:hAnsi="宋体"/>
          <w:color w:val="auto"/>
          <w:szCs w:val="21"/>
        </w:rPr>
        <w:t>元/日•人 支付违约金。</w:t>
      </w:r>
    </w:p>
    <w:p>
      <w:pPr>
        <w:spacing w:line="440" w:lineRule="exact"/>
        <w:ind w:firstLine="420" w:firstLineChars="200"/>
        <w:rPr>
          <w:rFonts w:ascii="宋体" w:hAnsi="宋体"/>
          <w:color w:val="auto"/>
          <w:szCs w:val="21"/>
          <w:u w:val="single"/>
        </w:rPr>
      </w:pPr>
      <w:r>
        <w:rPr>
          <w:rFonts w:hint="eastAsia" w:ascii="宋体" w:hAnsi="宋体"/>
          <w:color w:val="auto"/>
          <w:szCs w:val="21"/>
        </w:rPr>
        <w:t>（4）</w:t>
      </w:r>
      <w:r>
        <w:rPr>
          <w:rFonts w:ascii="宋体" w:hAnsi="宋体"/>
          <w:color w:val="auto"/>
          <w:szCs w:val="21"/>
        </w:rPr>
        <w:t>我方承诺</w:t>
      </w:r>
      <w:r>
        <w:rPr>
          <w:rFonts w:hint="eastAsia" w:ascii="宋体" w:hAnsi="宋体"/>
          <w:color w:val="auto"/>
          <w:szCs w:val="21"/>
        </w:rPr>
        <w:t>，</w:t>
      </w:r>
      <w:r>
        <w:rPr>
          <w:rFonts w:ascii="宋体" w:hAnsi="宋体"/>
          <w:color w:val="auto"/>
          <w:szCs w:val="21"/>
        </w:rPr>
        <w:t>若中标，</w:t>
      </w:r>
      <w:r>
        <w:rPr>
          <w:rFonts w:hint="eastAsia" w:ascii="宋体" w:hAnsi="宋体"/>
          <w:color w:val="auto"/>
          <w:szCs w:val="21"/>
        </w:rPr>
        <w:t>项目经理、项目技术负责人</w:t>
      </w:r>
      <w:r>
        <w:rPr>
          <w:rFonts w:ascii="宋体" w:hAnsi="宋体"/>
          <w:color w:val="auto"/>
          <w:szCs w:val="21"/>
        </w:rPr>
        <w:t>不兼职其</w:t>
      </w:r>
      <w:r>
        <w:rPr>
          <w:rFonts w:hint="eastAsia" w:ascii="宋体" w:hAnsi="宋体"/>
          <w:color w:val="auto"/>
          <w:szCs w:val="21"/>
        </w:rPr>
        <w:t>他</w:t>
      </w:r>
      <w:r>
        <w:rPr>
          <w:rFonts w:ascii="宋体" w:hAnsi="宋体"/>
          <w:color w:val="auto"/>
          <w:szCs w:val="21"/>
        </w:rPr>
        <w:t>项目职务，对</w:t>
      </w:r>
      <w:r>
        <w:rPr>
          <w:rFonts w:hint="eastAsia" w:ascii="宋体" w:hAnsi="宋体"/>
          <w:color w:val="auto"/>
          <w:szCs w:val="21"/>
        </w:rPr>
        <w:t>上述人员</w:t>
      </w:r>
      <w:r>
        <w:rPr>
          <w:rFonts w:ascii="宋体" w:hAnsi="宋体"/>
          <w:color w:val="auto"/>
          <w:szCs w:val="21"/>
        </w:rPr>
        <w:t>不随意更换。若必需更换时，须经</w:t>
      </w:r>
      <w:r>
        <w:rPr>
          <w:rFonts w:hint="eastAsia" w:ascii="宋体" w:hAnsi="宋体"/>
          <w:color w:val="auto"/>
          <w:szCs w:val="21"/>
        </w:rPr>
        <w:t>贵方</w:t>
      </w:r>
      <w:r>
        <w:rPr>
          <w:rFonts w:ascii="宋体" w:hAnsi="宋体"/>
          <w:color w:val="auto"/>
          <w:szCs w:val="21"/>
        </w:rPr>
        <w:t>同意</w:t>
      </w:r>
      <w:r>
        <w:rPr>
          <w:rFonts w:hint="eastAsia" w:ascii="宋体" w:hAnsi="宋体"/>
          <w:color w:val="auto"/>
          <w:szCs w:val="21"/>
        </w:rPr>
        <w:t>。如若未经发包人同意擅自更换的，我方愿意向发包人按</w:t>
      </w:r>
      <w:r>
        <w:rPr>
          <w:rFonts w:hint="eastAsia" w:ascii="宋体" w:hAnsi="宋体"/>
          <w:color w:val="auto"/>
          <w:szCs w:val="21"/>
          <w:u w:val="single"/>
        </w:rPr>
        <w:t xml:space="preserve"> </w:t>
      </w:r>
    </w:p>
    <w:p>
      <w:pPr>
        <w:spacing w:line="440" w:lineRule="exact"/>
        <w:rPr>
          <w:rFonts w:hint="eastAsia"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万元/人•次支付违约金。</w:t>
      </w:r>
    </w:p>
    <w:p>
      <w:pPr>
        <w:spacing w:line="440" w:lineRule="exact"/>
        <w:ind w:firstLine="420" w:firstLineChars="200"/>
        <w:rPr>
          <w:rFonts w:ascii="宋体" w:hAnsi="宋体"/>
          <w:color w:val="auto"/>
          <w:szCs w:val="21"/>
        </w:rPr>
      </w:pPr>
      <w:r>
        <w:rPr>
          <w:rFonts w:hint="eastAsia" w:ascii="宋体" w:hAnsi="宋体"/>
          <w:color w:val="auto"/>
          <w:szCs w:val="21"/>
        </w:rPr>
        <w:t>（5）我方承诺，若上述承诺违约金高于招标文件第四章“专用合同条款”的约定，则按本承诺执行；若上述承诺违约金低于专用合同条款的约定则按专用合同条款执行。贵方有权将该违约金从按本合同应付或将会付给我方的款项中直接扣除。</w:t>
      </w:r>
    </w:p>
    <w:p>
      <w:pPr>
        <w:spacing w:line="440" w:lineRule="exact"/>
        <w:ind w:firstLine="420" w:firstLineChars="200"/>
        <w:rPr>
          <w:rFonts w:hint="eastAsia" w:ascii="宋体" w:hAnsi="宋体"/>
          <w:color w:val="auto"/>
          <w:szCs w:val="21"/>
        </w:rPr>
      </w:pPr>
      <w:r>
        <w:rPr>
          <w:rFonts w:hint="eastAsia" w:ascii="宋体" w:hAnsi="宋体"/>
          <w:color w:val="auto"/>
          <w:szCs w:val="21"/>
        </w:rPr>
        <w:t>本承诺相对独立，一旦我方中标，本承诺无条件构成合同文件的组成部分，对我方具有合同约束力。</w:t>
      </w:r>
    </w:p>
    <w:p>
      <w:pPr>
        <w:spacing w:line="440" w:lineRule="exact"/>
        <w:ind w:firstLine="420" w:firstLineChars="200"/>
        <w:rPr>
          <w:rFonts w:ascii="宋体" w:hAnsi="宋体"/>
          <w:color w:val="auto"/>
          <w:szCs w:val="21"/>
        </w:rPr>
      </w:pPr>
    </w:p>
    <w:p>
      <w:pPr>
        <w:spacing w:line="440" w:lineRule="exact"/>
        <w:jc w:val="right"/>
        <w:rPr>
          <w:rFonts w:hint="eastAsia" w:ascii="宋体" w:hAnsi="宋体"/>
          <w:color w:val="auto"/>
          <w:szCs w:val="21"/>
        </w:rPr>
      </w:pPr>
      <w:r>
        <w:rPr>
          <w:rFonts w:hint="eastAsia" w:ascii="宋体" w:hAnsi="宋体"/>
          <w:color w:val="auto"/>
          <w:szCs w:val="21"/>
        </w:rPr>
        <w:t>投标人：</w:t>
      </w:r>
      <w:r>
        <w:rPr>
          <w:rFonts w:hint="eastAsia" w:ascii="宋体" w:hAnsi="宋体"/>
          <w:color w:val="auto"/>
          <w:szCs w:val="21"/>
          <w:u w:val="single"/>
        </w:rPr>
        <w:t xml:space="preserve">                             </w:t>
      </w:r>
      <w:r>
        <w:rPr>
          <w:rFonts w:hint="eastAsia" w:ascii="宋体" w:hAnsi="宋体"/>
          <w:color w:val="auto"/>
          <w:szCs w:val="21"/>
        </w:rPr>
        <w:t>（盖单位章）</w:t>
      </w:r>
    </w:p>
    <w:p>
      <w:pPr>
        <w:wordWrap w:val="0"/>
        <w:spacing w:line="440" w:lineRule="exact"/>
        <w:jc w:val="right"/>
        <w:rPr>
          <w:rFonts w:hint="eastAsia" w:ascii="宋体" w:hAnsi="宋体"/>
          <w:color w:val="auto"/>
          <w:szCs w:val="21"/>
        </w:rPr>
      </w:pPr>
      <w:r>
        <w:rPr>
          <w:rFonts w:hint="eastAsia" w:ascii="宋体" w:hAnsi="宋体"/>
          <w:color w:val="auto"/>
          <w:szCs w:val="21"/>
        </w:rPr>
        <w:t xml:space="preserve"> </w:t>
      </w:r>
    </w:p>
    <w:p>
      <w:pPr>
        <w:jc w:val="right"/>
        <w:rPr>
          <w:rFonts w:hint="eastAsia" w:ascii="宋体" w:hAnsi="宋体"/>
          <w:color w:val="auto"/>
          <w:szCs w:val="21"/>
        </w:rPr>
      </w:pP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w:t>
      </w:r>
    </w:p>
    <w:p>
      <w:pPr>
        <w:spacing w:line="440" w:lineRule="exact"/>
        <w:rPr>
          <w:rFonts w:hint="eastAsia" w:ascii="宋体" w:hAnsi="宋体"/>
          <w:color w:val="auto"/>
          <w:szCs w:val="21"/>
        </w:rPr>
      </w:pPr>
    </w:p>
    <w:p>
      <w:pPr>
        <w:spacing w:line="440" w:lineRule="exact"/>
        <w:rPr>
          <w:rFonts w:hint="eastAsia" w:ascii="宋体" w:hAnsi="宋体"/>
          <w:color w:val="auto"/>
          <w:szCs w:val="21"/>
        </w:rPr>
      </w:pPr>
      <w:r>
        <w:rPr>
          <w:rFonts w:hint="eastAsia" w:ascii="宋体" w:hAnsi="宋体"/>
          <w:color w:val="auto"/>
          <w:szCs w:val="21"/>
        </w:rPr>
        <w:t>备注：投标人签署的“投标人承诺书”的实质内容应当与格式规定的实质内容一致。</w:t>
      </w:r>
    </w:p>
    <w:p>
      <w:pPr>
        <w:spacing w:line="440" w:lineRule="exact"/>
        <w:rPr>
          <w:rFonts w:hint="eastAsia" w:ascii="宋体" w:hAnsi="宋体"/>
          <w:color w:val="auto"/>
          <w:szCs w:val="21"/>
        </w:rPr>
      </w:pPr>
    </w:p>
    <w:p>
      <w:pPr>
        <w:spacing w:line="440" w:lineRule="exact"/>
        <w:rPr>
          <w:rFonts w:hint="eastAsia" w:ascii="宋体" w:hAnsi="宋体"/>
          <w:color w:val="auto"/>
          <w:szCs w:val="21"/>
        </w:rPr>
      </w:pPr>
    </w:p>
    <w:p>
      <w:pPr>
        <w:spacing w:line="440" w:lineRule="exact"/>
        <w:rPr>
          <w:rFonts w:hint="eastAsia" w:ascii="宋体" w:hAnsi="宋体"/>
          <w:color w:val="auto"/>
          <w:szCs w:val="21"/>
        </w:rPr>
      </w:pPr>
    </w:p>
    <w:p>
      <w:pPr>
        <w:pStyle w:val="80"/>
        <w:spacing w:before="120" w:after="120" w:afterLines="50"/>
        <w:jc w:val="center"/>
        <w:rPr>
          <w:rFonts w:hint="eastAsia"/>
          <w:color w:val="auto"/>
        </w:rPr>
      </w:pPr>
      <w:bookmarkStart w:id="2718" w:name="_Toc18439"/>
      <w:r>
        <w:rPr>
          <w:rFonts w:hint="eastAsia"/>
          <w:color w:val="auto"/>
        </w:rPr>
        <w:t>七</w:t>
      </w:r>
      <w:r>
        <w:rPr>
          <w:color w:val="auto"/>
        </w:rPr>
        <w:t>、已标价工程量清单</w:t>
      </w:r>
      <w:bookmarkEnd w:id="2718"/>
    </w:p>
    <w:p>
      <w:pPr>
        <w:spacing w:line="600" w:lineRule="exact"/>
        <w:rPr>
          <w:rFonts w:hint="eastAsia" w:ascii="宋体" w:hAnsi="宋体"/>
          <w:color w:val="auto"/>
          <w:sz w:val="24"/>
        </w:rPr>
      </w:pPr>
    </w:p>
    <w:p>
      <w:pPr>
        <w:spacing w:line="600" w:lineRule="exact"/>
        <w:rPr>
          <w:rFonts w:hint="eastAsia" w:ascii="黑体" w:hAnsi="黑体"/>
          <w:color w:val="auto"/>
          <w:szCs w:val="28"/>
        </w:rPr>
      </w:pPr>
    </w:p>
    <w:p>
      <w:pPr>
        <w:snapToGrid w:val="0"/>
        <w:spacing w:line="360" w:lineRule="auto"/>
        <w:ind w:left="840" w:hanging="840" w:hangingChars="300"/>
        <w:rPr>
          <w:rFonts w:hint="eastAsia" w:ascii="黑体" w:hAnsi="黑体" w:eastAsia="黑体"/>
          <w:color w:val="auto"/>
          <w:sz w:val="28"/>
          <w:szCs w:val="28"/>
        </w:rPr>
      </w:pPr>
    </w:p>
    <w:p>
      <w:pPr>
        <w:snapToGrid w:val="0"/>
        <w:spacing w:line="360" w:lineRule="auto"/>
        <w:ind w:left="840" w:hanging="840" w:hangingChars="300"/>
        <w:rPr>
          <w:rFonts w:hint="eastAsia" w:ascii="黑体" w:hAnsi="黑体" w:eastAsia="黑体"/>
          <w:color w:val="auto"/>
          <w:sz w:val="28"/>
          <w:szCs w:val="28"/>
        </w:rPr>
      </w:pPr>
    </w:p>
    <w:p>
      <w:pPr>
        <w:spacing w:line="460" w:lineRule="exact"/>
        <w:ind w:firstLine="963" w:firstLineChars="300"/>
        <w:rPr>
          <w:rFonts w:hint="eastAsia" w:ascii="宋体" w:hAnsi="宋体"/>
          <w:b/>
          <w:color w:val="auto"/>
          <w:sz w:val="32"/>
          <w:szCs w:val="32"/>
        </w:rPr>
      </w:pPr>
      <w:r>
        <w:rPr>
          <w:rFonts w:ascii="宋体" w:hAnsi="宋体"/>
          <w:b/>
          <w:color w:val="auto"/>
          <w:sz w:val="32"/>
          <w:szCs w:val="32"/>
          <w:u w:val="single"/>
        </w:rPr>
        <w:t xml:space="preserve">       （项目名称）  </w:t>
      </w:r>
      <w:r>
        <w:rPr>
          <w:rFonts w:hint="eastAsia" w:ascii="宋体" w:hAnsi="宋体"/>
          <w:b/>
          <w:color w:val="auto"/>
          <w:sz w:val="32"/>
          <w:szCs w:val="32"/>
          <w:u w:val="single"/>
        </w:rPr>
        <w:t xml:space="preserve">       </w:t>
      </w:r>
      <w:r>
        <w:rPr>
          <w:rFonts w:ascii="宋体" w:hAnsi="宋体"/>
          <w:b/>
          <w:color w:val="auto"/>
          <w:sz w:val="32"/>
          <w:szCs w:val="32"/>
          <w:u w:val="single"/>
        </w:rPr>
        <w:t xml:space="preserve">  </w:t>
      </w:r>
      <w:r>
        <w:rPr>
          <w:rFonts w:hint="eastAsia" w:ascii="宋体" w:hAnsi="宋体"/>
          <w:b/>
          <w:color w:val="auto"/>
          <w:sz w:val="32"/>
          <w:szCs w:val="32"/>
          <w:u w:val="single"/>
        </w:rPr>
        <w:t>（标段名称）</w:t>
      </w:r>
    </w:p>
    <w:p>
      <w:pPr>
        <w:spacing w:line="380" w:lineRule="exact"/>
        <w:ind w:firstLine="1927" w:firstLineChars="600"/>
        <w:rPr>
          <w:rFonts w:hint="eastAsia" w:ascii="宋体" w:hAnsi="宋体"/>
          <w:b/>
          <w:color w:val="auto"/>
          <w:sz w:val="32"/>
          <w:szCs w:val="32"/>
        </w:rPr>
      </w:pPr>
    </w:p>
    <w:p>
      <w:pPr>
        <w:spacing w:line="380" w:lineRule="exact"/>
        <w:ind w:firstLine="1927" w:firstLineChars="600"/>
        <w:rPr>
          <w:rFonts w:hint="eastAsia" w:ascii="宋体" w:hAnsi="宋体"/>
          <w:b/>
          <w:color w:val="auto"/>
          <w:sz w:val="32"/>
          <w:szCs w:val="32"/>
        </w:rPr>
      </w:pPr>
    </w:p>
    <w:p>
      <w:pPr>
        <w:spacing w:line="380" w:lineRule="exact"/>
        <w:ind w:firstLine="1927" w:firstLineChars="600"/>
        <w:rPr>
          <w:rFonts w:hint="eastAsia" w:ascii="宋体" w:hAnsi="宋体"/>
          <w:b/>
          <w:color w:val="auto"/>
          <w:sz w:val="32"/>
          <w:szCs w:val="32"/>
        </w:rPr>
      </w:pPr>
    </w:p>
    <w:p>
      <w:pPr>
        <w:spacing w:after="480" w:afterLines="200" w:line="380" w:lineRule="exact"/>
        <w:ind w:firstLine="722" w:firstLineChars="200"/>
        <w:jc w:val="center"/>
        <w:rPr>
          <w:rFonts w:hint="eastAsia" w:ascii="宋体" w:hAnsi="宋体"/>
          <w:b/>
          <w:color w:val="auto"/>
          <w:spacing w:val="20"/>
          <w:sz w:val="32"/>
          <w:szCs w:val="32"/>
        </w:rPr>
      </w:pPr>
      <w:r>
        <w:rPr>
          <w:rFonts w:hint="eastAsia" w:ascii="宋体" w:hAnsi="宋体"/>
          <w:b/>
          <w:color w:val="auto"/>
          <w:spacing w:val="20"/>
          <w:sz w:val="32"/>
          <w:szCs w:val="32"/>
        </w:rPr>
        <w:t>投标总报价</w:t>
      </w:r>
    </w:p>
    <w:p>
      <w:pPr>
        <w:spacing w:line="600" w:lineRule="exact"/>
        <w:ind w:firstLine="480" w:firstLineChars="200"/>
        <w:rPr>
          <w:rFonts w:hint="eastAsia" w:ascii="宋体" w:hAnsi="宋体"/>
          <w:color w:val="auto"/>
          <w:sz w:val="24"/>
        </w:rPr>
      </w:pPr>
    </w:p>
    <w:p>
      <w:pPr>
        <w:spacing w:line="600" w:lineRule="exact"/>
        <w:ind w:firstLine="480" w:firstLineChars="200"/>
        <w:rPr>
          <w:rFonts w:hint="eastAsia" w:ascii="宋体" w:hAnsi="宋体"/>
          <w:color w:val="auto"/>
          <w:sz w:val="24"/>
        </w:rPr>
      </w:pPr>
      <w:r>
        <w:rPr>
          <w:rFonts w:hint="eastAsia" w:ascii="宋体" w:hAnsi="宋体"/>
          <w:color w:val="auto"/>
          <w:sz w:val="24"/>
        </w:rPr>
        <w:t>投标总报价(小写) ：</w:t>
      </w:r>
      <w:r>
        <w:rPr>
          <w:rFonts w:hint="eastAsia" w:ascii="宋体" w:hAnsi="宋体"/>
          <w:color w:val="auto"/>
          <w:sz w:val="24"/>
          <w:u w:val="single"/>
        </w:rPr>
        <w:t xml:space="preserve">                                          元   </w:t>
      </w:r>
    </w:p>
    <w:p>
      <w:pPr>
        <w:spacing w:line="600" w:lineRule="exact"/>
        <w:ind w:firstLine="1680" w:firstLineChars="700"/>
        <w:rPr>
          <w:rFonts w:hint="eastAsia" w:ascii="宋体" w:hAnsi="宋体"/>
          <w:color w:val="auto"/>
          <w:sz w:val="24"/>
          <w:u w:val="single"/>
        </w:rPr>
      </w:pPr>
      <w:r>
        <w:rPr>
          <w:rFonts w:hint="eastAsia" w:ascii="宋体" w:hAnsi="宋体"/>
          <w:color w:val="auto"/>
          <w:sz w:val="24"/>
        </w:rPr>
        <w:t>(大写) ：</w:t>
      </w:r>
      <w:r>
        <w:rPr>
          <w:rFonts w:hint="eastAsia" w:ascii="宋体" w:hAnsi="宋体"/>
          <w:color w:val="auto"/>
          <w:sz w:val="24"/>
          <w:u w:val="single"/>
        </w:rPr>
        <w:t xml:space="preserve">                                          元   </w:t>
      </w:r>
    </w:p>
    <w:p>
      <w:pPr>
        <w:spacing w:line="600" w:lineRule="exact"/>
        <w:ind w:firstLine="1440" w:firstLineChars="600"/>
        <w:rPr>
          <w:rFonts w:hint="eastAsia" w:ascii="宋体" w:hAnsi="宋体"/>
          <w:color w:val="auto"/>
          <w:sz w:val="24"/>
        </w:rPr>
      </w:pPr>
    </w:p>
    <w:p>
      <w:pPr>
        <w:spacing w:line="600" w:lineRule="exact"/>
        <w:ind w:firstLine="480" w:firstLineChars="200"/>
        <w:rPr>
          <w:rFonts w:hint="eastAsia" w:ascii="宋体" w:hAnsi="宋体"/>
          <w:color w:val="auto"/>
          <w:sz w:val="24"/>
          <w:u w:val="single"/>
        </w:rPr>
      </w:pPr>
    </w:p>
    <w:p>
      <w:pPr>
        <w:spacing w:line="600" w:lineRule="exact"/>
        <w:ind w:firstLine="480" w:firstLineChars="200"/>
        <w:rPr>
          <w:rFonts w:hint="eastAsia" w:ascii="宋体" w:hAnsi="宋体"/>
          <w:color w:val="auto"/>
          <w:sz w:val="24"/>
          <w:u w:val="single"/>
        </w:rPr>
      </w:pPr>
    </w:p>
    <w:p>
      <w:pPr>
        <w:spacing w:line="600" w:lineRule="exact"/>
        <w:ind w:firstLine="480" w:firstLineChars="200"/>
        <w:rPr>
          <w:rFonts w:hint="eastAsia" w:ascii="宋体" w:hAnsi="宋体"/>
          <w:color w:val="auto"/>
          <w:sz w:val="24"/>
          <w:u w:val="single"/>
        </w:rPr>
      </w:pPr>
    </w:p>
    <w:p>
      <w:pPr>
        <w:spacing w:line="600" w:lineRule="exact"/>
        <w:ind w:firstLine="480" w:firstLineChars="200"/>
        <w:rPr>
          <w:rFonts w:hint="eastAsia" w:ascii="宋体" w:hAnsi="宋体"/>
          <w:color w:val="auto"/>
          <w:sz w:val="24"/>
          <w:u w:val="single"/>
        </w:rPr>
      </w:pPr>
    </w:p>
    <w:p>
      <w:pPr>
        <w:spacing w:line="320" w:lineRule="exact"/>
        <w:ind w:firstLine="480" w:firstLineChars="200"/>
        <w:rPr>
          <w:rFonts w:hint="eastAsia" w:ascii="宋体" w:hAnsi="宋体"/>
          <w:color w:val="auto"/>
          <w:sz w:val="24"/>
        </w:rPr>
      </w:pPr>
      <w:r>
        <w:rPr>
          <w:rFonts w:hint="eastAsia" w:ascii="宋体" w:hAnsi="宋体"/>
          <w:color w:val="auto"/>
          <w:sz w:val="24"/>
        </w:rPr>
        <w:t>投 标 人：</w:t>
      </w:r>
      <w:r>
        <w:rPr>
          <w:rFonts w:hint="eastAsia" w:ascii="宋体" w:hAnsi="宋体"/>
          <w:color w:val="auto"/>
          <w:sz w:val="24"/>
          <w:u w:val="single"/>
        </w:rPr>
        <w:t xml:space="preserve">                                                     </w:t>
      </w:r>
    </w:p>
    <w:p>
      <w:pPr>
        <w:spacing w:line="320" w:lineRule="exact"/>
        <w:ind w:firstLine="4800" w:firstLineChars="2000"/>
        <w:rPr>
          <w:rFonts w:hint="eastAsia" w:ascii="宋体" w:hAnsi="宋体"/>
          <w:color w:val="auto"/>
          <w:sz w:val="24"/>
        </w:rPr>
      </w:pPr>
      <w:r>
        <w:rPr>
          <w:rFonts w:hint="eastAsia" w:ascii="宋体" w:hAnsi="宋体"/>
          <w:color w:val="auto"/>
          <w:sz w:val="24"/>
        </w:rPr>
        <w:t>(盖单位章)</w:t>
      </w:r>
    </w:p>
    <w:p>
      <w:pPr>
        <w:spacing w:line="380" w:lineRule="exact"/>
        <w:ind w:firstLine="480" w:firstLineChars="200"/>
        <w:rPr>
          <w:rFonts w:hint="eastAsia" w:ascii="宋体" w:hAnsi="宋体"/>
          <w:color w:val="auto"/>
          <w:sz w:val="24"/>
        </w:rPr>
      </w:pPr>
    </w:p>
    <w:p>
      <w:pPr>
        <w:spacing w:after="72" w:afterLines="30" w:line="380" w:lineRule="exact"/>
        <w:ind w:firstLine="480" w:firstLineChars="200"/>
        <w:rPr>
          <w:rFonts w:hint="eastAsia" w:ascii="宋体" w:hAnsi="宋体"/>
          <w:color w:val="auto"/>
          <w:sz w:val="24"/>
        </w:rPr>
      </w:pPr>
      <w:r>
        <w:rPr>
          <w:rFonts w:hint="eastAsia" w:ascii="宋体" w:hAnsi="宋体"/>
          <w:color w:val="auto"/>
          <w:sz w:val="24"/>
        </w:rPr>
        <w:t>法定代表人：</w:t>
      </w:r>
      <w:r>
        <w:rPr>
          <w:rFonts w:hint="eastAsia" w:ascii="宋体" w:hAnsi="宋体"/>
          <w:color w:val="auto"/>
          <w:sz w:val="24"/>
          <w:u w:val="single"/>
        </w:rPr>
        <w:t xml:space="preserve">                                                   </w:t>
      </w:r>
    </w:p>
    <w:p>
      <w:pPr>
        <w:spacing w:line="320" w:lineRule="exact"/>
        <w:ind w:firstLine="5040" w:firstLineChars="2100"/>
        <w:rPr>
          <w:rFonts w:hint="eastAsia" w:ascii="宋体" w:hAnsi="宋体"/>
          <w:color w:val="auto"/>
          <w:sz w:val="24"/>
        </w:rPr>
      </w:pPr>
      <w:r>
        <w:rPr>
          <w:rFonts w:hint="eastAsia" w:ascii="宋体" w:hAnsi="宋体"/>
          <w:color w:val="auto"/>
          <w:sz w:val="24"/>
        </w:rPr>
        <w:t>(签字)</w:t>
      </w:r>
    </w:p>
    <w:p>
      <w:pPr>
        <w:spacing w:line="320" w:lineRule="exact"/>
        <w:rPr>
          <w:rFonts w:hint="eastAsia" w:ascii="宋体" w:hAnsi="宋体"/>
          <w:color w:val="auto"/>
          <w:sz w:val="24"/>
        </w:rPr>
      </w:pPr>
    </w:p>
    <w:p>
      <w:pPr>
        <w:spacing w:line="320" w:lineRule="exact"/>
        <w:ind w:firstLine="4080" w:firstLineChars="1700"/>
        <w:rPr>
          <w:rFonts w:hint="eastAsia" w:ascii="宋体" w:hAnsi="宋体"/>
          <w:color w:val="auto"/>
          <w:sz w:val="24"/>
        </w:rPr>
      </w:pPr>
      <w:r>
        <w:rPr>
          <w:rFonts w:hint="eastAsia" w:ascii="宋体" w:hAnsi="宋体"/>
          <w:color w:val="auto"/>
          <w:sz w:val="24"/>
        </w:rPr>
        <w:t xml:space="preserve">    </w:t>
      </w:r>
    </w:p>
    <w:p>
      <w:pPr>
        <w:spacing w:line="380" w:lineRule="exact"/>
        <w:ind w:firstLine="480" w:firstLineChars="200"/>
        <w:rPr>
          <w:rFonts w:hint="eastAsia" w:ascii="宋体" w:hAnsi="宋体"/>
          <w:color w:val="auto"/>
          <w:sz w:val="24"/>
        </w:rPr>
      </w:pPr>
      <w:r>
        <w:rPr>
          <w:rFonts w:hint="eastAsia" w:ascii="宋体" w:hAnsi="宋体"/>
          <w:color w:val="auto"/>
          <w:sz w:val="24"/>
        </w:rPr>
        <w:t xml:space="preserve">                    </w:t>
      </w:r>
      <w:r>
        <w:rPr>
          <w:rFonts w:hint="eastAsia" w:ascii="宋体" w:hAnsi="宋体"/>
          <w:color w:val="auto"/>
          <w:sz w:val="24"/>
          <w:u w:val="single"/>
        </w:rPr>
        <w:t xml:space="preserve">        </w:t>
      </w:r>
      <w:r>
        <w:rPr>
          <w:rFonts w:hint="eastAsia" w:ascii="宋体" w:hAnsi="宋体"/>
          <w:color w:val="auto"/>
          <w:sz w:val="24"/>
        </w:rPr>
        <w:t>年</w:t>
      </w:r>
      <w:r>
        <w:rPr>
          <w:rFonts w:hint="eastAsia" w:ascii="宋体" w:hAnsi="宋体"/>
          <w:color w:val="auto"/>
          <w:sz w:val="24"/>
          <w:u w:val="single"/>
        </w:rPr>
        <w:t xml:space="preserve">      </w:t>
      </w:r>
      <w:r>
        <w:rPr>
          <w:rFonts w:hint="eastAsia" w:ascii="宋体" w:hAnsi="宋体"/>
          <w:color w:val="auto"/>
          <w:sz w:val="24"/>
        </w:rPr>
        <w:t>月</w:t>
      </w:r>
      <w:r>
        <w:rPr>
          <w:rFonts w:hint="eastAsia" w:ascii="宋体" w:hAnsi="宋体"/>
          <w:color w:val="auto"/>
          <w:sz w:val="24"/>
          <w:u w:val="single"/>
        </w:rPr>
        <w:t xml:space="preserve">      </w:t>
      </w:r>
      <w:r>
        <w:rPr>
          <w:rFonts w:hint="eastAsia" w:ascii="宋体" w:hAnsi="宋体"/>
          <w:color w:val="auto"/>
          <w:sz w:val="24"/>
        </w:rPr>
        <w:t>日</w:t>
      </w:r>
    </w:p>
    <w:p>
      <w:pPr>
        <w:snapToGrid w:val="0"/>
        <w:spacing w:line="360" w:lineRule="auto"/>
        <w:ind w:left="840" w:hanging="840" w:hangingChars="300"/>
        <w:rPr>
          <w:rFonts w:hint="eastAsia" w:ascii="黑体" w:hAnsi="黑体" w:eastAsia="黑体"/>
          <w:color w:val="auto"/>
          <w:sz w:val="28"/>
          <w:szCs w:val="28"/>
        </w:rPr>
      </w:pPr>
    </w:p>
    <w:p>
      <w:pPr>
        <w:snapToGrid w:val="0"/>
        <w:spacing w:line="360" w:lineRule="auto"/>
        <w:ind w:left="960" w:hanging="960" w:hangingChars="300"/>
        <w:jc w:val="center"/>
        <w:rPr>
          <w:rFonts w:hint="eastAsia" w:ascii="黑体" w:hAnsi="黑体" w:eastAsia="黑体"/>
          <w:color w:val="auto"/>
          <w:sz w:val="32"/>
          <w:szCs w:val="32"/>
        </w:rPr>
      </w:pPr>
    </w:p>
    <w:p>
      <w:pPr>
        <w:snapToGrid w:val="0"/>
        <w:spacing w:line="360" w:lineRule="auto"/>
        <w:ind w:left="960" w:hanging="960" w:hangingChars="300"/>
        <w:jc w:val="center"/>
        <w:rPr>
          <w:rFonts w:hint="eastAsia" w:ascii="黑体" w:hAnsi="黑体" w:eastAsia="黑体"/>
          <w:color w:val="auto"/>
          <w:sz w:val="32"/>
          <w:szCs w:val="32"/>
        </w:rPr>
      </w:pPr>
      <w:r>
        <w:rPr>
          <w:rFonts w:hint="eastAsia" w:ascii="黑体" w:hAnsi="黑体" w:eastAsia="黑体"/>
          <w:color w:val="auto"/>
          <w:sz w:val="32"/>
          <w:szCs w:val="32"/>
        </w:rPr>
        <w:t>已标价工程量清单</w:t>
      </w:r>
    </w:p>
    <w:p>
      <w:pPr>
        <w:snapToGrid w:val="0"/>
        <w:spacing w:line="360" w:lineRule="auto"/>
        <w:ind w:left="720" w:hanging="720" w:hangingChars="300"/>
        <w:jc w:val="center"/>
        <w:rPr>
          <w:rFonts w:hint="eastAsia" w:ascii="黑体" w:hAnsi="黑体" w:eastAsia="黑体"/>
          <w:color w:val="auto"/>
          <w:sz w:val="24"/>
        </w:rPr>
      </w:pPr>
    </w:p>
    <w:p>
      <w:pPr>
        <w:snapToGrid w:val="0"/>
        <w:spacing w:line="360" w:lineRule="auto"/>
        <w:ind w:left="720" w:hanging="720" w:hangingChars="300"/>
        <w:jc w:val="center"/>
        <w:rPr>
          <w:rFonts w:hint="eastAsia" w:ascii="黑体" w:hAnsi="黑体" w:eastAsia="黑体"/>
          <w:color w:val="auto"/>
          <w:sz w:val="24"/>
        </w:rPr>
      </w:pPr>
    </w:p>
    <w:p>
      <w:pPr>
        <w:snapToGrid w:val="0"/>
        <w:spacing w:line="360" w:lineRule="auto"/>
        <w:ind w:left="630" w:hanging="630" w:hangingChars="300"/>
        <w:rPr>
          <w:rFonts w:hint="eastAsia" w:ascii="宋体" w:hAnsi="宋体"/>
          <w:color w:val="auto"/>
          <w:szCs w:val="21"/>
        </w:rPr>
      </w:pPr>
      <w:r>
        <w:rPr>
          <w:rFonts w:hint="eastAsia" w:ascii="宋体" w:hAnsi="宋体"/>
          <w:color w:val="auto"/>
          <w:szCs w:val="21"/>
        </w:rPr>
        <w:t>说明：按“第五章工程量清单”内容及格式执行（须含“1 工程量清单说明”、“2 投标报价说明”）。</w:t>
      </w: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snapToGrid w:val="0"/>
        <w:spacing w:line="360" w:lineRule="auto"/>
        <w:ind w:left="630" w:hanging="630" w:hangingChars="300"/>
        <w:rPr>
          <w:rFonts w:hint="eastAsia" w:ascii="宋体" w:hAnsi="宋体"/>
          <w:color w:val="auto"/>
          <w:szCs w:val="21"/>
        </w:rPr>
      </w:pPr>
    </w:p>
    <w:p>
      <w:pPr>
        <w:pStyle w:val="80"/>
        <w:spacing w:before="120" w:after="120" w:afterLines="50"/>
        <w:jc w:val="center"/>
        <w:rPr>
          <w:rFonts w:hint="eastAsia" w:ascii="黑体" w:hAnsi="黑体"/>
          <w:b/>
          <w:bCs/>
          <w:color w:val="auto"/>
          <w:sz w:val="32"/>
          <w:szCs w:val="32"/>
        </w:rPr>
      </w:pPr>
      <w:bookmarkStart w:id="2719" w:name="_Toc222033920"/>
      <w:bookmarkStart w:id="2720" w:name="_Toc221948389"/>
      <w:bookmarkStart w:id="2721" w:name="_Toc221952153"/>
      <w:bookmarkStart w:id="2722" w:name="_Toc222031071"/>
      <w:bookmarkStart w:id="2723" w:name="_Toc222029569"/>
      <w:bookmarkStart w:id="2724" w:name="_Toc229305429"/>
      <w:bookmarkStart w:id="2725" w:name="_Toc387753635"/>
      <w:bookmarkStart w:id="2726" w:name="_Toc456173565"/>
      <w:bookmarkStart w:id="2727" w:name="_Toc16113"/>
      <w:bookmarkStart w:id="2728" w:name="_Toc222032738"/>
      <w:r>
        <w:rPr>
          <w:rFonts w:hint="eastAsia"/>
          <w:color w:val="auto"/>
        </w:rPr>
        <w:t>八、资格审查资料</w:t>
      </w:r>
      <w:bookmarkEnd w:id="2719"/>
      <w:bookmarkEnd w:id="2720"/>
      <w:bookmarkEnd w:id="2721"/>
      <w:bookmarkEnd w:id="2722"/>
      <w:bookmarkEnd w:id="2723"/>
      <w:bookmarkEnd w:id="2724"/>
      <w:bookmarkEnd w:id="2725"/>
      <w:bookmarkEnd w:id="2726"/>
      <w:bookmarkEnd w:id="2727"/>
      <w:bookmarkEnd w:id="2728"/>
      <w:bookmarkStart w:id="2729" w:name="_Toc152047266"/>
      <w:bookmarkStart w:id="2730" w:name="_Toc179715759"/>
      <w:bookmarkStart w:id="2731" w:name="_Toc221952154"/>
      <w:bookmarkStart w:id="2732" w:name="_Toc229408551"/>
    </w:p>
    <w:bookmarkEnd w:id="2729"/>
    <w:bookmarkEnd w:id="2730"/>
    <w:bookmarkEnd w:id="2731"/>
    <w:bookmarkEnd w:id="2732"/>
    <w:p>
      <w:pPr>
        <w:pStyle w:val="87"/>
        <w:spacing w:after="120" w:afterLines="50"/>
        <w:jc w:val="center"/>
        <w:rPr>
          <w:rFonts w:hint="eastAsia"/>
          <w:color w:val="auto"/>
          <w:szCs w:val="24"/>
        </w:rPr>
      </w:pPr>
      <w:bookmarkStart w:id="2733" w:name="_Toc456173566"/>
      <w:bookmarkStart w:id="2734" w:name="_Toc426496256"/>
      <w:bookmarkStart w:id="2735" w:name="_Toc23525"/>
      <w:r>
        <w:rPr>
          <w:rFonts w:hint="eastAsia"/>
          <w:color w:val="auto"/>
          <w:szCs w:val="24"/>
        </w:rPr>
        <w:t>（一）投标人基本情况</w:t>
      </w:r>
      <w:bookmarkEnd w:id="2733"/>
      <w:bookmarkEnd w:id="2734"/>
      <w:r>
        <w:rPr>
          <w:rFonts w:hint="eastAsia"/>
          <w:color w:val="auto"/>
          <w:szCs w:val="24"/>
        </w:rPr>
        <w:t>表</w:t>
      </w:r>
      <w:bookmarkEnd w:id="2735"/>
    </w:p>
    <w:tbl>
      <w:tblPr>
        <w:tblStyle w:val="38"/>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862"/>
        <w:gridCol w:w="968"/>
        <w:gridCol w:w="1361"/>
        <w:gridCol w:w="571"/>
        <w:gridCol w:w="787"/>
        <w:gridCol w:w="1162"/>
        <w:gridCol w:w="423"/>
        <w:gridCol w:w="1032"/>
        <w:gridCol w:w="10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4"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36" w:name="_Toc221952155"/>
            <w:r>
              <w:rPr>
                <w:rFonts w:hint="eastAsia"/>
                <w:color w:val="auto"/>
                <w:szCs w:val="21"/>
              </w:rPr>
              <w:t>投标人</w:t>
            </w:r>
            <w:r>
              <w:rPr>
                <w:color w:val="auto"/>
                <w:szCs w:val="21"/>
              </w:rPr>
              <w:t>名称</w:t>
            </w:r>
            <w:bookmarkEnd w:id="2736"/>
          </w:p>
        </w:tc>
        <w:tc>
          <w:tcPr>
            <w:tcW w:w="3992" w:type="pct"/>
            <w:gridSpan w:val="8"/>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37" w:name="_Toc221952156"/>
            <w:r>
              <w:rPr>
                <w:color w:val="auto"/>
                <w:szCs w:val="21"/>
              </w:rPr>
              <w:t>注册地址</w:t>
            </w:r>
            <w:bookmarkEnd w:id="2737"/>
          </w:p>
        </w:tc>
        <w:tc>
          <w:tcPr>
            <w:tcW w:w="1996" w:type="pct"/>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62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38" w:name="_Toc221952157"/>
            <w:r>
              <w:rPr>
                <w:color w:val="auto"/>
                <w:szCs w:val="21"/>
              </w:rPr>
              <w:t>邮政编码</w:t>
            </w:r>
            <w:bookmarkEnd w:id="2738"/>
          </w:p>
        </w:tc>
        <w:tc>
          <w:tcPr>
            <w:tcW w:w="1367"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9" w:hRule="atLeast"/>
        </w:trPr>
        <w:tc>
          <w:tcPr>
            <w:tcW w:w="1008" w:type="pct"/>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39" w:name="_Toc221952158"/>
            <w:r>
              <w:rPr>
                <w:color w:val="auto"/>
                <w:szCs w:val="21"/>
              </w:rPr>
              <w:t>联系方式</w:t>
            </w:r>
            <w:bookmarkEnd w:id="2739"/>
          </w:p>
        </w:tc>
        <w:tc>
          <w:tcPr>
            <w:tcW w:w="524"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0" w:name="_Toc221952159"/>
            <w:r>
              <w:rPr>
                <w:color w:val="auto"/>
                <w:szCs w:val="21"/>
              </w:rPr>
              <w:t>联系人</w:t>
            </w:r>
            <w:bookmarkEnd w:id="2740"/>
          </w:p>
        </w:tc>
        <w:tc>
          <w:tcPr>
            <w:tcW w:w="1472"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62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1" w:name="_Toc221952160"/>
            <w:r>
              <w:rPr>
                <w:color w:val="auto"/>
                <w:szCs w:val="21"/>
              </w:rPr>
              <w:t>电 话</w:t>
            </w:r>
            <w:bookmarkEnd w:id="2741"/>
          </w:p>
        </w:tc>
        <w:tc>
          <w:tcPr>
            <w:tcW w:w="1367"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12" w:hRule="atLeast"/>
        </w:trPr>
        <w:tc>
          <w:tcPr>
            <w:tcW w:w="1008" w:type="pct"/>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524"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2" w:name="_Toc221952161"/>
            <w:r>
              <w:rPr>
                <w:color w:val="auto"/>
                <w:szCs w:val="21"/>
              </w:rPr>
              <w:t>传  真</w:t>
            </w:r>
            <w:bookmarkEnd w:id="2742"/>
          </w:p>
        </w:tc>
        <w:tc>
          <w:tcPr>
            <w:tcW w:w="1472"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62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3" w:name="_Toc221952162"/>
            <w:r>
              <w:rPr>
                <w:color w:val="auto"/>
                <w:szCs w:val="21"/>
              </w:rPr>
              <w:t>网 址</w:t>
            </w:r>
            <w:bookmarkEnd w:id="2743"/>
          </w:p>
        </w:tc>
        <w:tc>
          <w:tcPr>
            <w:tcW w:w="1367"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4" w:name="_Toc221952163"/>
            <w:r>
              <w:rPr>
                <w:color w:val="auto"/>
                <w:szCs w:val="21"/>
              </w:rPr>
              <w:t>组织结构</w:t>
            </w:r>
            <w:bookmarkEnd w:id="2744"/>
          </w:p>
        </w:tc>
        <w:tc>
          <w:tcPr>
            <w:tcW w:w="3992" w:type="pct"/>
            <w:gridSpan w:val="8"/>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5" w:name="_Toc221952164"/>
            <w:r>
              <w:rPr>
                <w:color w:val="auto"/>
                <w:szCs w:val="21"/>
              </w:rPr>
              <w:t>法定代表人</w:t>
            </w:r>
            <w:bookmarkEnd w:id="2745"/>
          </w:p>
        </w:tc>
        <w:tc>
          <w:tcPr>
            <w:tcW w:w="524"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6" w:name="_Toc221952165"/>
            <w:r>
              <w:rPr>
                <w:color w:val="auto"/>
                <w:szCs w:val="21"/>
              </w:rPr>
              <w:t>姓名</w:t>
            </w:r>
            <w:bookmarkEnd w:id="2746"/>
          </w:p>
        </w:tc>
        <w:tc>
          <w:tcPr>
            <w:tcW w:w="736"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735"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7" w:name="_Toc221952166"/>
            <w:r>
              <w:rPr>
                <w:color w:val="auto"/>
                <w:szCs w:val="21"/>
              </w:rPr>
              <w:t>技术职称</w:t>
            </w:r>
            <w:bookmarkEnd w:id="2747"/>
          </w:p>
        </w:tc>
        <w:tc>
          <w:tcPr>
            <w:tcW w:w="85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55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8" w:name="_Toc221952167"/>
            <w:r>
              <w:rPr>
                <w:color w:val="auto"/>
                <w:szCs w:val="21"/>
              </w:rPr>
              <w:t>电话</w:t>
            </w:r>
            <w:bookmarkEnd w:id="2748"/>
          </w:p>
        </w:tc>
        <w:tc>
          <w:tcPr>
            <w:tcW w:w="57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49" w:name="_Toc221952168"/>
            <w:r>
              <w:rPr>
                <w:color w:val="auto"/>
                <w:szCs w:val="21"/>
              </w:rPr>
              <w:t>技术负责人</w:t>
            </w:r>
            <w:bookmarkEnd w:id="2749"/>
          </w:p>
        </w:tc>
        <w:tc>
          <w:tcPr>
            <w:tcW w:w="524"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0" w:name="_Toc221952169"/>
            <w:r>
              <w:rPr>
                <w:color w:val="auto"/>
                <w:szCs w:val="21"/>
              </w:rPr>
              <w:t>姓名</w:t>
            </w:r>
            <w:bookmarkEnd w:id="2750"/>
          </w:p>
        </w:tc>
        <w:tc>
          <w:tcPr>
            <w:tcW w:w="736"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735"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1" w:name="_Toc221952170"/>
            <w:r>
              <w:rPr>
                <w:color w:val="auto"/>
                <w:szCs w:val="21"/>
              </w:rPr>
              <w:t>技术职称</w:t>
            </w:r>
            <w:bookmarkEnd w:id="2751"/>
          </w:p>
        </w:tc>
        <w:tc>
          <w:tcPr>
            <w:tcW w:w="85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55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2" w:name="_Toc221952171"/>
            <w:r>
              <w:rPr>
                <w:color w:val="auto"/>
                <w:szCs w:val="21"/>
              </w:rPr>
              <w:t>电话</w:t>
            </w:r>
            <w:bookmarkEnd w:id="2752"/>
          </w:p>
        </w:tc>
        <w:tc>
          <w:tcPr>
            <w:tcW w:w="579"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3" w:name="_Toc221952172"/>
            <w:r>
              <w:rPr>
                <w:color w:val="auto"/>
                <w:szCs w:val="21"/>
              </w:rPr>
              <w:t>成立时间</w:t>
            </w:r>
            <w:bookmarkEnd w:id="2753"/>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2731" w:type="pct"/>
            <w:gridSpan w:val="6"/>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0" w:firstLineChars="500"/>
              <w:rPr>
                <w:color w:val="auto"/>
                <w:szCs w:val="21"/>
              </w:rPr>
            </w:pPr>
            <w:bookmarkStart w:id="2754" w:name="_Toc221952173"/>
            <w:r>
              <w:rPr>
                <w:color w:val="auto"/>
                <w:szCs w:val="21"/>
              </w:rPr>
              <w:t>员工总人数：</w:t>
            </w:r>
            <w:bookmarkEnd w:id="275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7"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5" w:name="_Toc221952174"/>
            <w:r>
              <w:rPr>
                <w:color w:val="auto"/>
                <w:szCs w:val="21"/>
              </w:rPr>
              <w:t>企业资质等级</w:t>
            </w:r>
            <w:bookmarkEnd w:id="2755"/>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309" w:type="pct"/>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6" w:name="_Toc221952175"/>
            <w:r>
              <w:rPr>
                <w:color w:val="auto"/>
                <w:szCs w:val="21"/>
              </w:rPr>
              <w:t>其中</w:t>
            </w:r>
            <w:bookmarkEnd w:id="2756"/>
          </w:p>
        </w:tc>
        <w:tc>
          <w:tcPr>
            <w:tcW w:w="1284"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r>
              <w:rPr>
                <w:rFonts w:hint="eastAsia" w:ascii="宋体" w:hAnsi="宋体"/>
                <w:color w:val="auto"/>
                <w:szCs w:val="21"/>
              </w:rPr>
              <w:t>注册建造师</w:t>
            </w:r>
          </w:p>
        </w:tc>
        <w:tc>
          <w:tcPr>
            <w:tcW w:w="113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2"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7" w:name="_Toc221952177"/>
            <w:r>
              <w:rPr>
                <w:color w:val="auto"/>
                <w:szCs w:val="21"/>
              </w:rPr>
              <w:t>营业执照号</w:t>
            </w:r>
            <w:bookmarkEnd w:id="2757"/>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309" w:type="pct"/>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284"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8" w:name="_Toc221952178"/>
            <w:r>
              <w:rPr>
                <w:color w:val="auto"/>
                <w:szCs w:val="21"/>
              </w:rPr>
              <w:t>高级职称人员</w:t>
            </w:r>
            <w:bookmarkEnd w:id="2758"/>
          </w:p>
        </w:tc>
        <w:tc>
          <w:tcPr>
            <w:tcW w:w="113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59" w:name="_Toc221952179"/>
            <w:r>
              <w:rPr>
                <w:color w:val="auto"/>
                <w:szCs w:val="21"/>
              </w:rPr>
              <w:t>注册资金</w:t>
            </w:r>
            <w:bookmarkEnd w:id="2759"/>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309" w:type="pct"/>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284"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60" w:name="_Toc221952180"/>
            <w:r>
              <w:rPr>
                <w:color w:val="auto"/>
                <w:szCs w:val="21"/>
              </w:rPr>
              <w:t>中级职称人员</w:t>
            </w:r>
            <w:bookmarkEnd w:id="2760"/>
          </w:p>
        </w:tc>
        <w:tc>
          <w:tcPr>
            <w:tcW w:w="113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基本帐户</w:t>
            </w:r>
          </w:p>
          <w:p>
            <w:pPr>
              <w:jc w:val="center"/>
              <w:rPr>
                <w:rFonts w:hint="eastAsia" w:ascii="宋体" w:hAnsi="宋体"/>
                <w:color w:val="auto"/>
                <w:szCs w:val="21"/>
              </w:rPr>
            </w:pPr>
            <w:r>
              <w:rPr>
                <w:rFonts w:hint="eastAsia" w:ascii="宋体" w:hAnsi="宋体"/>
                <w:color w:val="auto"/>
                <w:szCs w:val="21"/>
              </w:rPr>
              <w:t>开户银行</w:t>
            </w:r>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309" w:type="pct"/>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284" w:type="pct"/>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61" w:name="_Toc221952182"/>
            <w:r>
              <w:rPr>
                <w:color w:val="auto"/>
                <w:szCs w:val="21"/>
              </w:rPr>
              <w:t>初级职称人员</w:t>
            </w:r>
            <w:bookmarkEnd w:id="2761"/>
          </w:p>
        </w:tc>
        <w:tc>
          <w:tcPr>
            <w:tcW w:w="113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72"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基本帐户</w:t>
            </w:r>
          </w:p>
          <w:p>
            <w:pPr>
              <w:jc w:val="center"/>
              <w:rPr>
                <w:rFonts w:hint="eastAsia" w:ascii="宋体" w:hAnsi="宋体"/>
                <w:color w:val="auto"/>
                <w:szCs w:val="21"/>
              </w:rPr>
            </w:pPr>
            <w:r>
              <w:rPr>
                <w:rFonts w:hint="eastAsia" w:ascii="宋体" w:hAnsi="宋体"/>
                <w:color w:val="auto"/>
                <w:szCs w:val="21"/>
              </w:rPr>
              <w:t>账号</w:t>
            </w:r>
          </w:p>
        </w:tc>
        <w:tc>
          <w:tcPr>
            <w:tcW w:w="1261"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309" w:type="pct"/>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c>
          <w:tcPr>
            <w:tcW w:w="1284"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color w:val="auto"/>
              </w:rPr>
            </w:pPr>
            <w:bookmarkStart w:id="2762" w:name="_Toc221952184"/>
            <w:r>
              <w:rPr>
                <w:color w:val="auto"/>
              </w:rPr>
              <w:t>技</w:t>
            </w:r>
            <w:r>
              <w:rPr>
                <w:rFonts w:hint="eastAsia"/>
                <w:color w:val="auto"/>
              </w:rPr>
              <w:t xml:space="preserve">  </w:t>
            </w:r>
            <w:r>
              <w:rPr>
                <w:color w:val="auto"/>
              </w:rPr>
              <w:t>工</w:t>
            </w:r>
            <w:bookmarkEnd w:id="2762"/>
          </w:p>
        </w:tc>
        <w:tc>
          <w:tcPr>
            <w:tcW w:w="1138" w:type="pct"/>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1008" w:type="pct"/>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color w:val="auto"/>
                <w:szCs w:val="21"/>
              </w:rPr>
            </w:pPr>
            <w:bookmarkStart w:id="2763" w:name="_Toc221952185"/>
            <w:r>
              <w:rPr>
                <w:color w:val="auto"/>
                <w:szCs w:val="21"/>
              </w:rPr>
              <w:t>经营范围</w:t>
            </w:r>
            <w:bookmarkEnd w:id="2763"/>
          </w:p>
        </w:tc>
        <w:tc>
          <w:tcPr>
            <w:tcW w:w="3992" w:type="pct"/>
            <w:gridSpan w:val="8"/>
            <w:tcBorders>
              <w:top w:val="single" w:color="auto" w:sz="4" w:space="0"/>
              <w:left w:val="single" w:color="auto" w:sz="4" w:space="0"/>
              <w:right w:val="single" w:color="auto" w:sz="4" w:space="0"/>
            </w:tcBorders>
            <w:noWrap w:val="0"/>
            <w:vAlign w:val="center"/>
          </w:tcPr>
          <w:p>
            <w:pPr>
              <w:topLinePunct/>
              <w:spacing w:line="440" w:lineRule="exact"/>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color w:val="auto"/>
              </w:rPr>
            </w:pPr>
            <w:r>
              <w:rPr>
                <w:color w:val="auto"/>
              </w:rPr>
              <w:t>关</w:t>
            </w:r>
            <w:r>
              <w:rPr>
                <w:rFonts w:hint="eastAsia"/>
                <w:color w:val="auto"/>
              </w:rPr>
              <w:t>联单位</w:t>
            </w:r>
          </w:p>
        </w:tc>
        <w:tc>
          <w:tcPr>
            <w:tcW w:w="3992" w:type="pct"/>
            <w:gridSpan w:val="8"/>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color w:val="auto"/>
              </w:rPr>
            </w:pPr>
            <w:r>
              <w:rPr>
                <w:color w:val="auto"/>
              </w:rPr>
              <w:t>单位负责人</w:t>
            </w:r>
            <w:r>
              <w:rPr>
                <w:rFonts w:hint="eastAsia"/>
                <w:color w:val="auto"/>
              </w:rPr>
              <w:t>与本</w:t>
            </w:r>
            <w:r>
              <w:rPr>
                <w:color w:val="auto"/>
              </w:rPr>
              <w:t>单位负责人为同一人</w:t>
            </w:r>
            <w:r>
              <w:rPr>
                <w:rFonts w:hint="eastAsia"/>
                <w:color w:val="auto"/>
              </w:rPr>
              <w:t>的单位：</w:t>
            </w:r>
          </w:p>
          <w:p>
            <w:pPr>
              <w:spacing w:line="360" w:lineRule="auto"/>
              <w:rPr>
                <w:rFonts w:hint="eastAsia"/>
                <w:color w:val="auto"/>
              </w:rPr>
            </w:pPr>
          </w:p>
          <w:p>
            <w:pPr>
              <w:spacing w:line="360" w:lineRule="auto"/>
              <w:rPr>
                <w:rFonts w:hint="eastAsia"/>
                <w:color w:val="auto"/>
              </w:rPr>
            </w:pPr>
            <w:r>
              <w:rPr>
                <w:rFonts w:hint="eastAsia"/>
                <w:color w:val="auto"/>
              </w:rPr>
              <w:t>与本</w:t>
            </w:r>
            <w:r>
              <w:rPr>
                <w:color w:val="auto"/>
              </w:rPr>
              <w:t>单位存在控股</w:t>
            </w:r>
            <w:r>
              <w:rPr>
                <w:rFonts w:hint="eastAsia"/>
                <w:color w:val="auto"/>
              </w:rPr>
              <w:t>与被控股</w:t>
            </w:r>
            <w:r>
              <w:rPr>
                <w:color w:val="auto"/>
              </w:rPr>
              <w:t>关系的单位</w:t>
            </w:r>
            <w:r>
              <w:rPr>
                <w:rFonts w:hint="eastAsia"/>
                <w:color w:val="auto"/>
              </w:rPr>
              <w:t>：</w:t>
            </w:r>
          </w:p>
          <w:p>
            <w:pPr>
              <w:spacing w:line="360" w:lineRule="auto"/>
              <w:rPr>
                <w:rFonts w:hint="eastAsia"/>
                <w:color w:val="auto"/>
              </w:rPr>
            </w:pPr>
          </w:p>
          <w:p>
            <w:pPr>
              <w:spacing w:line="360" w:lineRule="auto"/>
              <w:rPr>
                <w:rFonts w:hint="eastAsia"/>
                <w:color w:val="auto"/>
              </w:rPr>
            </w:pPr>
            <w:r>
              <w:rPr>
                <w:rFonts w:hint="eastAsia"/>
                <w:color w:val="auto"/>
              </w:rPr>
              <w:t>与本</w:t>
            </w:r>
            <w:r>
              <w:rPr>
                <w:color w:val="auto"/>
              </w:rPr>
              <w:t>单位存在管理</w:t>
            </w:r>
            <w:r>
              <w:rPr>
                <w:rFonts w:hint="eastAsia"/>
                <w:color w:val="auto"/>
              </w:rPr>
              <w:t>与被管理</w:t>
            </w:r>
            <w:r>
              <w:rPr>
                <w:color w:val="auto"/>
              </w:rPr>
              <w:t>关系的单位</w:t>
            </w:r>
            <w:r>
              <w:rPr>
                <w:rFonts w:hint="eastAsia"/>
                <w:color w:val="auto"/>
              </w:rPr>
              <w:t>：</w:t>
            </w:r>
          </w:p>
          <w:p>
            <w:pPr>
              <w:spacing w:line="360" w:lineRule="auto"/>
              <w:rPr>
                <w:rFonts w:hint="eastAsia"/>
                <w:color w:va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008" w:type="pc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bookmarkStart w:id="2764" w:name="_Toc221952186"/>
            <w:r>
              <w:rPr>
                <w:color w:val="auto"/>
                <w:szCs w:val="21"/>
              </w:rPr>
              <w:t>备注</w:t>
            </w:r>
            <w:bookmarkEnd w:id="2764"/>
          </w:p>
        </w:tc>
        <w:tc>
          <w:tcPr>
            <w:tcW w:w="3992" w:type="pct"/>
            <w:gridSpan w:val="8"/>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color w:val="auto"/>
                <w:szCs w:val="21"/>
              </w:rPr>
            </w:pPr>
          </w:p>
        </w:tc>
      </w:tr>
    </w:tbl>
    <w:p>
      <w:pPr>
        <w:spacing w:before="120" w:beforeLines="50" w:line="400" w:lineRule="atLeast"/>
        <w:ind w:left="630" w:hanging="630" w:hangingChars="300"/>
        <w:rPr>
          <w:rFonts w:hint="eastAsia"/>
          <w:color w:val="auto"/>
          <w:szCs w:val="21"/>
        </w:rPr>
      </w:pPr>
      <w:r>
        <w:rPr>
          <w:rFonts w:hint="eastAsia"/>
          <w:color w:val="auto"/>
          <w:szCs w:val="21"/>
        </w:rPr>
        <w:t>备注：本表后应附企业法人营业执照、企业资质证书、安全生产许可证、企业主要负责人的安全生产考核合格证等材料的复印件。</w:t>
      </w:r>
    </w:p>
    <w:p>
      <w:pPr>
        <w:spacing w:before="120" w:beforeLines="50" w:line="400" w:lineRule="atLeast"/>
        <w:ind w:left="630" w:hanging="630" w:hangingChars="300"/>
        <w:rPr>
          <w:rFonts w:hint="eastAsia"/>
          <w:color w:val="auto"/>
          <w:szCs w:val="21"/>
        </w:rPr>
      </w:pPr>
    </w:p>
    <w:p>
      <w:pPr>
        <w:spacing w:before="120" w:beforeLines="50" w:line="400" w:lineRule="atLeast"/>
        <w:ind w:left="630" w:hanging="630" w:hangingChars="300"/>
        <w:rPr>
          <w:rFonts w:hint="eastAsia"/>
          <w:color w:val="auto"/>
          <w:szCs w:val="21"/>
        </w:rPr>
      </w:pPr>
    </w:p>
    <w:p>
      <w:pPr>
        <w:spacing w:before="120" w:beforeLines="50" w:line="400" w:lineRule="atLeast"/>
        <w:ind w:left="630" w:hanging="630" w:hangingChars="300"/>
        <w:rPr>
          <w:rFonts w:hint="eastAsia"/>
          <w:color w:val="auto"/>
          <w:szCs w:val="21"/>
        </w:rPr>
      </w:pPr>
    </w:p>
    <w:p>
      <w:pPr>
        <w:pStyle w:val="87"/>
        <w:spacing w:after="120" w:afterLines="50"/>
        <w:jc w:val="center"/>
        <w:rPr>
          <w:rFonts w:hint="eastAsia"/>
          <w:color w:val="auto"/>
          <w:szCs w:val="24"/>
        </w:rPr>
      </w:pPr>
      <w:bookmarkStart w:id="2765" w:name="_Toc456173579"/>
      <w:bookmarkStart w:id="2766" w:name="_Toc426496269"/>
      <w:bookmarkStart w:id="2767" w:name="_Toc28449"/>
      <w:bookmarkStart w:id="2768" w:name="_Toc179715760"/>
      <w:bookmarkStart w:id="2769" w:name="_Toc229305430"/>
      <w:bookmarkStart w:id="2770" w:name="_Toc222029570"/>
      <w:bookmarkStart w:id="2771" w:name="_Toc229408552"/>
      <w:bookmarkStart w:id="2772" w:name="_Toc222032739"/>
      <w:bookmarkStart w:id="2773" w:name="_Toc222033921"/>
      <w:bookmarkStart w:id="2774" w:name="_Toc222031072"/>
      <w:bookmarkStart w:id="2775" w:name="_Toc152047267"/>
      <w:bookmarkStart w:id="2776" w:name="_Toc221952187"/>
      <w:r>
        <w:rPr>
          <w:rFonts w:hint="eastAsia"/>
          <w:color w:val="auto"/>
          <w:szCs w:val="24"/>
        </w:rPr>
        <w:t>（二）投标人信用信誉情况</w:t>
      </w:r>
      <w:bookmarkEnd w:id="2765"/>
      <w:bookmarkEnd w:id="2766"/>
      <w:bookmarkEnd w:id="2767"/>
    </w:p>
    <w:p>
      <w:pPr>
        <w:pStyle w:val="87"/>
        <w:jc w:val="center"/>
        <w:outlineLvl w:val="3"/>
        <w:rPr>
          <w:rFonts w:hint="eastAsia"/>
          <w:color w:val="auto"/>
          <w:szCs w:val="24"/>
        </w:rPr>
      </w:pPr>
      <w:bookmarkStart w:id="2777" w:name="_Toc426496270"/>
      <w:bookmarkStart w:id="2778" w:name="_Toc456173580"/>
      <w:bookmarkStart w:id="2779" w:name="_Toc494315516"/>
      <w:bookmarkStart w:id="2780" w:name="_Toc27024"/>
      <w:r>
        <w:rPr>
          <w:rFonts w:hint="eastAsia"/>
          <w:color w:val="auto"/>
          <w:szCs w:val="24"/>
        </w:rPr>
        <w:t>2-1 企业信誉</w:t>
      </w:r>
      <w:bookmarkEnd w:id="2777"/>
      <w:bookmarkEnd w:id="2778"/>
      <w:r>
        <w:rPr>
          <w:rFonts w:hint="eastAsia"/>
          <w:color w:val="auto"/>
          <w:szCs w:val="24"/>
        </w:rPr>
        <w:t>声明</w:t>
      </w:r>
      <w:bookmarkEnd w:id="2779"/>
      <w:bookmarkEnd w:id="2780"/>
    </w:p>
    <w:p>
      <w:pPr>
        <w:rPr>
          <w:rFonts w:hint="eastAsia" w:ascii="宋体" w:hAnsi="宋体"/>
          <w:color w:val="auto"/>
          <w:u w:val="single"/>
        </w:rPr>
      </w:pPr>
    </w:p>
    <w:p>
      <w:pPr>
        <w:rPr>
          <w:rFonts w:hint="eastAsia" w:ascii="宋体" w:hAnsi="宋体"/>
          <w:color w:val="auto"/>
          <w:u w:val="single"/>
        </w:rPr>
      </w:pPr>
    </w:p>
    <w:p>
      <w:pPr>
        <w:rPr>
          <w:rFonts w:hint="eastAsia" w:ascii="宋体" w:hAnsi="宋体"/>
          <w:color w:val="auto"/>
          <w:u w:val="single"/>
        </w:rPr>
      </w:pPr>
    </w:p>
    <w:p>
      <w:pPr>
        <w:rPr>
          <w:rFonts w:hint="eastAsia" w:ascii="宋体" w:hAnsi="宋体"/>
          <w:color w:val="auto"/>
        </w:rPr>
      </w:pPr>
      <w:r>
        <w:rPr>
          <w:rFonts w:hint="eastAsia" w:ascii="宋体" w:hAnsi="宋体"/>
          <w:color w:val="auto"/>
          <w:u w:val="single"/>
        </w:rPr>
        <w:t xml:space="preserve">                     </w:t>
      </w:r>
      <w:r>
        <w:rPr>
          <w:rFonts w:hint="eastAsia" w:ascii="宋体" w:hAnsi="宋体"/>
          <w:color w:val="auto"/>
        </w:rPr>
        <w:t>（招标人名称）：</w:t>
      </w:r>
    </w:p>
    <w:p>
      <w:pPr>
        <w:rPr>
          <w:rFonts w:hint="eastAsia" w:ascii="宋体" w:hAnsi="宋体"/>
          <w:color w:val="auto"/>
        </w:rPr>
      </w:pPr>
    </w:p>
    <w:p>
      <w:pPr>
        <w:spacing w:line="440" w:lineRule="exact"/>
        <w:ind w:firstLine="420" w:firstLineChars="200"/>
        <w:rPr>
          <w:rFonts w:hint="eastAsia" w:ascii="宋体" w:hAnsi="宋体"/>
          <w:color w:val="auto"/>
          <w:szCs w:val="21"/>
        </w:rPr>
      </w:pPr>
      <w:r>
        <w:rPr>
          <w:rFonts w:hint="eastAsia" w:ascii="宋体" w:hAnsi="宋体"/>
          <w:color w:val="auto"/>
          <w:szCs w:val="21"/>
        </w:rPr>
        <w:t>我方在此声明，</w:t>
      </w:r>
      <w:r>
        <w:rPr>
          <w:rFonts w:hint="eastAsia" w:ascii="宋体" w:hAnsi="宋体"/>
          <w:color w:val="auto"/>
        </w:rPr>
        <w:t>截止本招标项目投标截止时间，我方处于</w:t>
      </w:r>
      <w:r>
        <w:rPr>
          <w:rFonts w:hint="eastAsia" w:ascii="宋体" w:hAnsi="宋体"/>
          <w:color w:val="auto"/>
          <w:szCs w:val="21"/>
        </w:rPr>
        <w:t>正常的经营状态，不存在下列任何一种情形：</w:t>
      </w:r>
    </w:p>
    <w:p>
      <w:pPr>
        <w:spacing w:line="400" w:lineRule="exact"/>
        <w:ind w:firstLine="420" w:firstLineChars="200"/>
        <w:rPr>
          <w:rFonts w:hint="eastAsia"/>
          <w:color w:val="auto"/>
        </w:rPr>
      </w:pPr>
      <w:r>
        <w:rPr>
          <w:rFonts w:hint="eastAsia"/>
          <w:color w:val="auto"/>
        </w:rPr>
        <w:t xml:space="preserve">1. 被责令停产停业、暂扣或者吊销许可证、暂扣或者吊销执照； </w:t>
      </w:r>
    </w:p>
    <w:p>
      <w:pPr>
        <w:spacing w:line="400" w:lineRule="exact"/>
        <w:ind w:firstLine="420" w:firstLineChars="200"/>
        <w:rPr>
          <w:rFonts w:hint="eastAsia"/>
          <w:color w:val="auto"/>
        </w:rPr>
      </w:pPr>
      <w:r>
        <w:rPr>
          <w:rFonts w:hint="eastAsia"/>
          <w:color w:val="auto"/>
        </w:rPr>
        <w:t xml:space="preserve">2. 被依法暂停或取消投标资格的（指被本招标项目所在地县级及以上水、住建、公共资源交易监督管理行政主管部门暂停或取消投标资格或禁止进入该区域建设市场且处罚在有效期内或公示期内）； </w:t>
      </w:r>
    </w:p>
    <w:p>
      <w:pPr>
        <w:spacing w:line="400" w:lineRule="exact"/>
        <w:ind w:firstLine="420" w:firstLineChars="200"/>
        <w:rPr>
          <w:rFonts w:hint="eastAsia"/>
          <w:color w:val="auto"/>
        </w:rPr>
      </w:pPr>
      <w:r>
        <w:rPr>
          <w:rFonts w:hint="eastAsia"/>
          <w:color w:val="auto"/>
        </w:rPr>
        <w:t>3. 进入清算程序</w:t>
      </w:r>
      <w:r>
        <w:rPr>
          <w:color w:val="auto"/>
        </w:rPr>
        <w:t>，</w:t>
      </w:r>
      <w:r>
        <w:rPr>
          <w:rFonts w:hint="eastAsia"/>
          <w:color w:val="auto"/>
        </w:rPr>
        <w:t>或</w:t>
      </w:r>
      <w:r>
        <w:rPr>
          <w:color w:val="auto"/>
        </w:rPr>
        <w:t>被宣告破产，或其他丧失履约能力的情形；</w:t>
      </w:r>
    </w:p>
    <w:p>
      <w:pPr>
        <w:spacing w:line="400" w:lineRule="exact"/>
        <w:ind w:firstLine="420" w:firstLineChars="200"/>
        <w:rPr>
          <w:rFonts w:hint="eastAsia"/>
          <w:color w:val="auto"/>
        </w:rPr>
      </w:pPr>
      <w:r>
        <w:rPr>
          <w:rFonts w:hint="eastAsia"/>
          <w:color w:val="auto"/>
        </w:rPr>
        <w:t>4. 在近三年内发生重大工程质量问题</w:t>
      </w:r>
      <w:r>
        <w:rPr>
          <w:color w:val="auto"/>
        </w:rPr>
        <w:t>；</w:t>
      </w:r>
    </w:p>
    <w:p>
      <w:pPr>
        <w:spacing w:line="400" w:lineRule="exact"/>
        <w:ind w:firstLine="420" w:firstLineChars="200"/>
        <w:rPr>
          <w:color w:val="auto"/>
        </w:rPr>
      </w:pPr>
      <w:r>
        <w:rPr>
          <w:rFonts w:hint="eastAsia"/>
          <w:color w:val="auto"/>
        </w:rPr>
        <w:t xml:space="preserve">5. </w:t>
      </w:r>
      <w:r>
        <w:rPr>
          <w:color w:val="auto"/>
        </w:rPr>
        <w:t>被工商行政管理机关</w:t>
      </w:r>
      <w:r>
        <w:rPr>
          <w:rFonts w:hint="eastAsia"/>
          <w:color w:val="auto"/>
        </w:rPr>
        <w:t>（市场</w:t>
      </w:r>
      <w:r>
        <w:rPr>
          <w:color w:val="auto"/>
        </w:rPr>
        <w:t>监管部门</w:t>
      </w:r>
      <w:r>
        <w:rPr>
          <w:rFonts w:hint="eastAsia"/>
          <w:color w:val="auto"/>
        </w:rPr>
        <w:t>）</w:t>
      </w:r>
      <w:r>
        <w:rPr>
          <w:color w:val="auto"/>
        </w:rPr>
        <w:t>在</w:t>
      </w:r>
      <w:r>
        <w:rPr>
          <w:rFonts w:hint="eastAsia"/>
          <w:color w:val="auto"/>
        </w:rPr>
        <w:t>“国家</w:t>
      </w:r>
      <w:r>
        <w:rPr>
          <w:color w:val="auto"/>
        </w:rPr>
        <w:t>企业信用信息公示系统</w:t>
      </w:r>
      <w:r>
        <w:rPr>
          <w:rFonts w:hint="eastAsia"/>
          <w:color w:val="auto"/>
        </w:rPr>
        <w:t>”（</w:t>
      </w:r>
      <w:r>
        <w:rPr>
          <w:color w:val="auto"/>
        </w:rPr>
        <w:t>www.gsxt.gov.cn</w:t>
      </w:r>
      <w:r>
        <w:rPr>
          <w:rFonts w:hint="eastAsia"/>
          <w:color w:val="auto"/>
        </w:rPr>
        <w:t>）</w:t>
      </w:r>
      <w:r>
        <w:rPr>
          <w:color w:val="auto"/>
        </w:rPr>
        <w:t>列入严重违法失信企业名单；</w:t>
      </w:r>
    </w:p>
    <w:p>
      <w:pPr>
        <w:spacing w:line="400" w:lineRule="exact"/>
        <w:ind w:firstLine="420" w:firstLineChars="200"/>
        <w:rPr>
          <w:color w:val="auto"/>
        </w:rPr>
      </w:pPr>
      <w:r>
        <w:rPr>
          <w:rFonts w:hint="eastAsia"/>
          <w:color w:val="auto"/>
        </w:rPr>
        <w:t xml:space="preserve">6. </w:t>
      </w:r>
      <w:r>
        <w:rPr>
          <w:color w:val="auto"/>
        </w:rPr>
        <w:t>被最高人民法院在“信用中国”（www.creditchina.gov.cn）列入失信被执行人名单；</w:t>
      </w:r>
    </w:p>
    <w:p>
      <w:pPr>
        <w:spacing w:line="400" w:lineRule="exact"/>
        <w:ind w:firstLine="420" w:firstLineChars="200"/>
        <w:rPr>
          <w:color w:val="auto"/>
        </w:rPr>
      </w:pPr>
      <w:r>
        <w:rPr>
          <w:rFonts w:hint="eastAsia"/>
          <w:color w:val="auto"/>
        </w:rPr>
        <w:t xml:space="preserve">7. </w:t>
      </w:r>
      <w:r>
        <w:rPr>
          <w:color w:val="auto"/>
        </w:rPr>
        <w:t>近三年内投标人</w:t>
      </w:r>
      <w:r>
        <w:rPr>
          <w:rFonts w:hint="eastAsia"/>
          <w:color w:val="auto"/>
        </w:rPr>
        <w:t>及</w:t>
      </w:r>
      <w:r>
        <w:rPr>
          <w:color w:val="auto"/>
        </w:rPr>
        <w:t>其法定代表人</w:t>
      </w:r>
      <w:r>
        <w:rPr>
          <w:rFonts w:hint="eastAsia"/>
          <w:color w:val="auto"/>
        </w:rPr>
        <w:t>和</w:t>
      </w:r>
      <w:r>
        <w:rPr>
          <w:color w:val="auto"/>
        </w:rPr>
        <w:t>拟任</w:t>
      </w:r>
      <w:r>
        <w:rPr>
          <w:rFonts w:hint="eastAsia"/>
          <w:color w:val="auto"/>
        </w:rPr>
        <w:t>项目经理、技术负责人</w:t>
      </w:r>
      <w:r>
        <w:rPr>
          <w:color w:val="auto"/>
        </w:rPr>
        <w:t>有行贿犯罪行为；</w:t>
      </w:r>
    </w:p>
    <w:p>
      <w:pPr>
        <w:spacing w:line="400" w:lineRule="exact"/>
        <w:ind w:firstLine="420" w:firstLineChars="200"/>
        <w:rPr>
          <w:rFonts w:hint="eastAsia"/>
          <w:color w:val="auto"/>
        </w:rPr>
      </w:pPr>
      <w:r>
        <w:rPr>
          <w:color w:val="auto"/>
        </w:rPr>
        <w:t>8</w:t>
      </w:r>
      <w:r>
        <w:rPr>
          <w:rFonts w:hint="eastAsia"/>
          <w:color w:val="auto"/>
        </w:rPr>
        <w:t>. 因拖欠农民工工资而被县级及以上人社部门作出行政处罚且处于有效期内或公示期内</w:t>
      </w:r>
      <w:r>
        <w:rPr>
          <w:color w:val="auto"/>
        </w:rPr>
        <w:t>；</w:t>
      </w:r>
    </w:p>
    <w:p>
      <w:pPr>
        <w:spacing w:line="400" w:lineRule="exact"/>
        <w:ind w:firstLine="420" w:firstLineChars="200"/>
        <w:rPr>
          <w:rFonts w:hint="eastAsia"/>
          <w:color w:val="auto"/>
        </w:rPr>
      </w:pPr>
      <w:r>
        <w:rPr>
          <w:color w:val="auto"/>
        </w:rPr>
        <w:t>9</w:t>
      </w:r>
      <w:r>
        <w:rPr>
          <w:rFonts w:hint="eastAsia"/>
          <w:color w:val="auto"/>
        </w:rPr>
        <w:t xml:space="preserve">. </w:t>
      </w:r>
      <w:r>
        <w:rPr>
          <w:color w:val="auto"/>
        </w:rPr>
        <w:t>法律法规或投标人须知前附表</w:t>
      </w:r>
      <w:r>
        <w:rPr>
          <w:rFonts w:hint="eastAsia"/>
          <w:color w:val="auto"/>
        </w:rPr>
        <w:t>第1.4.3（16）目</w:t>
      </w:r>
      <w:r>
        <w:rPr>
          <w:color w:val="auto"/>
        </w:rPr>
        <w:t>规定的其他情形。</w:t>
      </w:r>
    </w:p>
    <w:p>
      <w:pPr>
        <w:spacing w:line="440" w:lineRule="exact"/>
        <w:ind w:firstLine="420" w:firstLineChars="200"/>
        <w:rPr>
          <w:rFonts w:hint="eastAsia" w:ascii="宋体" w:hAnsi="宋体"/>
          <w:color w:val="auto"/>
          <w:szCs w:val="21"/>
        </w:rPr>
      </w:pPr>
      <w:r>
        <w:rPr>
          <w:rFonts w:hint="eastAsia" w:ascii="宋体" w:hAnsi="宋体"/>
          <w:color w:val="auto"/>
          <w:szCs w:val="21"/>
        </w:rPr>
        <w:t>我方保证上述信息的真实和准确，并愿意承担因我方就此弄虚作假所引起的一切法律后果。</w:t>
      </w:r>
    </w:p>
    <w:p>
      <w:pPr>
        <w:spacing w:line="440" w:lineRule="exact"/>
        <w:ind w:firstLine="420" w:firstLineChars="200"/>
        <w:rPr>
          <w:rFonts w:hint="eastAsia" w:ascii="宋体" w:hAnsi="宋体"/>
          <w:color w:val="auto"/>
          <w:szCs w:val="21"/>
        </w:rPr>
      </w:pPr>
    </w:p>
    <w:p>
      <w:pPr>
        <w:spacing w:line="440" w:lineRule="exact"/>
        <w:ind w:firstLine="420" w:firstLineChars="200"/>
        <w:rPr>
          <w:rFonts w:hint="eastAsia" w:ascii="宋体" w:hAnsi="宋体"/>
          <w:color w:val="auto"/>
          <w:szCs w:val="21"/>
        </w:rPr>
      </w:pPr>
    </w:p>
    <w:p>
      <w:pPr>
        <w:spacing w:line="440" w:lineRule="exact"/>
        <w:ind w:firstLine="3990" w:firstLineChars="1900"/>
        <w:rPr>
          <w:rFonts w:hint="eastAsia" w:ascii="宋体" w:hAnsi="宋体"/>
          <w:color w:val="auto"/>
          <w:szCs w:val="21"/>
        </w:rPr>
      </w:pPr>
      <w:r>
        <w:rPr>
          <w:rFonts w:hint="eastAsia" w:ascii="宋体" w:hAnsi="宋体"/>
          <w:color w:val="auto"/>
          <w:szCs w:val="21"/>
        </w:rPr>
        <w:t>投标人：</w:t>
      </w:r>
      <w:r>
        <w:rPr>
          <w:rFonts w:hint="eastAsia" w:ascii="宋体" w:hAnsi="宋体"/>
          <w:color w:val="auto"/>
          <w:szCs w:val="21"/>
          <w:u w:val="single"/>
        </w:rPr>
        <w:t xml:space="preserve">                      </w:t>
      </w:r>
      <w:r>
        <w:rPr>
          <w:rFonts w:hint="eastAsia" w:ascii="宋体" w:hAnsi="宋体"/>
          <w:color w:val="auto"/>
          <w:szCs w:val="21"/>
        </w:rPr>
        <w:t>（盖单位章）</w:t>
      </w:r>
    </w:p>
    <w:p>
      <w:pPr>
        <w:spacing w:line="440" w:lineRule="exact"/>
        <w:ind w:firstLine="420" w:firstLineChars="200"/>
        <w:rPr>
          <w:rFonts w:hint="eastAsia" w:ascii="宋体" w:hAnsi="宋体"/>
          <w:color w:val="auto"/>
          <w:szCs w:val="21"/>
        </w:rPr>
      </w:pPr>
    </w:p>
    <w:p>
      <w:pPr>
        <w:spacing w:line="440" w:lineRule="exact"/>
        <w:ind w:left="945" w:leftChars="300" w:hanging="315" w:hangingChars="150"/>
        <w:rPr>
          <w:rFonts w:hint="eastAsia" w:ascii="宋体" w:hAnsi="宋体"/>
          <w:color w:val="auto"/>
          <w:szCs w:val="21"/>
        </w:rPr>
      </w:pPr>
      <w:r>
        <w:rPr>
          <w:rFonts w:hint="eastAsia" w:ascii="宋体" w:hAnsi="宋体"/>
          <w:color w:val="auto"/>
          <w:szCs w:val="21"/>
        </w:rPr>
        <w:t xml:space="preserve">                                              </w:t>
      </w:r>
      <w:r>
        <w:rPr>
          <w:rFonts w:hint="eastAsia" w:ascii="宋体" w:hAnsi="宋体"/>
          <w:color w:val="auto"/>
          <w:szCs w:val="21"/>
          <w:u w:val="single"/>
        </w:rPr>
        <w:t xml:space="preserve">        </w:t>
      </w:r>
      <w:r>
        <w:rPr>
          <w:rFonts w:hint="eastAsia" w:ascii="宋体" w:hAnsi="宋体"/>
          <w:color w:val="auto"/>
          <w:szCs w:val="21"/>
        </w:rPr>
        <w:t xml:space="preserve"> 年 </w:t>
      </w:r>
      <w:r>
        <w:rPr>
          <w:rFonts w:hint="eastAsia" w:ascii="宋体" w:hAnsi="宋体"/>
          <w:color w:val="auto"/>
          <w:szCs w:val="21"/>
          <w:u w:val="single"/>
        </w:rPr>
        <w:t xml:space="preserve">     </w:t>
      </w:r>
      <w:r>
        <w:rPr>
          <w:rFonts w:hint="eastAsia" w:ascii="宋体" w:hAnsi="宋体"/>
          <w:color w:val="auto"/>
          <w:szCs w:val="21"/>
        </w:rPr>
        <w:t xml:space="preserve"> 月 </w:t>
      </w:r>
      <w:r>
        <w:rPr>
          <w:rFonts w:hint="eastAsia" w:ascii="宋体" w:hAnsi="宋体"/>
          <w:color w:val="auto"/>
          <w:szCs w:val="21"/>
          <w:u w:val="single"/>
        </w:rPr>
        <w:t xml:space="preserve">     </w:t>
      </w:r>
      <w:r>
        <w:rPr>
          <w:rFonts w:hint="eastAsia" w:ascii="宋体" w:hAnsi="宋体"/>
          <w:color w:val="auto"/>
          <w:szCs w:val="21"/>
        </w:rPr>
        <w:t xml:space="preserve"> 日</w:t>
      </w:r>
    </w:p>
    <w:p>
      <w:pPr>
        <w:spacing w:line="440" w:lineRule="exact"/>
        <w:ind w:left="630" w:hanging="630" w:hangingChars="300"/>
        <w:rPr>
          <w:rFonts w:hint="eastAsia" w:ascii="宋体" w:hAnsi="宋体"/>
          <w:color w:val="auto"/>
        </w:rPr>
      </w:pPr>
    </w:p>
    <w:p>
      <w:pPr>
        <w:spacing w:line="440" w:lineRule="exact"/>
        <w:ind w:left="630" w:hanging="630" w:hangingChars="300"/>
        <w:rPr>
          <w:rFonts w:hint="eastAsia" w:ascii="宋体" w:hAnsi="宋体"/>
          <w:color w:val="auto"/>
        </w:rPr>
      </w:pPr>
    </w:p>
    <w:p>
      <w:pPr>
        <w:spacing w:line="440" w:lineRule="exact"/>
        <w:ind w:left="630" w:hanging="630" w:hangingChars="300"/>
        <w:rPr>
          <w:rFonts w:hint="eastAsia" w:ascii="宋体" w:hAnsi="宋体"/>
          <w:color w:val="auto"/>
        </w:rPr>
      </w:pPr>
    </w:p>
    <w:p>
      <w:pPr>
        <w:spacing w:line="440" w:lineRule="exact"/>
        <w:ind w:left="630" w:hanging="630" w:hangingChars="300"/>
        <w:rPr>
          <w:rFonts w:hint="eastAsia" w:ascii="宋体" w:hAnsi="宋体"/>
          <w:color w:val="auto"/>
        </w:rPr>
      </w:pPr>
    </w:p>
    <w:p>
      <w:pPr>
        <w:spacing w:line="440" w:lineRule="exact"/>
        <w:ind w:left="630" w:hanging="630" w:hangingChars="300"/>
        <w:rPr>
          <w:rFonts w:hint="eastAsia" w:ascii="宋体" w:hAnsi="宋体"/>
          <w:color w:val="auto"/>
        </w:rPr>
      </w:pPr>
    </w:p>
    <w:p>
      <w:pPr>
        <w:spacing w:line="440" w:lineRule="exact"/>
        <w:ind w:left="630" w:hanging="630" w:hangingChars="300"/>
        <w:rPr>
          <w:rFonts w:hint="eastAsia" w:ascii="宋体" w:hAnsi="宋体"/>
          <w:color w:val="auto"/>
          <w:szCs w:val="21"/>
        </w:rPr>
      </w:pPr>
      <w:r>
        <w:rPr>
          <w:rFonts w:hint="eastAsia" w:ascii="宋体" w:hAnsi="宋体"/>
          <w:color w:val="auto"/>
        </w:rPr>
        <w:t>备注：</w:t>
      </w:r>
      <w:r>
        <w:rPr>
          <w:rFonts w:hint="eastAsia"/>
          <w:color w:val="auto"/>
          <w:szCs w:val="21"/>
        </w:rPr>
        <w:t>投标人应针对第二章“投标人须知”第1.4.3项的要求，在此对其信誉情况做出说明，</w:t>
      </w:r>
      <w:r>
        <w:rPr>
          <w:rFonts w:hint="eastAsia" w:ascii="宋体" w:hAnsi="宋体"/>
          <w:color w:val="auto"/>
        </w:rPr>
        <w:t>如上格式文件所示。</w:t>
      </w:r>
    </w:p>
    <w:p>
      <w:pPr>
        <w:pStyle w:val="87"/>
        <w:jc w:val="center"/>
        <w:outlineLvl w:val="3"/>
        <w:rPr>
          <w:rFonts w:hint="eastAsia"/>
          <w:color w:val="auto"/>
        </w:rPr>
      </w:pPr>
      <w:bookmarkStart w:id="2781" w:name="_Toc18061"/>
      <w:bookmarkStart w:id="2782" w:name="_Toc494315519"/>
      <w:bookmarkStart w:id="2783" w:name="_Toc467365539"/>
      <w:bookmarkStart w:id="2784" w:name="OLE_LINK34"/>
      <w:bookmarkStart w:id="2785" w:name="OLE_LINK33"/>
      <w:r>
        <w:rPr>
          <w:rFonts w:hint="eastAsia"/>
          <w:color w:val="auto"/>
          <w:szCs w:val="24"/>
        </w:rPr>
        <w:t xml:space="preserve">2-2 </w:t>
      </w:r>
      <w:r>
        <w:rPr>
          <w:rFonts w:hint="eastAsia"/>
          <w:color w:val="auto"/>
          <w:szCs w:val="21"/>
        </w:rPr>
        <w:t>严重违法失信企业</w:t>
      </w:r>
      <w:r>
        <w:rPr>
          <w:color w:val="auto"/>
          <w:szCs w:val="24"/>
        </w:rPr>
        <w:t>查询结果</w:t>
      </w:r>
      <w:bookmarkEnd w:id="2781"/>
    </w:p>
    <w:p>
      <w:pPr>
        <w:spacing w:line="400" w:lineRule="atLeast"/>
        <w:ind w:left="840" w:hanging="840" w:hangingChars="400"/>
        <w:rPr>
          <w:rFonts w:hint="eastAsia"/>
          <w:color w:val="auto"/>
          <w:szCs w:val="21"/>
        </w:rPr>
      </w:pP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5000" w:type="pct"/>
            <w:noWrap w:val="0"/>
            <w:vAlign w:val="top"/>
          </w:tcPr>
          <w:p>
            <w:pPr>
              <w:spacing w:line="400" w:lineRule="atLeast"/>
              <w:ind w:left="630" w:hanging="630" w:hangingChars="300"/>
              <w:rPr>
                <w:rFonts w:hint="eastAsia"/>
                <w:color w:val="auto"/>
                <w:szCs w:val="21"/>
              </w:rPr>
            </w:pPr>
          </w:p>
        </w:tc>
      </w:tr>
    </w:tbl>
    <w:p>
      <w:pPr>
        <w:spacing w:before="240" w:beforeLines="100" w:line="400" w:lineRule="exact"/>
        <w:ind w:left="840" w:leftChars="100" w:right="210" w:rightChars="100" w:hanging="630" w:hangingChars="300"/>
        <w:rPr>
          <w:rFonts w:hint="eastAsia"/>
          <w:color w:val="auto"/>
          <w:szCs w:val="21"/>
        </w:rPr>
      </w:pPr>
      <w:r>
        <w:rPr>
          <w:rFonts w:hint="eastAsia"/>
          <w:color w:val="auto"/>
          <w:szCs w:val="21"/>
        </w:rPr>
        <w:t>备注：投标人自行</w:t>
      </w:r>
      <w:r>
        <w:rPr>
          <w:color w:val="auto"/>
          <w:szCs w:val="21"/>
        </w:rPr>
        <w:t>通过</w:t>
      </w:r>
      <w:r>
        <w:rPr>
          <w:rFonts w:hint="eastAsia"/>
          <w:color w:val="auto"/>
          <w:szCs w:val="21"/>
        </w:rPr>
        <w:t>“国家企业信用信息公示系统”</w:t>
      </w:r>
      <w:r>
        <w:rPr>
          <w:color w:val="auto"/>
          <w:szCs w:val="21"/>
        </w:rPr>
        <w:t>（www.gsxt.gov.cn）查询</w:t>
      </w:r>
      <w:r>
        <w:rPr>
          <w:rFonts w:hint="eastAsia"/>
          <w:color w:val="auto"/>
          <w:szCs w:val="21"/>
        </w:rPr>
        <w:t>本单位</w:t>
      </w:r>
      <w:r>
        <w:rPr>
          <w:color w:val="auto"/>
          <w:szCs w:val="21"/>
        </w:rPr>
        <w:t>是否为</w:t>
      </w:r>
      <w:r>
        <w:rPr>
          <w:rFonts w:hint="eastAsia"/>
          <w:color w:val="auto"/>
          <w:szCs w:val="21"/>
        </w:rPr>
        <w:t>严重违法失信企业，并将查询结果“截图”复印件附在本表中。</w:t>
      </w:r>
      <w:r>
        <w:rPr>
          <w:rFonts w:hint="eastAsia"/>
          <w:color w:val="auto"/>
          <w:szCs w:val="21"/>
          <w:highlight w:val="yellow"/>
        </w:rPr>
        <w:t>以信用中国下载的信用信息报告为准。</w:t>
      </w: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pStyle w:val="87"/>
        <w:jc w:val="center"/>
        <w:outlineLvl w:val="3"/>
        <w:rPr>
          <w:rFonts w:hint="eastAsia"/>
          <w:color w:val="auto"/>
        </w:rPr>
      </w:pPr>
      <w:bookmarkStart w:id="2786" w:name="_Toc20652"/>
      <w:r>
        <w:rPr>
          <w:rFonts w:hint="eastAsia"/>
          <w:color w:val="auto"/>
          <w:szCs w:val="24"/>
        </w:rPr>
        <w:t>2-3 失信被执行人</w:t>
      </w:r>
      <w:r>
        <w:rPr>
          <w:color w:val="auto"/>
          <w:szCs w:val="24"/>
        </w:rPr>
        <w:t>查询结果</w:t>
      </w:r>
      <w:bookmarkEnd w:id="2782"/>
      <w:bookmarkEnd w:id="2783"/>
      <w:bookmarkEnd w:id="2786"/>
    </w:p>
    <w:p>
      <w:pPr>
        <w:spacing w:line="400" w:lineRule="atLeast"/>
        <w:ind w:left="840" w:hanging="840" w:hangingChars="400"/>
        <w:rPr>
          <w:rFonts w:hint="eastAsia"/>
          <w:color w:val="auto"/>
          <w:szCs w:val="21"/>
        </w:rPr>
      </w:pP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5000" w:type="pct"/>
            <w:noWrap w:val="0"/>
            <w:vAlign w:val="top"/>
          </w:tcPr>
          <w:p>
            <w:pPr>
              <w:spacing w:line="400" w:lineRule="atLeast"/>
              <w:ind w:left="630" w:hanging="630" w:hangingChars="300"/>
              <w:rPr>
                <w:rFonts w:hint="eastAsia"/>
                <w:color w:val="auto"/>
                <w:szCs w:val="21"/>
              </w:rPr>
            </w:pPr>
          </w:p>
        </w:tc>
      </w:tr>
    </w:tbl>
    <w:p>
      <w:pPr>
        <w:spacing w:before="240" w:beforeLines="100" w:line="400" w:lineRule="exact"/>
        <w:ind w:left="840" w:leftChars="100" w:right="210" w:rightChars="100" w:hanging="630" w:hangingChars="300"/>
        <w:rPr>
          <w:rFonts w:hint="eastAsia"/>
          <w:color w:val="auto"/>
          <w:szCs w:val="21"/>
        </w:rPr>
      </w:pPr>
      <w:r>
        <w:rPr>
          <w:rFonts w:hint="eastAsia"/>
          <w:color w:val="auto"/>
          <w:szCs w:val="21"/>
        </w:rPr>
        <w:t>备注：投标人根据《关于在招标投标活动中对失信被执行人实施联合惩戒的通知》（</w:t>
      </w:r>
      <w:r>
        <w:rPr>
          <w:color w:val="auto"/>
          <w:szCs w:val="21"/>
        </w:rPr>
        <w:t>法〔2016〕285号</w:t>
      </w:r>
      <w:r>
        <w:rPr>
          <w:rFonts w:hint="eastAsia"/>
          <w:color w:val="auto"/>
          <w:szCs w:val="21"/>
        </w:rPr>
        <w:t>）的规定，自行</w:t>
      </w:r>
      <w:r>
        <w:rPr>
          <w:color w:val="auto"/>
          <w:szCs w:val="21"/>
        </w:rPr>
        <w:t>通过“信用中国”（www.creditchina.gov.cn）查询</w:t>
      </w:r>
      <w:r>
        <w:rPr>
          <w:rFonts w:hint="eastAsia"/>
          <w:color w:val="auto"/>
          <w:szCs w:val="21"/>
        </w:rPr>
        <w:t>本单位</w:t>
      </w:r>
      <w:r>
        <w:rPr>
          <w:color w:val="auto"/>
          <w:szCs w:val="21"/>
        </w:rPr>
        <w:t>是否</w:t>
      </w:r>
      <w:r>
        <w:rPr>
          <w:rFonts w:hint="eastAsia"/>
          <w:color w:val="auto"/>
          <w:szCs w:val="21"/>
        </w:rPr>
        <w:t>被最高人民法院列</w:t>
      </w:r>
      <w:r>
        <w:rPr>
          <w:color w:val="auto"/>
          <w:szCs w:val="21"/>
        </w:rPr>
        <w:t>为失信被执行人</w:t>
      </w:r>
      <w:r>
        <w:rPr>
          <w:rFonts w:hint="eastAsia"/>
          <w:color w:val="auto"/>
          <w:szCs w:val="21"/>
        </w:rPr>
        <w:t>，并将查询结果“截图”复印件附在本表中。</w:t>
      </w:r>
    </w:p>
    <w:p>
      <w:pPr>
        <w:rPr>
          <w:rFonts w:hint="eastAsia"/>
          <w:color w:val="auto"/>
        </w:rPr>
      </w:pPr>
    </w:p>
    <w:p>
      <w:pPr>
        <w:rPr>
          <w:rFonts w:hint="eastAsia"/>
          <w:color w:val="auto"/>
        </w:rPr>
      </w:pPr>
      <w:r>
        <w:rPr>
          <w:rFonts w:hint="eastAsia"/>
          <w:color w:val="auto"/>
        </w:rPr>
        <w:t xml:space="preserve">      </w:t>
      </w:r>
    </w:p>
    <w:bookmarkEnd w:id="2784"/>
    <w:bookmarkEnd w:id="2785"/>
    <w:p>
      <w:pPr>
        <w:spacing w:line="400" w:lineRule="exact"/>
        <w:ind w:left="525" w:leftChars="250" w:firstLine="105" w:firstLineChars="50"/>
        <w:rPr>
          <w:rFonts w:hint="eastAsia"/>
          <w:color w:val="auto"/>
        </w:rPr>
      </w:pPr>
    </w:p>
    <w:p>
      <w:pPr>
        <w:spacing w:line="400" w:lineRule="exact"/>
        <w:ind w:left="525" w:leftChars="250" w:firstLine="105" w:firstLineChars="50"/>
        <w:rPr>
          <w:rFonts w:hint="eastAsia"/>
          <w:color w:val="auto"/>
        </w:rPr>
      </w:pPr>
    </w:p>
    <w:p>
      <w:pPr>
        <w:spacing w:line="400" w:lineRule="exact"/>
        <w:ind w:left="525" w:leftChars="250" w:firstLine="105" w:firstLineChars="50"/>
        <w:rPr>
          <w:rFonts w:hint="eastAsia"/>
          <w:color w:val="auto"/>
        </w:rPr>
      </w:pPr>
    </w:p>
    <w:p>
      <w:pPr>
        <w:spacing w:line="400" w:lineRule="exact"/>
        <w:ind w:left="525" w:leftChars="250" w:firstLine="105" w:firstLineChars="50"/>
        <w:rPr>
          <w:rFonts w:hint="eastAsia"/>
          <w:color w:val="auto"/>
        </w:rPr>
      </w:pPr>
    </w:p>
    <w:p>
      <w:pPr>
        <w:spacing w:line="400" w:lineRule="exact"/>
        <w:ind w:left="525" w:leftChars="250" w:firstLine="105" w:firstLineChars="50"/>
        <w:rPr>
          <w:rFonts w:hint="eastAsia"/>
          <w:color w:val="auto"/>
        </w:rPr>
      </w:pPr>
    </w:p>
    <w:p>
      <w:pPr>
        <w:spacing w:line="400" w:lineRule="exact"/>
        <w:rPr>
          <w:rFonts w:hint="eastAsia"/>
          <w:color w:val="auto"/>
        </w:rPr>
      </w:pPr>
    </w:p>
    <w:p>
      <w:pPr>
        <w:pStyle w:val="87"/>
        <w:jc w:val="center"/>
        <w:outlineLvl w:val="3"/>
        <w:rPr>
          <w:rFonts w:hint="eastAsia"/>
          <w:color w:val="auto"/>
          <w:szCs w:val="24"/>
        </w:rPr>
      </w:pPr>
      <w:bookmarkStart w:id="2787" w:name="_Toc456173584"/>
      <w:bookmarkStart w:id="2788" w:name="_Toc494315518"/>
      <w:bookmarkStart w:id="2789" w:name="_Toc32061"/>
      <w:bookmarkStart w:id="2790" w:name="_Toc426496272"/>
      <w:bookmarkStart w:id="2791" w:name="_Toc456173582"/>
      <w:r>
        <w:rPr>
          <w:rFonts w:hint="eastAsia"/>
          <w:color w:val="auto"/>
          <w:szCs w:val="24"/>
        </w:rPr>
        <w:t>2-4无行贿犯罪行为的声明</w:t>
      </w:r>
      <w:bookmarkEnd w:id="2787"/>
      <w:bookmarkEnd w:id="2788"/>
      <w:bookmarkEnd w:id="2789"/>
    </w:p>
    <w:p>
      <w:pPr>
        <w:spacing w:line="400" w:lineRule="exact"/>
        <w:rPr>
          <w:rFonts w:hint="eastAsia"/>
          <w:color w:val="auto"/>
          <w:u w:val="single"/>
        </w:rPr>
      </w:pPr>
    </w:p>
    <w:p>
      <w:pPr>
        <w:spacing w:line="400" w:lineRule="exact"/>
        <w:rPr>
          <w:rFonts w:hint="eastAsia"/>
          <w:color w:val="auto"/>
        </w:rPr>
      </w:pPr>
      <w:r>
        <w:rPr>
          <w:rFonts w:hint="eastAsia"/>
          <w:color w:val="auto"/>
          <w:u w:val="single"/>
        </w:rPr>
        <w:t xml:space="preserve">                </w:t>
      </w:r>
      <w:r>
        <w:rPr>
          <w:rFonts w:hint="eastAsia"/>
          <w:color w:val="auto"/>
        </w:rPr>
        <w:t>（招标人名称）</w:t>
      </w:r>
      <w:r>
        <w:rPr>
          <w:color w:val="auto"/>
        </w:rPr>
        <w:t>：</w:t>
      </w:r>
    </w:p>
    <w:p>
      <w:pPr>
        <w:spacing w:line="400" w:lineRule="exact"/>
        <w:rPr>
          <w:rFonts w:hint="eastAsia"/>
          <w:color w:val="auto"/>
        </w:rPr>
      </w:pPr>
    </w:p>
    <w:p>
      <w:pPr>
        <w:spacing w:line="360" w:lineRule="auto"/>
        <w:ind w:firstLine="420" w:firstLineChars="200"/>
        <w:rPr>
          <w:rFonts w:hint="eastAsia"/>
          <w:color w:val="auto"/>
        </w:rPr>
      </w:pPr>
      <w:r>
        <w:rPr>
          <w:rFonts w:hint="eastAsia"/>
          <w:color w:val="auto"/>
        </w:rPr>
        <w:t>我方在此声明，</w:t>
      </w:r>
      <w:r>
        <w:rPr>
          <w:rFonts w:hint="eastAsia" w:ascii="宋体" w:hAnsi="宋体"/>
          <w:color w:val="auto"/>
        </w:rPr>
        <w:t>截止本招标项目投标截止时间</w:t>
      </w:r>
      <w:r>
        <w:rPr>
          <w:rFonts w:hint="eastAsia"/>
          <w:color w:val="auto"/>
        </w:rPr>
        <w:t>，我单位、法定代表人</w:t>
      </w:r>
      <w:r>
        <w:rPr>
          <w:rFonts w:hint="eastAsia"/>
          <w:color w:val="auto"/>
          <w:u w:val="single"/>
        </w:rPr>
        <w:t xml:space="preserve">         </w:t>
      </w:r>
      <w:r>
        <w:rPr>
          <w:rFonts w:hint="eastAsia"/>
          <w:color w:val="auto"/>
        </w:rPr>
        <w:t>（姓名） 、拟委任的项目经理</w:t>
      </w:r>
      <w:r>
        <w:rPr>
          <w:rFonts w:hint="eastAsia"/>
          <w:color w:val="auto"/>
          <w:u w:val="single"/>
        </w:rPr>
        <w:t xml:space="preserve">        </w:t>
      </w:r>
      <w:r>
        <w:rPr>
          <w:rFonts w:hint="eastAsia"/>
          <w:color w:val="auto"/>
        </w:rPr>
        <w:t>（姓名）、技术负责人</w:t>
      </w:r>
      <w:r>
        <w:rPr>
          <w:rFonts w:hint="eastAsia"/>
          <w:color w:val="auto"/>
          <w:u w:val="single"/>
        </w:rPr>
        <w:t xml:space="preserve">        </w:t>
      </w:r>
      <w:r>
        <w:rPr>
          <w:rFonts w:hint="eastAsia"/>
          <w:color w:val="auto"/>
        </w:rPr>
        <w:t>（姓名）在近三年内（</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日至</w:t>
      </w:r>
      <w:r>
        <w:rPr>
          <w:rFonts w:hint="eastAsia"/>
          <w:color w:val="auto"/>
          <w:u w:val="single"/>
        </w:rPr>
        <w:t xml:space="preserve">     </w:t>
      </w:r>
      <w:r>
        <w:rPr>
          <w:rFonts w:hint="eastAsia"/>
          <w:color w:val="auto"/>
        </w:rPr>
        <w:t>年</w:t>
      </w:r>
      <w:r>
        <w:rPr>
          <w:rFonts w:hint="eastAsia"/>
          <w:color w:val="auto"/>
          <w:u w:val="single"/>
        </w:rPr>
        <w:t xml:space="preserve">    </w:t>
      </w:r>
      <w:r>
        <w:rPr>
          <w:rFonts w:hint="eastAsia"/>
          <w:color w:val="auto"/>
        </w:rPr>
        <w:t>月</w:t>
      </w:r>
      <w:r>
        <w:rPr>
          <w:rFonts w:hint="eastAsia"/>
          <w:color w:val="auto"/>
          <w:u w:val="single"/>
        </w:rPr>
        <w:t xml:space="preserve">    </w:t>
      </w:r>
      <w:r>
        <w:rPr>
          <w:rFonts w:hint="eastAsia"/>
          <w:color w:val="auto"/>
        </w:rPr>
        <w:t>日）不曾有人民法院生效判决、裁定认定的行贿犯罪行为。</w:t>
      </w:r>
    </w:p>
    <w:p>
      <w:pPr>
        <w:spacing w:line="360" w:lineRule="auto"/>
        <w:ind w:firstLine="420" w:firstLineChars="200"/>
        <w:rPr>
          <w:rFonts w:hint="eastAsia"/>
          <w:color w:val="auto"/>
        </w:rPr>
      </w:pPr>
      <w:r>
        <w:rPr>
          <w:rFonts w:hint="eastAsia"/>
          <w:color w:val="auto"/>
        </w:rPr>
        <w:t>我方对上述声明的真实性负责。如有虚假，将依法承担相应责任。</w:t>
      </w:r>
    </w:p>
    <w:p>
      <w:pPr>
        <w:spacing w:line="400" w:lineRule="exact"/>
        <w:ind w:firstLine="420" w:firstLineChars="200"/>
        <w:rPr>
          <w:color w:val="auto"/>
        </w:rPr>
      </w:pPr>
    </w:p>
    <w:p>
      <w:pPr>
        <w:snapToGrid w:val="0"/>
        <w:spacing w:line="520" w:lineRule="exact"/>
        <w:ind w:firstLine="2775" w:firstLineChars="771"/>
        <w:rPr>
          <w:rStyle w:val="78"/>
          <w:rFonts w:ascii="宋体" w:hAnsi="宋体"/>
          <w:color w:val="auto"/>
          <w:sz w:val="36"/>
        </w:rPr>
      </w:pPr>
    </w:p>
    <w:p>
      <w:pPr>
        <w:spacing w:line="400" w:lineRule="exact"/>
        <w:ind w:firstLine="480" w:firstLineChars="200"/>
        <w:jc w:val="right"/>
        <w:rPr>
          <w:color w:val="auto"/>
        </w:rPr>
      </w:pPr>
      <w:r>
        <w:rPr>
          <w:rFonts w:hint="eastAsia" w:ascii="宋体" w:hAnsi="宋体"/>
          <w:color w:val="auto"/>
          <w:sz w:val="24"/>
        </w:rPr>
        <w:t xml:space="preserve">     </w:t>
      </w:r>
      <w:r>
        <w:rPr>
          <w:rFonts w:hint="eastAsia"/>
          <w:color w:val="auto"/>
        </w:rPr>
        <w:t xml:space="preserve">  投标人</w:t>
      </w:r>
      <w:r>
        <w:rPr>
          <w:color w:val="auto"/>
        </w:rPr>
        <w:t>：________________（盖单位章）</w:t>
      </w:r>
    </w:p>
    <w:p>
      <w:pPr>
        <w:wordWrap w:val="0"/>
        <w:spacing w:line="400" w:lineRule="exact"/>
        <w:ind w:firstLine="420" w:firstLineChars="200"/>
        <w:jc w:val="right"/>
        <w:rPr>
          <w:rFonts w:hint="eastAsia"/>
          <w:color w:val="auto"/>
        </w:rPr>
      </w:pPr>
      <w:r>
        <w:rPr>
          <w:rFonts w:hint="eastAsia"/>
          <w:color w:val="auto"/>
        </w:rPr>
        <w:t xml:space="preserve">   </w:t>
      </w:r>
    </w:p>
    <w:p>
      <w:pPr>
        <w:spacing w:line="400" w:lineRule="exact"/>
        <w:ind w:firstLine="420" w:firstLineChars="200"/>
        <w:jc w:val="right"/>
        <w:rPr>
          <w:color w:val="auto"/>
        </w:rPr>
      </w:pPr>
      <w:r>
        <w:rPr>
          <w:color w:val="auto"/>
        </w:rPr>
        <w:t>法定代表人：</w:t>
      </w:r>
      <w:r>
        <w:rPr>
          <w:color w:val="auto"/>
          <w:u w:val="single"/>
        </w:rPr>
        <w:t xml:space="preserve">         </w:t>
      </w:r>
      <w:r>
        <w:rPr>
          <w:rFonts w:hint="eastAsia"/>
          <w:color w:val="auto"/>
          <w:u w:val="single"/>
        </w:rPr>
        <w:t xml:space="preserve"> </w:t>
      </w:r>
      <w:r>
        <w:rPr>
          <w:color w:val="auto"/>
          <w:u w:val="single"/>
        </w:rPr>
        <w:t xml:space="preserve">      </w:t>
      </w:r>
      <w:r>
        <w:rPr>
          <w:color w:val="auto"/>
        </w:rPr>
        <w:t>（签字</w:t>
      </w:r>
      <w:r>
        <w:rPr>
          <w:rFonts w:hint="eastAsia"/>
          <w:color w:val="auto"/>
        </w:rPr>
        <w:t>或盖章</w:t>
      </w:r>
      <w:r>
        <w:rPr>
          <w:color w:val="auto"/>
        </w:rPr>
        <w:t>）</w:t>
      </w:r>
    </w:p>
    <w:p>
      <w:pPr>
        <w:spacing w:line="400" w:lineRule="exact"/>
        <w:ind w:firstLine="420" w:firstLineChars="200"/>
        <w:jc w:val="right"/>
        <w:rPr>
          <w:rFonts w:hint="eastAsia"/>
          <w:color w:val="auto"/>
        </w:rPr>
      </w:pPr>
    </w:p>
    <w:p>
      <w:pPr>
        <w:spacing w:line="400" w:lineRule="exact"/>
        <w:ind w:firstLine="420" w:firstLineChars="200"/>
        <w:jc w:val="right"/>
        <w:rPr>
          <w:rFonts w:hint="eastAsia"/>
          <w:color w:val="auto"/>
        </w:rPr>
      </w:pPr>
      <w:r>
        <w:rPr>
          <w:color w:val="auto"/>
          <w:u w:val="single"/>
        </w:rPr>
        <w:t xml:space="preserve">       </w:t>
      </w:r>
      <w:r>
        <w:rPr>
          <w:color w:val="auto"/>
        </w:rPr>
        <w:t>年</w:t>
      </w:r>
      <w:r>
        <w:rPr>
          <w:color w:val="auto"/>
          <w:u w:val="single"/>
        </w:rPr>
        <w:t xml:space="preserve"> </w:t>
      </w:r>
      <w:r>
        <w:rPr>
          <w:rFonts w:hint="eastAsia"/>
          <w:color w:val="auto"/>
          <w:u w:val="single"/>
        </w:rPr>
        <w:t xml:space="preserve">  </w:t>
      </w:r>
      <w:r>
        <w:rPr>
          <w:color w:val="auto"/>
          <w:u w:val="single"/>
        </w:rPr>
        <w:t xml:space="preserve">  </w:t>
      </w:r>
      <w:r>
        <w:rPr>
          <w:color w:val="auto"/>
        </w:rPr>
        <w:t>月</w:t>
      </w:r>
      <w:r>
        <w:rPr>
          <w:color w:val="auto"/>
          <w:u w:val="single"/>
        </w:rPr>
        <w:t xml:space="preserve">    </w:t>
      </w:r>
      <w:r>
        <w:rPr>
          <w:color w:val="auto"/>
        </w:rPr>
        <w:t>日</w:t>
      </w:r>
    </w:p>
    <w:p>
      <w:pPr>
        <w:spacing w:line="400" w:lineRule="atLeast"/>
        <w:ind w:left="840" w:hanging="840" w:hangingChars="400"/>
        <w:rPr>
          <w:rFonts w:hint="eastAsia"/>
          <w:color w:val="auto"/>
          <w:szCs w:val="21"/>
        </w:rPr>
      </w:pPr>
    </w:p>
    <w:p>
      <w:pPr>
        <w:spacing w:line="400" w:lineRule="atLeast"/>
        <w:ind w:left="840" w:hanging="840" w:hangingChars="400"/>
        <w:rPr>
          <w:rFonts w:hint="eastAsia"/>
          <w:color w:val="auto"/>
          <w:szCs w:val="21"/>
        </w:rPr>
      </w:pPr>
    </w:p>
    <w:p>
      <w:pPr>
        <w:spacing w:line="400" w:lineRule="atLeast"/>
        <w:ind w:left="840" w:hanging="840" w:hangingChars="400"/>
        <w:rPr>
          <w:rFonts w:hint="eastAsia"/>
          <w:color w:val="auto"/>
          <w:szCs w:val="21"/>
        </w:rPr>
      </w:pPr>
    </w:p>
    <w:p>
      <w:pPr>
        <w:spacing w:line="400" w:lineRule="atLeast"/>
        <w:ind w:left="840" w:hanging="840" w:hangingChars="400"/>
        <w:rPr>
          <w:rFonts w:hint="eastAsia" w:ascii="宋体" w:hAnsi="宋体"/>
          <w:color w:val="auto"/>
        </w:rPr>
      </w:pPr>
      <w:r>
        <w:rPr>
          <w:rFonts w:hint="eastAsia" w:ascii="宋体" w:hAnsi="宋体"/>
          <w:color w:val="auto"/>
        </w:rPr>
        <w:t>备注：1. 近三年是指从投标截止日往前推算的3年，如投标截止日为</w:t>
      </w:r>
      <w:r>
        <w:rPr>
          <w:rFonts w:ascii="宋体" w:hAnsi="宋体"/>
          <w:color w:val="auto"/>
        </w:rPr>
        <w:t>2020</w:t>
      </w:r>
      <w:r>
        <w:rPr>
          <w:rFonts w:hint="eastAsia" w:ascii="宋体" w:hAnsi="宋体"/>
          <w:color w:val="auto"/>
        </w:rPr>
        <w:t>年</w:t>
      </w:r>
      <w:r>
        <w:rPr>
          <w:rFonts w:ascii="宋体" w:hAnsi="宋体"/>
          <w:color w:val="auto"/>
        </w:rPr>
        <w:t>7</w:t>
      </w:r>
      <w:r>
        <w:rPr>
          <w:rFonts w:hint="eastAsia" w:ascii="宋体" w:hAnsi="宋体"/>
          <w:color w:val="auto"/>
        </w:rPr>
        <w:t>月</w:t>
      </w:r>
      <w:r>
        <w:rPr>
          <w:rFonts w:ascii="宋体" w:hAnsi="宋体"/>
          <w:color w:val="auto"/>
        </w:rPr>
        <w:t>1</w:t>
      </w:r>
      <w:r>
        <w:rPr>
          <w:rFonts w:hint="eastAsia" w:ascii="宋体" w:hAnsi="宋体"/>
          <w:color w:val="auto"/>
        </w:rPr>
        <w:t>日，则近三年是指</w:t>
      </w:r>
      <w:r>
        <w:rPr>
          <w:rFonts w:ascii="宋体" w:hAnsi="宋体"/>
          <w:color w:val="auto"/>
        </w:rPr>
        <w:t>2017</w:t>
      </w:r>
      <w:r>
        <w:rPr>
          <w:rFonts w:hint="eastAsia" w:ascii="宋体" w:hAnsi="宋体"/>
          <w:color w:val="auto"/>
        </w:rPr>
        <w:t>年</w:t>
      </w:r>
      <w:r>
        <w:rPr>
          <w:rFonts w:ascii="宋体" w:hAnsi="宋体"/>
          <w:color w:val="auto"/>
        </w:rPr>
        <w:t>7</w:t>
      </w:r>
      <w:r>
        <w:rPr>
          <w:rFonts w:hint="eastAsia" w:ascii="宋体" w:hAnsi="宋体"/>
          <w:color w:val="auto"/>
        </w:rPr>
        <w:t>月</w:t>
      </w:r>
      <w:r>
        <w:rPr>
          <w:rFonts w:ascii="宋体" w:hAnsi="宋体"/>
          <w:color w:val="auto"/>
        </w:rPr>
        <w:t>1</w:t>
      </w:r>
      <w:r>
        <w:rPr>
          <w:rFonts w:hint="eastAsia" w:ascii="宋体" w:hAnsi="宋体"/>
          <w:color w:val="auto"/>
        </w:rPr>
        <w:t>日至</w:t>
      </w:r>
      <w:r>
        <w:rPr>
          <w:rFonts w:ascii="宋体" w:hAnsi="宋体"/>
          <w:color w:val="auto"/>
        </w:rPr>
        <w:t>2020</w:t>
      </w:r>
      <w:r>
        <w:rPr>
          <w:rFonts w:hint="eastAsia" w:ascii="宋体" w:hAnsi="宋体"/>
          <w:color w:val="auto"/>
        </w:rPr>
        <w:t>年</w:t>
      </w:r>
      <w:r>
        <w:rPr>
          <w:rFonts w:ascii="宋体" w:hAnsi="宋体"/>
          <w:color w:val="auto"/>
        </w:rPr>
        <w:t>6</w:t>
      </w:r>
      <w:r>
        <w:rPr>
          <w:rFonts w:hint="eastAsia" w:ascii="宋体" w:hAnsi="宋体"/>
          <w:color w:val="auto"/>
        </w:rPr>
        <w:t>月</w:t>
      </w:r>
      <w:r>
        <w:rPr>
          <w:rFonts w:ascii="宋体" w:hAnsi="宋体"/>
          <w:color w:val="auto"/>
        </w:rPr>
        <w:t>30</w:t>
      </w:r>
      <w:r>
        <w:rPr>
          <w:rFonts w:hint="eastAsia" w:ascii="宋体" w:hAnsi="宋体"/>
          <w:color w:val="auto"/>
        </w:rPr>
        <w:t>日。</w:t>
      </w:r>
    </w:p>
    <w:p>
      <w:pPr>
        <w:spacing w:line="400" w:lineRule="atLeast"/>
        <w:ind w:firstLine="630" w:firstLineChars="300"/>
        <w:rPr>
          <w:rFonts w:hint="eastAsia" w:ascii="宋体" w:hAnsi="宋体"/>
          <w:color w:val="auto"/>
        </w:rPr>
      </w:pPr>
      <w:r>
        <w:rPr>
          <w:rFonts w:hint="eastAsia" w:ascii="宋体" w:hAnsi="宋体"/>
          <w:color w:val="auto"/>
        </w:rPr>
        <w:t>2. 联合体投标的，联合体各成员单位均应按要求做出声明。</w:t>
      </w: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spacing w:before="240" w:beforeLines="100" w:line="400" w:lineRule="exact"/>
        <w:ind w:left="840" w:leftChars="100" w:right="210" w:rightChars="100" w:hanging="630" w:hangingChars="300"/>
        <w:rPr>
          <w:rFonts w:hint="eastAsia"/>
          <w:color w:val="auto"/>
          <w:szCs w:val="21"/>
        </w:rPr>
      </w:pPr>
    </w:p>
    <w:p>
      <w:pPr>
        <w:pStyle w:val="87"/>
        <w:jc w:val="center"/>
        <w:outlineLvl w:val="3"/>
        <w:rPr>
          <w:rFonts w:hint="eastAsia" w:ascii="黑体" w:hAnsi="黑体"/>
          <w:color w:val="auto"/>
          <w:sz w:val="28"/>
          <w:szCs w:val="28"/>
        </w:rPr>
      </w:pPr>
      <w:bookmarkStart w:id="2792" w:name="_Toc19503"/>
      <w:bookmarkStart w:id="2793" w:name="_Toc494315520"/>
      <w:bookmarkStart w:id="2794" w:name="_Toc456173583"/>
      <w:r>
        <w:rPr>
          <w:rFonts w:hint="eastAsia"/>
          <w:color w:val="auto"/>
          <w:szCs w:val="24"/>
        </w:rPr>
        <w:t xml:space="preserve">2-5 </w:t>
      </w:r>
      <w:r>
        <w:rPr>
          <w:color w:val="auto"/>
          <w:szCs w:val="24"/>
        </w:rPr>
        <w:t>水利市场信用</w:t>
      </w:r>
      <w:r>
        <w:rPr>
          <w:rFonts w:hint="eastAsia"/>
          <w:color w:val="auto"/>
          <w:szCs w:val="24"/>
        </w:rPr>
        <w:t>、</w:t>
      </w:r>
      <w:r>
        <w:rPr>
          <w:color w:val="auto"/>
          <w:szCs w:val="24"/>
        </w:rPr>
        <w:t>安全生产标准化</w:t>
      </w:r>
      <w:r>
        <w:rPr>
          <w:rFonts w:hint="eastAsia"/>
          <w:color w:val="auto"/>
          <w:szCs w:val="24"/>
        </w:rPr>
        <w:t>、获得奖励、管理体系认证、</w:t>
      </w:r>
      <w:r>
        <w:rPr>
          <w:color w:val="auto"/>
          <w:szCs w:val="24"/>
        </w:rPr>
        <w:t>守合同重信用情况</w:t>
      </w:r>
      <w:bookmarkEnd w:id="2792"/>
      <w:bookmarkEnd w:id="2793"/>
      <w:bookmarkEnd w:id="2794"/>
    </w:p>
    <w:p>
      <w:pPr>
        <w:rPr>
          <w:rFonts w:hint="eastAsia"/>
          <w:color w:val="auto"/>
        </w:rPr>
      </w:pPr>
      <w:bookmarkStart w:id="2795" w:name="_Toc491089840"/>
    </w:p>
    <w:p>
      <w:pPr>
        <w:pStyle w:val="87"/>
        <w:spacing w:before="120" w:beforeLines="50" w:after="120" w:afterLines="50"/>
        <w:jc w:val="center"/>
        <w:outlineLvl w:val="4"/>
        <w:rPr>
          <w:rFonts w:hint="eastAsia"/>
          <w:color w:val="auto"/>
        </w:rPr>
      </w:pPr>
      <w:bookmarkStart w:id="2796" w:name="_Toc494315521"/>
      <w:bookmarkStart w:id="2797" w:name="_Toc284"/>
      <w:r>
        <w:rPr>
          <w:rFonts w:hint="eastAsia"/>
          <w:color w:val="auto"/>
        </w:rPr>
        <w:t>1.</w:t>
      </w:r>
      <w:r>
        <w:rPr>
          <w:color w:val="auto"/>
        </w:rPr>
        <w:t>水利市场信用</w:t>
      </w:r>
      <w:bookmarkEnd w:id="2795"/>
      <w:r>
        <w:rPr>
          <w:rFonts w:hint="eastAsia"/>
          <w:color w:val="auto"/>
        </w:rPr>
        <w:t>情况</w:t>
      </w:r>
      <w:bookmarkEnd w:id="2796"/>
      <w:bookmarkEnd w:id="2797"/>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2128"/>
        <w:gridCol w:w="1984"/>
        <w:gridCol w:w="2270"/>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2" w:type="pct"/>
            <w:noWrap w:val="0"/>
            <w:vAlign w:val="center"/>
          </w:tcPr>
          <w:p>
            <w:pPr>
              <w:topLinePunct/>
              <w:jc w:val="center"/>
              <w:rPr>
                <w:rFonts w:hint="eastAsia"/>
                <w:color w:val="auto"/>
              </w:rPr>
            </w:pPr>
            <w:r>
              <w:rPr>
                <w:rFonts w:hint="eastAsia"/>
                <w:color w:val="auto"/>
              </w:rPr>
              <w:t>序号</w:t>
            </w:r>
          </w:p>
        </w:tc>
        <w:tc>
          <w:tcPr>
            <w:tcW w:w="1152" w:type="pct"/>
            <w:noWrap w:val="0"/>
            <w:vAlign w:val="center"/>
          </w:tcPr>
          <w:p>
            <w:pPr>
              <w:topLinePunct/>
              <w:jc w:val="center"/>
              <w:rPr>
                <w:rFonts w:hint="eastAsia"/>
                <w:color w:val="auto"/>
              </w:rPr>
            </w:pPr>
            <w:r>
              <w:rPr>
                <w:color w:val="auto"/>
              </w:rPr>
              <w:t>信用评价</w:t>
            </w:r>
            <w:r>
              <w:rPr>
                <w:rFonts w:hint="eastAsia"/>
                <w:color w:val="auto"/>
              </w:rPr>
              <w:t>等级</w:t>
            </w:r>
          </w:p>
        </w:tc>
        <w:tc>
          <w:tcPr>
            <w:tcW w:w="1074" w:type="pct"/>
            <w:noWrap w:val="0"/>
            <w:vAlign w:val="center"/>
          </w:tcPr>
          <w:p>
            <w:pPr>
              <w:topLinePunct/>
              <w:jc w:val="center"/>
              <w:rPr>
                <w:rFonts w:hint="eastAsia"/>
                <w:color w:val="auto"/>
              </w:rPr>
            </w:pPr>
            <w:r>
              <w:rPr>
                <w:rFonts w:hint="eastAsia"/>
                <w:color w:val="auto"/>
              </w:rPr>
              <w:t>评价结果公布日期</w:t>
            </w:r>
          </w:p>
        </w:tc>
        <w:tc>
          <w:tcPr>
            <w:tcW w:w="1229" w:type="pct"/>
            <w:noWrap w:val="0"/>
            <w:vAlign w:val="center"/>
          </w:tcPr>
          <w:p>
            <w:pPr>
              <w:topLinePunct/>
              <w:jc w:val="center"/>
              <w:rPr>
                <w:rFonts w:hint="eastAsia"/>
                <w:color w:val="auto"/>
              </w:rPr>
            </w:pPr>
            <w:r>
              <w:rPr>
                <w:rFonts w:hint="eastAsia"/>
                <w:color w:val="auto"/>
              </w:rPr>
              <w:t>评价单位</w:t>
            </w:r>
          </w:p>
        </w:tc>
        <w:tc>
          <w:tcPr>
            <w:tcW w:w="1103" w:type="pct"/>
            <w:noWrap w:val="0"/>
            <w:vAlign w:val="center"/>
          </w:tcPr>
          <w:p>
            <w:pPr>
              <w:topLinePunct/>
              <w:jc w:val="center"/>
              <w:rPr>
                <w:rFonts w:hint="eastAsia"/>
                <w:color w:val="auto"/>
              </w:rPr>
            </w:pPr>
            <w:r>
              <w:rPr>
                <w:rFonts w:hint="eastAsia"/>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2" w:type="pct"/>
            <w:noWrap w:val="0"/>
            <w:vAlign w:val="center"/>
          </w:tcPr>
          <w:p>
            <w:pPr>
              <w:topLinePunct/>
              <w:jc w:val="center"/>
              <w:rPr>
                <w:color w:val="auto"/>
              </w:rPr>
            </w:pPr>
          </w:p>
        </w:tc>
        <w:tc>
          <w:tcPr>
            <w:tcW w:w="1152" w:type="pct"/>
            <w:noWrap w:val="0"/>
            <w:vAlign w:val="center"/>
          </w:tcPr>
          <w:p>
            <w:pPr>
              <w:topLinePunct/>
              <w:jc w:val="center"/>
              <w:rPr>
                <w:color w:val="auto"/>
              </w:rPr>
            </w:pPr>
          </w:p>
        </w:tc>
        <w:tc>
          <w:tcPr>
            <w:tcW w:w="1074" w:type="pct"/>
            <w:noWrap w:val="0"/>
            <w:vAlign w:val="center"/>
          </w:tcPr>
          <w:p>
            <w:pPr>
              <w:topLinePunct/>
              <w:jc w:val="center"/>
              <w:rPr>
                <w:color w:val="auto"/>
              </w:rPr>
            </w:pPr>
          </w:p>
        </w:tc>
        <w:tc>
          <w:tcPr>
            <w:tcW w:w="1229" w:type="pct"/>
            <w:noWrap w:val="0"/>
            <w:vAlign w:val="center"/>
          </w:tcPr>
          <w:p>
            <w:pPr>
              <w:topLinePunct/>
              <w:jc w:val="center"/>
              <w:rPr>
                <w:color w:val="auto"/>
              </w:rPr>
            </w:pPr>
          </w:p>
        </w:tc>
        <w:tc>
          <w:tcPr>
            <w:tcW w:w="1103" w:type="pct"/>
            <w:noWrap w:val="0"/>
            <w:vAlign w:val="top"/>
          </w:tcPr>
          <w:p>
            <w:pPr>
              <w:topLinePun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42" w:type="pct"/>
            <w:noWrap w:val="0"/>
            <w:vAlign w:val="center"/>
          </w:tcPr>
          <w:p>
            <w:pPr>
              <w:topLinePunct/>
              <w:jc w:val="center"/>
              <w:rPr>
                <w:color w:val="auto"/>
              </w:rPr>
            </w:pPr>
          </w:p>
        </w:tc>
        <w:tc>
          <w:tcPr>
            <w:tcW w:w="1152" w:type="pct"/>
            <w:noWrap w:val="0"/>
            <w:vAlign w:val="center"/>
          </w:tcPr>
          <w:p>
            <w:pPr>
              <w:topLinePunct/>
              <w:jc w:val="center"/>
              <w:rPr>
                <w:color w:val="auto"/>
              </w:rPr>
            </w:pPr>
          </w:p>
        </w:tc>
        <w:tc>
          <w:tcPr>
            <w:tcW w:w="1074" w:type="pct"/>
            <w:noWrap w:val="0"/>
            <w:vAlign w:val="center"/>
          </w:tcPr>
          <w:p>
            <w:pPr>
              <w:topLinePunct/>
              <w:jc w:val="center"/>
              <w:rPr>
                <w:color w:val="auto"/>
              </w:rPr>
            </w:pPr>
          </w:p>
        </w:tc>
        <w:tc>
          <w:tcPr>
            <w:tcW w:w="1229" w:type="pct"/>
            <w:noWrap w:val="0"/>
            <w:vAlign w:val="center"/>
          </w:tcPr>
          <w:p>
            <w:pPr>
              <w:topLinePunct/>
              <w:jc w:val="center"/>
              <w:rPr>
                <w:color w:val="auto"/>
              </w:rPr>
            </w:pPr>
          </w:p>
        </w:tc>
        <w:tc>
          <w:tcPr>
            <w:tcW w:w="1103" w:type="pct"/>
            <w:noWrap w:val="0"/>
            <w:vAlign w:val="top"/>
          </w:tcPr>
          <w:p>
            <w:pPr>
              <w:topLinePunct/>
              <w:jc w:val="center"/>
              <w:rPr>
                <w:color w:val="auto"/>
              </w:rPr>
            </w:pPr>
          </w:p>
        </w:tc>
      </w:tr>
    </w:tbl>
    <w:p>
      <w:pPr>
        <w:spacing w:line="400" w:lineRule="exact"/>
        <w:ind w:left="630" w:hanging="630" w:hangingChars="300"/>
        <w:rPr>
          <w:rFonts w:hint="eastAsia"/>
          <w:color w:val="auto"/>
          <w:szCs w:val="21"/>
        </w:rPr>
      </w:pPr>
      <w:r>
        <w:rPr>
          <w:rFonts w:hint="eastAsia"/>
          <w:color w:val="auto"/>
          <w:szCs w:val="21"/>
        </w:rPr>
        <w:t>备注：本表后附湖北省水利建设市场主体信用信息平台证明材料复印件</w:t>
      </w:r>
      <w:r>
        <w:rPr>
          <w:rFonts w:hint="eastAsia" w:ascii="宋体" w:hAnsi="宋体"/>
          <w:b/>
          <w:color w:val="auto"/>
        </w:rPr>
        <w:t>（《湖北省水利建设市场主体信用信息平台》网站导出的标注有二维码的材料，</w:t>
      </w:r>
      <w:r>
        <w:rPr>
          <w:rFonts w:hint="eastAsia"/>
          <w:color w:val="auto"/>
          <w:szCs w:val="21"/>
        </w:rPr>
        <w:t>包括信息表以及证书等附件），获得的市场信用等级以水利部网站公告的等级为准。</w:t>
      </w: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spacing w:line="400" w:lineRule="exact"/>
        <w:ind w:left="630" w:hanging="630" w:hangingChars="300"/>
        <w:rPr>
          <w:rFonts w:hint="eastAsia"/>
          <w:color w:val="auto"/>
          <w:szCs w:val="21"/>
        </w:rPr>
      </w:pPr>
    </w:p>
    <w:p>
      <w:pPr>
        <w:pStyle w:val="87"/>
        <w:spacing w:before="120" w:beforeLines="50" w:after="120" w:afterLines="50"/>
        <w:jc w:val="center"/>
        <w:outlineLvl w:val="4"/>
        <w:rPr>
          <w:rFonts w:hint="eastAsia"/>
          <w:color w:val="auto"/>
        </w:rPr>
      </w:pPr>
      <w:bookmarkStart w:id="2798" w:name="_Toc491089841"/>
      <w:bookmarkStart w:id="2799" w:name="_Toc24059"/>
      <w:bookmarkStart w:id="2800" w:name="_Toc494315522"/>
      <w:r>
        <w:rPr>
          <w:rFonts w:hint="eastAsia"/>
          <w:color w:val="auto"/>
        </w:rPr>
        <w:t>2.安全生产标准化</w:t>
      </w:r>
      <w:bookmarkEnd w:id="2798"/>
      <w:r>
        <w:rPr>
          <w:rFonts w:hint="eastAsia"/>
          <w:color w:val="auto"/>
        </w:rPr>
        <w:t>情况</w:t>
      </w:r>
      <w:bookmarkEnd w:id="2799"/>
      <w:bookmarkEnd w:id="2800"/>
    </w:p>
    <w:tbl>
      <w:tblPr>
        <w:tblStyle w:val="38"/>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2115"/>
        <w:gridCol w:w="1560"/>
        <w:gridCol w:w="2693"/>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rPr>
            </w:pPr>
            <w:r>
              <w:rPr>
                <w:rFonts w:hint="eastAsia"/>
                <w:color w:val="auto"/>
              </w:rPr>
              <w:t>序号</w:t>
            </w:r>
          </w:p>
        </w:tc>
        <w:tc>
          <w:tcPr>
            <w:tcW w:w="2115" w:type="dxa"/>
            <w:noWrap w:val="0"/>
            <w:vAlign w:val="center"/>
          </w:tcPr>
          <w:p>
            <w:pPr>
              <w:topLinePunct/>
              <w:jc w:val="center"/>
              <w:rPr>
                <w:color w:val="auto"/>
              </w:rPr>
            </w:pPr>
            <w:r>
              <w:rPr>
                <w:color w:val="auto"/>
              </w:rPr>
              <w:t>安全生产标准化等级</w:t>
            </w:r>
          </w:p>
        </w:tc>
        <w:tc>
          <w:tcPr>
            <w:tcW w:w="1560" w:type="dxa"/>
            <w:noWrap w:val="0"/>
            <w:vAlign w:val="center"/>
          </w:tcPr>
          <w:p>
            <w:pPr>
              <w:topLinePunct/>
              <w:jc w:val="center"/>
              <w:rPr>
                <w:color w:val="auto"/>
              </w:rPr>
            </w:pPr>
            <w:r>
              <w:rPr>
                <w:rFonts w:hint="eastAsia"/>
                <w:color w:val="auto"/>
              </w:rPr>
              <w:t>颁证日期</w:t>
            </w:r>
          </w:p>
        </w:tc>
        <w:tc>
          <w:tcPr>
            <w:tcW w:w="2693" w:type="dxa"/>
            <w:noWrap w:val="0"/>
            <w:vAlign w:val="center"/>
          </w:tcPr>
          <w:p>
            <w:pPr>
              <w:topLinePunct/>
              <w:jc w:val="center"/>
              <w:rPr>
                <w:color w:val="auto"/>
              </w:rPr>
            </w:pPr>
            <w:r>
              <w:rPr>
                <w:rFonts w:hint="eastAsia"/>
                <w:color w:val="auto"/>
              </w:rPr>
              <w:t>颁证单位</w:t>
            </w:r>
          </w:p>
        </w:tc>
        <w:tc>
          <w:tcPr>
            <w:tcW w:w="1984" w:type="dxa"/>
            <w:noWrap w:val="0"/>
            <w:vAlign w:val="center"/>
          </w:tcPr>
          <w:p>
            <w:pPr>
              <w:topLinePunct/>
              <w:jc w:val="center"/>
              <w:rPr>
                <w:rFonts w:hint="eastAsia"/>
                <w:color w:val="auto"/>
              </w:rPr>
            </w:pPr>
            <w:r>
              <w:rPr>
                <w:rFonts w:hint="eastAsia"/>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rPr>
            </w:pPr>
          </w:p>
        </w:tc>
        <w:tc>
          <w:tcPr>
            <w:tcW w:w="2115" w:type="dxa"/>
            <w:noWrap w:val="0"/>
            <w:vAlign w:val="center"/>
          </w:tcPr>
          <w:p>
            <w:pPr>
              <w:topLinePunct/>
              <w:jc w:val="center"/>
              <w:rPr>
                <w:color w:val="auto"/>
              </w:rPr>
            </w:pPr>
          </w:p>
        </w:tc>
        <w:tc>
          <w:tcPr>
            <w:tcW w:w="1560" w:type="dxa"/>
            <w:noWrap w:val="0"/>
            <w:vAlign w:val="center"/>
          </w:tcPr>
          <w:p>
            <w:pPr>
              <w:topLinePunct/>
              <w:jc w:val="center"/>
              <w:rPr>
                <w:color w:val="auto"/>
              </w:rPr>
            </w:pPr>
          </w:p>
        </w:tc>
        <w:tc>
          <w:tcPr>
            <w:tcW w:w="2693" w:type="dxa"/>
            <w:noWrap w:val="0"/>
            <w:vAlign w:val="center"/>
          </w:tcPr>
          <w:p>
            <w:pPr>
              <w:topLinePunct/>
              <w:jc w:val="center"/>
              <w:rPr>
                <w:color w:val="auto"/>
              </w:rPr>
            </w:pPr>
          </w:p>
        </w:tc>
        <w:tc>
          <w:tcPr>
            <w:tcW w:w="1984" w:type="dxa"/>
            <w:noWrap w:val="0"/>
            <w:vAlign w:val="center"/>
          </w:tcPr>
          <w:p>
            <w:pPr>
              <w:topLinePun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828" w:type="dxa"/>
            <w:noWrap w:val="0"/>
            <w:vAlign w:val="center"/>
          </w:tcPr>
          <w:p>
            <w:pPr>
              <w:topLinePunct/>
              <w:jc w:val="center"/>
              <w:rPr>
                <w:color w:val="auto"/>
              </w:rPr>
            </w:pPr>
          </w:p>
        </w:tc>
        <w:tc>
          <w:tcPr>
            <w:tcW w:w="2115" w:type="dxa"/>
            <w:noWrap w:val="0"/>
            <w:vAlign w:val="center"/>
          </w:tcPr>
          <w:p>
            <w:pPr>
              <w:topLinePunct/>
              <w:jc w:val="center"/>
              <w:rPr>
                <w:color w:val="auto"/>
              </w:rPr>
            </w:pPr>
          </w:p>
        </w:tc>
        <w:tc>
          <w:tcPr>
            <w:tcW w:w="1560" w:type="dxa"/>
            <w:noWrap w:val="0"/>
            <w:vAlign w:val="center"/>
          </w:tcPr>
          <w:p>
            <w:pPr>
              <w:topLinePunct/>
              <w:jc w:val="center"/>
              <w:rPr>
                <w:color w:val="auto"/>
              </w:rPr>
            </w:pPr>
          </w:p>
        </w:tc>
        <w:tc>
          <w:tcPr>
            <w:tcW w:w="2693" w:type="dxa"/>
            <w:noWrap w:val="0"/>
            <w:vAlign w:val="center"/>
          </w:tcPr>
          <w:p>
            <w:pPr>
              <w:topLinePunct/>
              <w:jc w:val="center"/>
              <w:rPr>
                <w:color w:val="auto"/>
              </w:rPr>
            </w:pPr>
          </w:p>
        </w:tc>
        <w:tc>
          <w:tcPr>
            <w:tcW w:w="1984" w:type="dxa"/>
            <w:noWrap w:val="0"/>
            <w:vAlign w:val="center"/>
          </w:tcPr>
          <w:p>
            <w:pPr>
              <w:topLinePunct/>
              <w:jc w:val="center"/>
              <w:rPr>
                <w:color w:val="auto"/>
              </w:rPr>
            </w:pPr>
          </w:p>
        </w:tc>
      </w:tr>
    </w:tbl>
    <w:p>
      <w:pPr>
        <w:spacing w:line="400" w:lineRule="atLeast"/>
        <w:ind w:left="630" w:hanging="630" w:hangingChars="300"/>
        <w:rPr>
          <w:rFonts w:hint="eastAsia"/>
          <w:color w:val="auto"/>
          <w:szCs w:val="21"/>
        </w:rPr>
      </w:pPr>
      <w:r>
        <w:rPr>
          <w:rFonts w:hint="eastAsia"/>
          <w:color w:val="auto"/>
          <w:szCs w:val="21"/>
        </w:rPr>
        <w:t>备注：本表后附</w:t>
      </w:r>
      <w:r>
        <w:rPr>
          <w:color w:val="auto"/>
          <w:szCs w:val="21"/>
        </w:rPr>
        <w:t>水利安全生产标准化等级证书</w:t>
      </w:r>
      <w:r>
        <w:rPr>
          <w:rFonts w:hint="eastAsia"/>
          <w:color w:val="auto"/>
          <w:szCs w:val="21"/>
        </w:rPr>
        <w:t>的复印件。</w:t>
      </w: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pStyle w:val="87"/>
        <w:spacing w:before="120" w:beforeLines="50" w:after="120" w:afterLines="50"/>
        <w:jc w:val="center"/>
        <w:outlineLvl w:val="4"/>
        <w:rPr>
          <w:rFonts w:hint="eastAsia"/>
          <w:color w:val="auto"/>
        </w:rPr>
      </w:pPr>
      <w:bookmarkStart w:id="2801" w:name="_Toc494315523"/>
      <w:bookmarkStart w:id="2802" w:name="_Toc29084"/>
      <w:bookmarkStart w:id="2803" w:name="_Toc491089842"/>
      <w:r>
        <w:rPr>
          <w:rFonts w:hint="eastAsia"/>
          <w:color w:val="auto"/>
        </w:rPr>
        <w:t>3.获得奖励</w:t>
      </w:r>
      <w:r>
        <w:rPr>
          <w:color w:val="auto"/>
        </w:rPr>
        <w:t>情况</w:t>
      </w:r>
      <w:bookmarkEnd w:id="2801"/>
      <w:bookmarkEnd w:id="2802"/>
      <w:bookmarkEnd w:id="2803"/>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832"/>
        <w:gridCol w:w="1289"/>
        <w:gridCol w:w="1289"/>
        <w:gridCol w:w="881"/>
        <w:gridCol w:w="1590"/>
        <w:gridCol w:w="1136"/>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323" w:type="pct"/>
            <w:noWrap w:val="0"/>
            <w:vAlign w:val="center"/>
          </w:tcPr>
          <w:p>
            <w:pPr>
              <w:jc w:val="center"/>
              <w:rPr>
                <w:rFonts w:ascii="宋体" w:hAnsi="宋体"/>
                <w:color w:val="auto"/>
                <w:szCs w:val="21"/>
              </w:rPr>
            </w:pPr>
            <w:r>
              <w:rPr>
                <w:rFonts w:ascii="宋体" w:hAnsi="宋体"/>
                <w:color w:val="auto"/>
                <w:szCs w:val="21"/>
              </w:rPr>
              <w:t>序号</w:t>
            </w:r>
          </w:p>
        </w:tc>
        <w:tc>
          <w:tcPr>
            <w:tcW w:w="992" w:type="pct"/>
            <w:noWrap w:val="0"/>
            <w:vAlign w:val="center"/>
          </w:tcPr>
          <w:p>
            <w:pPr>
              <w:ind w:left="210" w:leftChars="100"/>
              <w:jc w:val="center"/>
              <w:rPr>
                <w:rFonts w:ascii="宋体" w:hAnsi="宋体"/>
                <w:color w:val="auto"/>
                <w:szCs w:val="21"/>
              </w:rPr>
            </w:pPr>
            <w:r>
              <w:rPr>
                <w:rFonts w:hint="eastAsia" w:ascii="宋体" w:hAnsi="宋体"/>
                <w:color w:val="auto"/>
                <w:szCs w:val="21"/>
              </w:rPr>
              <w:t>获得奖励</w:t>
            </w:r>
            <w:r>
              <w:rPr>
                <w:rFonts w:ascii="宋体" w:hAnsi="宋体"/>
                <w:color w:val="auto"/>
                <w:szCs w:val="21"/>
              </w:rPr>
              <w:t>名称</w:t>
            </w:r>
            <w:r>
              <w:rPr>
                <w:rFonts w:hint="eastAsia" w:ascii="宋体" w:hAnsi="宋体"/>
                <w:color w:val="auto"/>
                <w:szCs w:val="21"/>
              </w:rPr>
              <w:t>/工法名称</w:t>
            </w:r>
          </w:p>
        </w:tc>
        <w:tc>
          <w:tcPr>
            <w:tcW w:w="698" w:type="pct"/>
            <w:noWrap w:val="0"/>
            <w:vAlign w:val="center"/>
          </w:tcPr>
          <w:p>
            <w:pPr>
              <w:ind w:left="210" w:leftChars="100"/>
              <w:jc w:val="center"/>
              <w:rPr>
                <w:rFonts w:hint="eastAsia" w:ascii="宋体" w:hAnsi="宋体"/>
                <w:color w:val="auto"/>
                <w:szCs w:val="21"/>
              </w:rPr>
            </w:pPr>
            <w:r>
              <w:rPr>
                <w:rFonts w:hint="eastAsia" w:ascii="宋体" w:hAnsi="宋体"/>
                <w:color w:val="auto"/>
                <w:szCs w:val="21"/>
              </w:rPr>
              <w:t>获得奖励</w:t>
            </w:r>
          </w:p>
          <w:p>
            <w:pPr>
              <w:ind w:left="210" w:leftChars="100"/>
              <w:jc w:val="center"/>
              <w:rPr>
                <w:rFonts w:hint="eastAsia" w:ascii="宋体" w:hAnsi="宋体"/>
                <w:color w:val="auto"/>
                <w:szCs w:val="21"/>
              </w:rPr>
            </w:pPr>
            <w:r>
              <w:rPr>
                <w:rFonts w:hint="eastAsia" w:ascii="宋体" w:hAnsi="宋体"/>
                <w:color w:val="auto"/>
                <w:szCs w:val="21"/>
              </w:rPr>
              <w:t>项目名称</w:t>
            </w:r>
          </w:p>
        </w:tc>
        <w:tc>
          <w:tcPr>
            <w:tcW w:w="698" w:type="pct"/>
            <w:tcBorders>
              <w:right w:val="single" w:color="auto" w:sz="4" w:space="0"/>
            </w:tcBorders>
            <w:noWrap w:val="0"/>
            <w:vAlign w:val="center"/>
          </w:tcPr>
          <w:p>
            <w:pPr>
              <w:ind w:left="210" w:leftChars="100"/>
              <w:jc w:val="center"/>
              <w:rPr>
                <w:rFonts w:hint="eastAsia" w:ascii="宋体" w:hAnsi="宋体"/>
                <w:color w:val="auto"/>
                <w:szCs w:val="21"/>
              </w:rPr>
            </w:pPr>
            <w:r>
              <w:rPr>
                <w:rFonts w:hint="eastAsia" w:ascii="宋体" w:hAnsi="宋体"/>
                <w:color w:val="auto"/>
                <w:szCs w:val="21"/>
              </w:rPr>
              <w:t>获得奖励</w:t>
            </w:r>
          </w:p>
          <w:p>
            <w:pPr>
              <w:ind w:left="210" w:leftChars="100"/>
              <w:jc w:val="center"/>
              <w:rPr>
                <w:rFonts w:ascii="宋体" w:hAnsi="宋体"/>
                <w:color w:val="auto"/>
                <w:szCs w:val="21"/>
              </w:rPr>
            </w:pPr>
            <w:r>
              <w:rPr>
                <w:rFonts w:ascii="宋体" w:hAnsi="宋体"/>
                <w:color w:val="auto"/>
                <w:szCs w:val="21"/>
              </w:rPr>
              <w:t>编号</w:t>
            </w:r>
          </w:p>
        </w:tc>
        <w:tc>
          <w:tcPr>
            <w:tcW w:w="477" w:type="pct"/>
            <w:tcBorders>
              <w:left w:val="single" w:color="auto" w:sz="4" w:space="0"/>
            </w:tcBorders>
            <w:noWrap w:val="0"/>
            <w:vAlign w:val="center"/>
          </w:tcPr>
          <w:p>
            <w:pPr>
              <w:jc w:val="center"/>
              <w:rPr>
                <w:rFonts w:hint="eastAsia" w:ascii="宋体" w:hAnsi="宋体"/>
                <w:color w:val="auto"/>
                <w:szCs w:val="21"/>
              </w:rPr>
            </w:pPr>
            <w:r>
              <w:rPr>
                <w:rFonts w:hint="eastAsia" w:ascii="宋体" w:hAnsi="宋体"/>
                <w:color w:val="auto"/>
                <w:szCs w:val="21"/>
              </w:rPr>
              <w:t>颁发</w:t>
            </w:r>
          </w:p>
          <w:p>
            <w:pPr>
              <w:jc w:val="center"/>
              <w:rPr>
                <w:rFonts w:ascii="宋体" w:hAnsi="宋体"/>
                <w:color w:val="auto"/>
                <w:szCs w:val="21"/>
              </w:rPr>
            </w:pPr>
            <w:r>
              <w:rPr>
                <w:rFonts w:hint="eastAsia" w:ascii="宋体" w:hAnsi="宋体"/>
                <w:color w:val="auto"/>
                <w:szCs w:val="21"/>
              </w:rPr>
              <w:t>单位</w:t>
            </w:r>
          </w:p>
        </w:tc>
        <w:tc>
          <w:tcPr>
            <w:tcW w:w="861" w:type="pct"/>
            <w:noWrap w:val="0"/>
            <w:vAlign w:val="center"/>
          </w:tcPr>
          <w:p>
            <w:pPr>
              <w:ind w:left="210" w:leftChars="100"/>
              <w:jc w:val="center"/>
              <w:rPr>
                <w:rFonts w:ascii="宋体" w:hAnsi="宋体"/>
                <w:color w:val="auto"/>
                <w:szCs w:val="21"/>
              </w:rPr>
            </w:pPr>
            <w:r>
              <w:rPr>
                <w:rFonts w:hint="eastAsia" w:ascii="宋体" w:hAnsi="宋体"/>
                <w:color w:val="auto"/>
                <w:szCs w:val="21"/>
              </w:rPr>
              <w:t>级别</w:t>
            </w:r>
          </w:p>
        </w:tc>
        <w:tc>
          <w:tcPr>
            <w:tcW w:w="615" w:type="pct"/>
            <w:noWrap w:val="0"/>
            <w:vAlign w:val="center"/>
          </w:tcPr>
          <w:p>
            <w:pPr>
              <w:jc w:val="center"/>
              <w:rPr>
                <w:rFonts w:ascii="宋体" w:hAnsi="宋体"/>
                <w:color w:val="auto"/>
                <w:szCs w:val="21"/>
              </w:rPr>
            </w:pPr>
            <w:r>
              <w:rPr>
                <w:rFonts w:hint="eastAsia" w:ascii="宋体" w:hAnsi="宋体"/>
                <w:color w:val="auto"/>
                <w:szCs w:val="21"/>
              </w:rPr>
              <w:t>颁发日期</w:t>
            </w:r>
          </w:p>
        </w:tc>
        <w:tc>
          <w:tcPr>
            <w:tcW w:w="337" w:type="pct"/>
            <w:noWrap w:val="0"/>
            <w:vAlign w:val="center"/>
          </w:tcPr>
          <w:p>
            <w:pPr>
              <w:jc w:val="center"/>
              <w:rPr>
                <w:rFonts w:ascii="宋体" w:hAnsi="宋体"/>
                <w:color w:val="auto"/>
                <w:szCs w:val="21"/>
              </w:rPr>
            </w:pPr>
            <w:r>
              <w:rPr>
                <w:rFonts w:ascii="宋体" w:hAnsi="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323" w:type="pct"/>
            <w:noWrap w:val="0"/>
            <w:vAlign w:val="center"/>
          </w:tcPr>
          <w:p>
            <w:pPr>
              <w:jc w:val="center"/>
              <w:rPr>
                <w:rFonts w:ascii="宋体" w:hAnsi="宋体"/>
                <w:color w:val="auto"/>
                <w:szCs w:val="21"/>
              </w:rPr>
            </w:pPr>
          </w:p>
        </w:tc>
        <w:tc>
          <w:tcPr>
            <w:tcW w:w="992" w:type="pct"/>
            <w:noWrap w:val="0"/>
            <w:vAlign w:val="center"/>
          </w:tcPr>
          <w:p>
            <w:pPr>
              <w:jc w:val="center"/>
              <w:rPr>
                <w:rFonts w:ascii="宋体" w:hAnsi="宋体"/>
                <w:color w:val="auto"/>
                <w:szCs w:val="21"/>
              </w:rPr>
            </w:pPr>
          </w:p>
        </w:tc>
        <w:tc>
          <w:tcPr>
            <w:tcW w:w="698" w:type="pct"/>
            <w:noWrap w:val="0"/>
            <w:vAlign w:val="center"/>
          </w:tcPr>
          <w:p>
            <w:pPr>
              <w:jc w:val="center"/>
              <w:rPr>
                <w:rFonts w:ascii="宋体" w:hAnsi="宋体"/>
                <w:color w:val="auto"/>
                <w:szCs w:val="21"/>
              </w:rPr>
            </w:pPr>
          </w:p>
        </w:tc>
        <w:tc>
          <w:tcPr>
            <w:tcW w:w="698" w:type="pct"/>
            <w:tcBorders>
              <w:right w:val="single" w:color="auto" w:sz="4" w:space="0"/>
            </w:tcBorders>
            <w:noWrap w:val="0"/>
            <w:vAlign w:val="center"/>
          </w:tcPr>
          <w:p>
            <w:pPr>
              <w:jc w:val="center"/>
              <w:rPr>
                <w:rFonts w:ascii="宋体" w:hAnsi="宋体"/>
                <w:color w:val="auto"/>
                <w:szCs w:val="21"/>
              </w:rPr>
            </w:pPr>
          </w:p>
        </w:tc>
        <w:tc>
          <w:tcPr>
            <w:tcW w:w="477" w:type="pct"/>
            <w:tcBorders>
              <w:left w:val="single" w:color="auto" w:sz="4" w:space="0"/>
            </w:tcBorders>
            <w:noWrap w:val="0"/>
            <w:vAlign w:val="center"/>
          </w:tcPr>
          <w:p>
            <w:pPr>
              <w:jc w:val="center"/>
              <w:rPr>
                <w:rFonts w:ascii="宋体" w:hAnsi="宋体"/>
                <w:color w:val="auto"/>
                <w:szCs w:val="21"/>
              </w:rPr>
            </w:pPr>
          </w:p>
        </w:tc>
        <w:tc>
          <w:tcPr>
            <w:tcW w:w="861" w:type="pct"/>
            <w:noWrap w:val="0"/>
            <w:vAlign w:val="center"/>
          </w:tcPr>
          <w:p>
            <w:pPr>
              <w:rPr>
                <w:rFonts w:ascii="宋体" w:hAnsi="宋体"/>
                <w:color w:val="auto"/>
                <w:szCs w:val="21"/>
              </w:rPr>
            </w:pPr>
            <w:r>
              <w:rPr>
                <w:rFonts w:hint="eastAsia" w:ascii="宋体" w:hAnsi="宋体"/>
                <w:color w:val="auto"/>
                <w:szCs w:val="21"/>
              </w:rPr>
              <w:t>（填：国家级或省部级）</w:t>
            </w:r>
          </w:p>
        </w:tc>
        <w:tc>
          <w:tcPr>
            <w:tcW w:w="615" w:type="pct"/>
            <w:noWrap w:val="0"/>
            <w:vAlign w:val="center"/>
          </w:tcPr>
          <w:p>
            <w:pPr>
              <w:jc w:val="center"/>
              <w:rPr>
                <w:rFonts w:ascii="宋体" w:hAnsi="宋体"/>
                <w:color w:val="auto"/>
                <w:szCs w:val="21"/>
              </w:rPr>
            </w:pPr>
          </w:p>
        </w:tc>
        <w:tc>
          <w:tcPr>
            <w:tcW w:w="337"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23" w:type="pct"/>
            <w:noWrap w:val="0"/>
            <w:vAlign w:val="center"/>
          </w:tcPr>
          <w:p>
            <w:pPr>
              <w:jc w:val="center"/>
              <w:rPr>
                <w:rFonts w:ascii="宋体" w:hAnsi="宋体"/>
                <w:color w:val="auto"/>
                <w:szCs w:val="21"/>
              </w:rPr>
            </w:pPr>
          </w:p>
        </w:tc>
        <w:tc>
          <w:tcPr>
            <w:tcW w:w="992" w:type="pct"/>
            <w:noWrap w:val="0"/>
            <w:vAlign w:val="center"/>
          </w:tcPr>
          <w:p>
            <w:pPr>
              <w:jc w:val="center"/>
              <w:rPr>
                <w:rFonts w:ascii="宋体" w:hAnsi="宋体"/>
                <w:color w:val="auto"/>
                <w:szCs w:val="21"/>
              </w:rPr>
            </w:pPr>
          </w:p>
        </w:tc>
        <w:tc>
          <w:tcPr>
            <w:tcW w:w="698" w:type="pct"/>
            <w:noWrap w:val="0"/>
            <w:vAlign w:val="center"/>
          </w:tcPr>
          <w:p>
            <w:pPr>
              <w:jc w:val="center"/>
              <w:rPr>
                <w:rFonts w:ascii="宋体" w:hAnsi="宋体"/>
                <w:color w:val="auto"/>
                <w:szCs w:val="21"/>
              </w:rPr>
            </w:pPr>
          </w:p>
        </w:tc>
        <w:tc>
          <w:tcPr>
            <w:tcW w:w="698" w:type="pct"/>
            <w:tcBorders>
              <w:right w:val="single" w:color="auto" w:sz="4" w:space="0"/>
            </w:tcBorders>
            <w:noWrap w:val="0"/>
            <w:vAlign w:val="center"/>
          </w:tcPr>
          <w:p>
            <w:pPr>
              <w:jc w:val="center"/>
              <w:rPr>
                <w:rFonts w:ascii="宋体" w:hAnsi="宋体"/>
                <w:color w:val="auto"/>
                <w:szCs w:val="21"/>
              </w:rPr>
            </w:pPr>
          </w:p>
        </w:tc>
        <w:tc>
          <w:tcPr>
            <w:tcW w:w="477" w:type="pct"/>
            <w:tcBorders>
              <w:left w:val="single" w:color="auto" w:sz="4" w:space="0"/>
            </w:tcBorders>
            <w:noWrap w:val="0"/>
            <w:vAlign w:val="center"/>
          </w:tcPr>
          <w:p>
            <w:pPr>
              <w:jc w:val="center"/>
              <w:rPr>
                <w:rFonts w:ascii="宋体" w:hAnsi="宋体"/>
                <w:color w:val="auto"/>
                <w:szCs w:val="21"/>
              </w:rPr>
            </w:pPr>
          </w:p>
        </w:tc>
        <w:tc>
          <w:tcPr>
            <w:tcW w:w="861" w:type="pct"/>
            <w:noWrap w:val="0"/>
            <w:vAlign w:val="center"/>
          </w:tcPr>
          <w:p>
            <w:pPr>
              <w:jc w:val="center"/>
              <w:rPr>
                <w:rFonts w:ascii="宋体" w:hAnsi="宋体"/>
                <w:color w:val="auto"/>
                <w:szCs w:val="21"/>
              </w:rPr>
            </w:pPr>
          </w:p>
        </w:tc>
        <w:tc>
          <w:tcPr>
            <w:tcW w:w="615" w:type="pct"/>
            <w:noWrap w:val="0"/>
            <w:vAlign w:val="center"/>
          </w:tcPr>
          <w:p>
            <w:pPr>
              <w:jc w:val="center"/>
              <w:rPr>
                <w:rFonts w:ascii="宋体" w:hAnsi="宋体"/>
                <w:color w:val="auto"/>
                <w:szCs w:val="21"/>
              </w:rPr>
            </w:pPr>
          </w:p>
        </w:tc>
        <w:tc>
          <w:tcPr>
            <w:tcW w:w="337"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23" w:type="pct"/>
            <w:noWrap w:val="0"/>
            <w:vAlign w:val="center"/>
          </w:tcPr>
          <w:p>
            <w:pPr>
              <w:jc w:val="center"/>
              <w:rPr>
                <w:rFonts w:ascii="宋体" w:hAnsi="宋体"/>
                <w:color w:val="auto"/>
                <w:szCs w:val="21"/>
              </w:rPr>
            </w:pPr>
          </w:p>
        </w:tc>
        <w:tc>
          <w:tcPr>
            <w:tcW w:w="992" w:type="pct"/>
            <w:noWrap w:val="0"/>
            <w:vAlign w:val="center"/>
          </w:tcPr>
          <w:p>
            <w:pPr>
              <w:jc w:val="center"/>
              <w:rPr>
                <w:rFonts w:ascii="宋体" w:hAnsi="宋体"/>
                <w:color w:val="auto"/>
                <w:szCs w:val="21"/>
              </w:rPr>
            </w:pPr>
          </w:p>
        </w:tc>
        <w:tc>
          <w:tcPr>
            <w:tcW w:w="698" w:type="pct"/>
            <w:noWrap w:val="0"/>
            <w:vAlign w:val="center"/>
          </w:tcPr>
          <w:p>
            <w:pPr>
              <w:jc w:val="center"/>
              <w:rPr>
                <w:rFonts w:ascii="宋体" w:hAnsi="宋体"/>
                <w:color w:val="auto"/>
                <w:szCs w:val="21"/>
              </w:rPr>
            </w:pPr>
          </w:p>
        </w:tc>
        <w:tc>
          <w:tcPr>
            <w:tcW w:w="698" w:type="pct"/>
            <w:tcBorders>
              <w:right w:val="single" w:color="auto" w:sz="4" w:space="0"/>
            </w:tcBorders>
            <w:noWrap w:val="0"/>
            <w:vAlign w:val="center"/>
          </w:tcPr>
          <w:p>
            <w:pPr>
              <w:jc w:val="center"/>
              <w:rPr>
                <w:rFonts w:ascii="宋体" w:hAnsi="宋体"/>
                <w:color w:val="auto"/>
                <w:szCs w:val="21"/>
              </w:rPr>
            </w:pPr>
          </w:p>
        </w:tc>
        <w:tc>
          <w:tcPr>
            <w:tcW w:w="477" w:type="pct"/>
            <w:tcBorders>
              <w:left w:val="single" w:color="auto" w:sz="4" w:space="0"/>
            </w:tcBorders>
            <w:noWrap w:val="0"/>
            <w:vAlign w:val="center"/>
          </w:tcPr>
          <w:p>
            <w:pPr>
              <w:jc w:val="center"/>
              <w:rPr>
                <w:rFonts w:ascii="宋体" w:hAnsi="宋体"/>
                <w:color w:val="auto"/>
                <w:szCs w:val="21"/>
              </w:rPr>
            </w:pPr>
          </w:p>
        </w:tc>
        <w:tc>
          <w:tcPr>
            <w:tcW w:w="861" w:type="pct"/>
            <w:noWrap w:val="0"/>
            <w:vAlign w:val="center"/>
          </w:tcPr>
          <w:p>
            <w:pPr>
              <w:jc w:val="center"/>
              <w:rPr>
                <w:rFonts w:ascii="宋体" w:hAnsi="宋体"/>
                <w:color w:val="auto"/>
                <w:szCs w:val="21"/>
              </w:rPr>
            </w:pPr>
          </w:p>
        </w:tc>
        <w:tc>
          <w:tcPr>
            <w:tcW w:w="615" w:type="pct"/>
            <w:noWrap w:val="0"/>
            <w:vAlign w:val="center"/>
          </w:tcPr>
          <w:p>
            <w:pPr>
              <w:jc w:val="center"/>
              <w:rPr>
                <w:rFonts w:ascii="宋体" w:hAnsi="宋体"/>
                <w:color w:val="auto"/>
                <w:szCs w:val="21"/>
              </w:rPr>
            </w:pPr>
          </w:p>
        </w:tc>
        <w:tc>
          <w:tcPr>
            <w:tcW w:w="337" w:type="pct"/>
            <w:noWrap w:val="0"/>
            <w:vAlign w:val="center"/>
          </w:tcPr>
          <w:p>
            <w:pPr>
              <w:jc w:val="center"/>
              <w:rPr>
                <w:rFonts w:ascii="宋体" w:hAnsi="宋体"/>
                <w:color w:val="auto"/>
                <w:szCs w:val="21"/>
              </w:rPr>
            </w:pPr>
          </w:p>
        </w:tc>
      </w:tr>
    </w:tbl>
    <w:p>
      <w:pPr>
        <w:spacing w:line="400" w:lineRule="atLeast"/>
        <w:ind w:left="735" w:hanging="735" w:hangingChars="350"/>
        <w:rPr>
          <w:rFonts w:hint="eastAsia"/>
          <w:color w:val="auto"/>
          <w:szCs w:val="21"/>
        </w:rPr>
      </w:pPr>
      <w:r>
        <w:rPr>
          <w:rFonts w:hint="eastAsia"/>
          <w:color w:val="auto"/>
        </w:rPr>
        <w:t>备</w:t>
      </w:r>
      <w:r>
        <w:rPr>
          <w:color w:val="auto"/>
        </w:rPr>
        <w:t>注：</w:t>
      </w:r>
      <w:r>
        <w:rPr>
          <w:rFonts w:hint="eastAsia"/>
          <w:color w:val="auto"/>
          <w:szCs w:val="21"/>
        </w:rPr>
        <w:t>1. 近两年或近三年获得的奖励从投标截止日往前推算，以获奖证书或称号发出日期为准；</w:t>
      </w:r>
    </w:p>
    <w:p>
      <w:pPr>
        <w:spacing w:line="400" w:lineRule="atLeast"/>
        <w:ind w:left="735" w:hanging="735" w:hangingChars="350"/>
        <w:rPr>
          <w:rFonts w:hint="eastAsia"/>
          <w:color w:val="auto"/>
          <w:szCs w:val="21"/>
        </w:rPr>
      </w:pPr>
      <w:r>
        <w:rPr>
          <w:rFonts w:hint="eastAsia"/>
          <w:color w:val="auto"/>
          <w:szCs w:val="21"/>
        </w:rPr>
        <w:t xml:space="preserve">      2.投标人施工的水利工程获得奖励的，或取得水利部颁发的新工法，或获得省级及以上人民政府颁发的科学进步奖的，</w:t>
      </w:r>
      <w:r>
        <w:rPr>
          <w:rFonts w:hint="eastAsia"/>
          <w:b/>
          <w:color w:val="auto"/>
          <w:szCs w:val="21"/>
        </w:rPr>
        <w:t>均按以上顺序用此表填写</w:t>
      </w:r>
      <w:r>
        <w:rPr>
          <w:rFonts w:hint="eastAsia"/>
          <w:color w:val="auto"/>
          <w:szCs w:val="21"/>
        </w:rPr>
        <w:t>，并在本表后附获奖证书等证明材料复印件。</w:t>
      </w: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spacing w:line="400" w:lineRule="atLeast"/>
        <w:ind w:left="735" w:hanging="735" w:hangingChars="350"/>
        <w:rPr>
          <w:rFonts w:hint="eastAsia"/>
          <w:color w:val="auto"/>
          <w:szCs w:val="21"/>
        </w:rPr>
      </w:pPr>
    </w:p>
    <w:p>
      <w:pPr>
        <w:pStyle w:val="87"/>
        <w:spacing w:before="120" w:beforeLines="50" w:after="120" w:afterLines="50"/>
        <w:jc w:val="center"/>
        <w:outlineLvl w:val="4"/>
        <w:rPr>
          <w:color w:val="auto"/>
        </w:rPr>
      </w:pPr>
      <w:bookmarkStart w:id="2804" w:name="_Toc491089843"/>
      <w:bookmarkStart w:id="2805" w:name="_Toc23961"/>
      <w:bookmarkStart w:id="2806" w:name="_Toc494315524"/>
      <w:r>
        <w:rPr>
          <w:rFonts w:hint="eastAsia"/>
          <w:color w:val="auto"/>
        </w:rPr>
        <w:t>4.管理体系认证</w:t>
      </w:r>
      <w:bookmarkEnd w:id="2804"/>
      <w:r>
        <w:rPr>
          <w:rFonts w:hint="eastAsia"/>
          <w:color w:val="auto"/>
        </w:rPr>
        <w:t>情况</w:t>
      </w:r>
      <w:bookmarkEnd w:id="2805"/>
      <w:bookmarkEnd w:id="2806"/>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2591"/>
        <w:gridCol w:w="1417"/>
        <w:gridCol w:w="1134"/>
        <w:gridCol w:w="1276"/>
        <w:gridCol w:w="1064"/>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44" w:type="pct"/>
            <w:noWrap w:val="0"/>
            <w:tcMar>
              <w:top w:w="57" w:type="dxa"/>
              <w:bottom w:w="57" w:type="dxa"/>
            </w:tcMar>
            <w:vAlign w:val="center"/>
          </w:tcPr>
          <w:p>
            <w:pPr>
              <w:jc w:val="center"/>
              <w:rPr>
                <w:color w:val="auto"/>
                <w:szCs w:val="21"/>
              </w:rPr>
            </w:pPr>
            <w:r>
              <w:rPr>
                <w:color w:val="auto"/>
                <w:szCs w:val="21"/>
              </w:rPr>
              <w:t>序号</w:t>
            </w:r>
          </w:p>
        </w:tc>
        <w:tc>
          <w:tcPr>
            <w:tcW w:w="1403" w:type="pct"/>
            <w:noWrap w:val="0"/>
            <w:tcMar>
              <w:top w:w="57" w:type="dxa"/>
              <w:bottom w:w="57" w:type="dxa"/>
            </w:tcMar>
            <w:vAlign w:val="center"/>
          </w:tcPr>
          <w:p>
            <w:pPr>
              <w:jc w:val="center"/>
              <w:rPr>
                <w:color w:val="auto"/>
                <w:szCs w:val="21"/>
              </w:rPr>
            </w:pPr>
            <w:r>
              <w:rPr>
                <w:rFonts w:hint="eastAsia"/>
                <w:color w:val="auto"/>
                <w:szCs w:val="21"/>
              </w:rPr>
              <w:t>体系认证名称</w:t>
            </w:r>
          </w:p>
        </w:tc>
        <w:tc>
          <w:tcPr>
            <w:tcW w:w="767" w:type="pct"/>
            <w:tcBorders>
              <w:right w:val="single" w:color="auto" w:sz="4" w:space="0"/>
            </w:tcBorders>
            <w:noWrap w:val="0"/>
            <w:tcMar>
              <w:top w:w="57" w:type="dxa"/>
              <w:bottom w:w="57" w:type="dxa"/>
            </w:tcMar>
            <w:vAlign w:val="center"/>
          </w:tcPr>
          <w:p>
            <w:pPr>
              <w:jc w:val="center"/>
              <w:rPr>
                <w:color w:val="auto"/>
                <w:szCs w:val="21"/>
              </w:rPr>
            </w:pPr>
            <w:r>
              <w:rPr>
                <w:rFonts w:hint="eastAsia"/>
                <w:color w:val="auto"/>
                <w:szCs w:val="21"/>
              </w:rPr>
              <w:t>认证标准</w:t>
            </w:r>
          </w:p>
        </w:tc>
        <w:tc>
          <w:tcPr>
            <w:tcW w:w="614" w:type="pct"/>
            <w:tcBorders>
              <w:right w:val="single" w:color="auto" w:sz="4" w:space="0"/>
            </w:tcBorders>
            <w:noWrap w:val="0"/>
            <w:tcMar>
              <w:top w:w="57" w:type="dxa"/>
              <w:bottom w:w="57" w:type="dxa"/>
            </w:tcMar>
            <w:vAlign w:val="center"/>
          </w:tcPr>
          <w:p>
            <w:pPr>
              <w:jc w:val="center"/>
              <w:rPr>
                <w:color w:val="auto"/>
                <w:szCs w:val="21"/>
              </w:rPr>
            </w:pPr>
            <w:r>
              <w:rPr>
                <w:rFonts w:hint="eastAsia"/>
                <w:color w:val="auto"/>
                <w:szCs w:val="21"/>
              </w:rPr>
              <w:t>认证单位</w:t>
            </w:r>
          </w:p>
        </w:tc>
        <w:tc>
          <w:tcPr>
            <w:tcW w:w="691" w:type="pct"/>
            <w:tcBorders>
              <w:left w:val="single" w:color="auto" w:sz="4" w:space="0"/>
            </w:tcBorders>
            <w:noWrap w:val="0"/>
            <w:tcMar>
              <w:top w:w="57" w:type="dxa"/>
              <w:bottom w:w="57" w:type="dxa"/>
            </w:tcMar>
            <w:vAlign w:val="center"/>
          </w:tcPr>
          <w:p>
            <w:pPr>
              <w:jc w:val="center"/>
              <w:rPr>
                <w:color w:val="auto"/>
                <w:szCs w:val="21"/>
              </w:rPr>
            </w:pPr>
            <w:r>
              <w:rPr>
                <w:rFonts w:hint="eastAsia"/>
                <w:color w:val="auto"/>
                <w:szCs w:val="21"/>
              </w:rPr>
              <w:t>认证时间</w:t>
            </w:r>
          </w:p>
        </w:tc>
        <w:tc>
          <w:tcPr>
            <w:tcW w:w="576" w:type="pct"/>
            <w:noWrap w:val="0"/>
            <w:tcMar>
              <w:top w:w="57" w:type="dxa"/>
              <w:bottom w:w="57" w:type="dxa"/>
            </w:tcMar>
            <w:vAlign w:val="center"/>
          </w:tcPr>
          <w:p>
            <w:pPr>
              <w:jc w:val="center"/>
              <w:rPr>
                <w:color w:val="auto"/>
                <w:szCs w:val="21"/>
              </w:rPr>
            </w:pPr>
            <w:r>
              <w:rPr>
                <w:rFonts w:hint="eastAsia"/>
                <w:color w:val="auto"/>
                <w:szCs w:val="21"/>
              </w:rPr>
              <w:t>有效期</w:t>
            </w:r>
          </w:p>
        </w:tc>
        <w:tc>
          <w:tcPr>
            <w:tcW w:w="605" w:type="pct"/>
            <w:noWrap w:val="0"/>
            <w:tcMar>
              <w:top w:w="57" w:type="dxa"/>
              <w:bottom w:w="57" w:type="dxa"/>
            </w:tcMar>
            <w:vAlign w:val="center"/>
          </w:tcPr>
          <w:p>
            <w:pPr>
              <w:jc w:val="center"/>
              <w:rPr>
                <w:color w:val="auto"/>
                <w:szCs w:val="21"/>
              </w:rPr>
            </w:pPr>
            <w:r>
              <w:rPr>
                <w:color w:val="auto"/>
                <w:szCs w:val="21"/>
              </w:rPr>
              <w:t>备</w:t>
            </w:r>
            <w:r>
              <w:rPr>
                <w:rFonts w:hint="eastAsia"/>
                <w:color w:val="auto"/>
                <w:szCs w:val="21"/>
              </w:rPr>
              <w:t xml:space="preserve">  </w:t>
            </w:r>
            <w:r>
              <w:rPr>
                <w:color w:val="auto"/>
                <w:szCs w:val="21"/>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4" w:type="pct"/>
            <w:noWrap w:val="0"/>
            <w:tcMar>
              <w:top w:w="57" w:type="dxa"/>
              <w:bottom w:w="57" w:type="dxa"/>
            </w:tcMar>
            <w:vAlign w:val="center"/>
          </w:tcPr>
          <w:p>
            <w:pPr>
              <w:jc w:val="center"/>
              <w:rPr>
                <w:color w:val="auto"/>
                <w:szCs w:val="21"/>
              </w:rPr>
            </w:pPr>
            <w:r>
              <w:rPr>
                <w:rFonts w:hint="eastAsia"/>
                <w:color w:val="auto"/>
                <w:szCs w:val="21"/>
              </w:rPr>
              <w:t>1</w:t>
            </w:r>
          </w:p>
        </w:tc>
        <w:tc>
          <w:tcPr>
            <w:tcW w:w="1403" w:type="pct"/>
            <w:noWrap w:val="0"/>
            <w:tcMar>
              <w:top w:w="57" w:type="dxa"/>
              <w:bottom w:w="57" w:type="dxa"/>
            </w:tcMar>
            <w:vAlign w:val="center"/>
          </w:tcPr>
          <w:p>
            <w:pPr>
              <w:jc w:val="center"/>
              <w:rPr>
                <w:color w:val="auto"/>
                <w:szCs w:val="21"/>
              </w:rPr>
            </w:pPr>
            <w:r>
              <w:rPr>
                <w:rFonts w:hint="eastAsia"/>
                <w:color w:val="auto"/>
                <w:szCs w:val="21"/>
              </w:rPr>
              <w:t>质量管理体系</w:t>
            </w:r>
          </w:p>
        </w:tc>
        <w:tc>
          <w:tcPr>
            <w:tcW w:w="767" w:type="pct"/>
            <w:tcBorders>
              <w:right w:val="single" w:color="auto" w:sz="4" w:space="0"/>
            </w:tcBorders>
            <w:noWrap w:val="0"/>
            <w:tcMar>
              <w:top w:w="57" w:type="dxa"/>
              <w:bottom w:w="57" w:type="dxa"/>
            </w:tcMar>
            <w:vAlign w:val="center"/>
          </w:tcPr>
          <w:p>
            <w:pPr>
              <w:jc w:val="center"/>
              <w:rPr>
                <w:color w:val="auto"/>
                <w:szCs w:val="21"/>
              </w:rPr>
            </w:pPr>
          </w:p>
        </w:tc>
        <w:tc>
          <w:tcPr>
            <w:tcW w:w="614" w:type="pct"/>
            <w:tcBorders>
              <w:right w:val="single" w:color="auto" w:sz="4" w:space="0"/>
            </w:tcBorders>
            <w:noWrap w:val="0"/>
            <w:tcMar>
              <w:top w:w="57" w:type="dxa"/>
              <w:bottom w:w="57" w:type="dxa"/>
            </w:tcMar>
            <w:vAlign w:val="top"/>
          </w:tcPr>
          <w:p>
            <w:pPr>
              <w:jc w:val="center"/>
              <w:rPr>
                <w:color w:val="auto"/>
                <w:szCs w:val="21"/>
              </w:rPr>
            </w:pPr>
          </w:p>
        </w:tc>
        <w:tc>
          <w:tcPr>
            <w:tcW w:w="691" w:type="pct"/>
            <w:tcBorders>
              <w:left w:val="single" w:color="auto" w:sz="4" w:space="0"/>
            </w:tcBorders>
            <w:noWrap w:val="0"/>
            <w:tcMar>
              <w:top w:w="57" w:type="dxa"/>
              <w:bottom w:w="57" w:type="dxa"/>
            </w:tcMar>
            <w:vAlign w:val="center"/>
          </w:tcPr>
          <w:p>
            <w:pPr>
              <w:jc w:val="center"/>
              <w:rPr>
                <w:color w:val="auto"/>
                <w:szCs w:val="21"/>
              </w:rPr>
            </w:pPr>
          </w:p>
        </w:tc>
        <w:tc>
          <w:tcPr>
            <w:tcW w:w="576" w:type="pct"/>
            <w:noWrap w:val="0"/>
            <w:tcMar>
              <w:top w:w="57" w:type="dxa"/>
              <w:bottom w:w="57" w:type="dxa"/>
            </w:tcMar>
            <w:vAlign w:val="center"/>
          </w:tcPr>
          <w:p>
            <w:pPr>
              <w:jc w:val="center"/>
              <w:rPr>
                <w:color w:val="auto"/>
                <w:szCs w:val="21"/>
              </w:rPr>
            </w:pPr>
          </w:p>
        </w:tc>
        <w:tc>
          <w:tcPr>
            <w:tcW w:w="605" w:type="pct"/>
            <w:noWrap w:val="0"/>
            <w:tcMar>
              <w:top w:w="57" w:type="dxa"/>
              <w:bottom w:w="57" w:type="dxa"/>
            </w:tcMar>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4" w:type="pct"/>
            <w:noWrap w:val="0"/>
            <w:tcMar>
              <w:top w:w="57" w:type="dxa"/>
              <w:bottom w:w="57" w:type="dxa"/>
            </w:tcMar>
            <w:vAlign w:val="center"/>
          </w:tcPr>
          <w:p>
            <w:pPr>
              <w:jc w:val="center"/>
              <w:rPr>
                <w:rFonts w:hint="eastAsia"/>
                <w:color w:val="auto"/>
                <w:szCs w:val="21"/>
              </w:rPr>
            </w:pPr>
            <w:r>
              <w:rPr>
                <w:rFonts w:hint="eastAsia"/>
                <w:color w:val="auto"/>
                <w:szCs w:val="21"/>
              </w:rPr>
              <w:t>2</w:t>
            </w:r>
          </w:p>
        </w:tc>
        <w:tc>
          <w:tcPr>
            <w:tcW w:w="1403" w:type="pct"/>
            <w:noWrap w:val="0"/>
            <w:tcMar>
              <w:top w:w="57" w:type="dxa"/>
              <w:bottom w:w="57" w:type="dxa"/>
            </w:tcMar>
            <w:vAlign w:val="center"/>
          </w:tcPr>
          <w:p>
            <w:pPr>
              <w:jc w:val="center"/>
              <w:rPr>
                <w:rFonts w:hint="eastAsia"/>
                <w:color w:val="auto"/>
                <w:szCs w:val="21"/>
              </w:rPr>
            </w:pPr>
            <w:r>
              <w:rPr>
                <w:rFonts w:hint="eastAsia"/>
                <w:color w:val="auto"/>
                <w:szCs w:val="21"/>
              </w:rPr>
              <w:t>环境管理体系</w:t>
            </w:r>
          </w:p>
        </w:tc>
        <w:tc>
          <w:tcPr>
            <w:tcW w:w="767" w:type="pct"/>
            <w:tcBorders>
              <w:right w:val="single" w:color="auto" w:sz="4" w:space="0"/>
            </w:tcBorders>
            <w:noWrap w:val="0"/>
            <w:tcMar>
              <w:top w:w="57" w:type="dxa"/>
              <w:bottom w:w="57" w:type="dxa"/>
            </w:tcMar>
            <w:vAlign w:val="center"/>
          </w:tcPr>
          <w:p>
            <w:pPr>
              <w:jc w:val="center"/>
              <w:rPr>
                <w:color w:val="auto"/>
                <w:szCs w:val="21"/>
              </w:rPr>
            </w:pPr>
          </w:p>
        </w:tc>
        <w:tc>
          <w:tcPr>
            <w:tcW w:w="614" w:type="pct"/>
            <w:tcBorders>
              <w:right w:val="single" w:color="auto" w:sz="4" w:space="0"/>
            </w:tcBorders>
            <w:noWrap w:val="0"/>
            <w:tcMar>
              <w:top w:w="57" w:type="dxa"/>
              <w:bottom w:w="57" w:type="dxa"/>
            </w:tcMar>
            <w:vAlign w:val="top"/>
          </w:tcPr>
          <w:p>
            <w:pPr>
              <w:jc w:val="center"/>
              <w:rPr>
                <w:color w:val="auto"/>
                <w:szCs w:val="21"/>
              </w:rPr>
            </w:pPr>
          </w:p>
        </w:tc>
        <w:tc>
          <w:tcPr>
            <w:tcW w:w="691" w:type="pct"/>
            <w:tcBorders>
              <w:left w:val="single" w:color="auto" w:sz="4" w:space="0"/>
            </w:tcBorders>
            <w:noWrap w:val="0"/>
            <w:tcMar>
              <w:top w:w="57" w:type="dxa"/>
              <w:bottom w:w="57" w:type="dxa"/>
            </w:tcMar>
            <w:vAlign w:val="center"/>
          </w:tcPr>
          <w:p>
            <w:pPr>
              <w:jc w:val="center"/>
              <w:rPr>
                <w:color w:val="auto"/>
                <w:szCs w:val="21"/>
              </w:rPr>
            </w:pPr>
          </w:p>
        </w:tc>
        <w:tc>
          <w:tcPr>
            <w:tcW w:w="576" w:type="pct"/>
            <w:noWrap w:val="0"/>
            <w:tcMar>
              <w:top w:w="57" w:type="dxa"/>
              <w:bottom w:w="57" w:type="dxa"/>
            </w:tcMar>
            <w:vAlign w:val="center"/>
          </w:tcPr>
          <w:p>
            <w:pPr>
              <w:jc w:val="center"/>
              <w:rPr>
                <w:color w:val="auto"/>
                <w:szCs w:val="21"/>
              </w:rPr>
            </w:pPr>
          </w:p>
        </w:tc>
        <w:tc>
          <w:tcPr>
            <w:tcW w:w="605" w:type="pct"/>
            <w:noWrap w:val="0"/>
            <w:tcMar>
              <w:top w:w="57" w:type="dxa"/>
              <w:bottom w:w="57" w:type="dxa"/>
            </w:tcMar>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344" w:type="pct"/>
            <w:noWrap w:val="0"/>
            <w:tcMar>
              <w:top w:w="57" w:type="dxa"/>
              <w:bottom w:w="57" w:type="dxa"/>
            </w:tcMar>
            <w:vAlign w:val="center"/>
          </w:tcPr>
          <w:p>
            <w:pPr>
              <w:jc w:val="center"/>
              <w:rPr>
                <w:color w:val="auto"/>
                <w:szCs w:val="21"/>
              </w:rPr>
            </w:pPr>
            <w:r>
              <w:rPr>
                <w:rFonts w:hint="eastAsia"/>
                <w:color w:val="auto"/>
                <w:szCs w:val="21"/>
              </w:rPr>
              <w:t>3</w:t>
            </w:r>
          </w:p>
        </w:tc>
        <w:tc>
          <w:tcPr>
            <w:tcW w:w="1403" w:type="pct"/>
            <w:noWrap w:val="0"/>
            <w:tcMar>
              <w:top w:w="57" w:type="dxa"/>
              <w:bottom w:w="57" w:type="dxa"/>
            </w:tcMar>
            <w:vAlign w:val="center"/>
          </w:tcPr>
          <w:p>
            <w:pPr>
              <w:jc w:val="center"/>
              <w:rPr>
                <w:color w:val="auto"/>
                <w:szCs w:val="21"/>
              </w:rPr>
            </w:pPr>
            <w:r>
              <w:rPr>
                <w:rFonts w:hint="eastAsia"/>
                <w:color w:val="auto"/>
                <w:szCs w:val="21"/>
              </w:rPr>
              <w:t>职业健康安全管理体系</w:t>
            </w:r>
          </w:p>
        </w:tc>
        <w:tc>
          <w:tcPr>
            <w:tcW w:w="767" w:type="pct"/>
            <w:tcBorders>
              <w:right w:val="single" w:color="auto" w:sz="4" w:space="0"/>
            </w:tcBorders>
            <w:noWrap w:val="0"/>
            <w:tcMar>
              <w:top w:w="57" w:type="dxa"/>
              <w:bottom w:w="57" w:type="dxa"/>
            </w:tcMar>
            <w:vAlign w:val="center"/>
          </w:tcPr>
          <w:p>
            <w:pPr>
              <w:jc w:val="center"/>
              <w:rPr>
                <w:color w:val="auto"/>
                <w:szCs w:val="21"/>
              </w:rPr>
            </w:pPr>
          </w:p>
        </w:tc>
        <w:tc>
          <w:tcPr>
            <w:tcW w:w="614" w:type="pct"/>
            <w:tcBorders>
              <w:right w:val="single" w:color="auto" w:sz="4" w:space="0"/>
            </w:tcBorders>
            <w:noWrap w:val="0"/>
            <w:tcMar>
              <w:top w:w="57" w:type="dxa"/>
              <w:bottom w:w="57" w:type="dxa"/>
            </w:tcMar>
            <w:vAlign w:val="top"/>
          </w:tcPr>
          <w:p>
            <w:pPr>
              <w:jc w:val="center"/>
              <w:rPr>
                <w:color w:val="auto"/>
                <w:szCs w:val="21"/>
              </w:rPr>
            </w:pPr>
          </w:p>
        </w:tc>
        <w:tc>
          <w:tcPr>
            <w:tcW w:w="691" w:type="pct"/>
            <w:tcBorders>
              <w:left w:val="single" w:color="auto" w:sz="4" w:space="0"/>
            </w:tcBorders>
            <w:noWrap w:val="0"/>
            <w:tcMar>
              <w:top w:w="57" w:type="dxa"/>
              <w:bottom w:w="57" w:type="dxa"/>
            </w:tcMar>
            <w:vAlign w:val="center"/>
          </w:tcPr>
          <w:p>
            <w:pPr>
              <w:jc w:val="center"/>
              <w:rPr>
                <w:color w:val="auto"/>
                <w:szCs w:val="21"/>
              </w:rPr>
            </w:pPr>
          </w:p>
        </w:tc>
        <w:tc>
          <w:tcPr>
            <w:tcW w:w="576" w:type="pct"/>
            <w:noWrap w:val="0"/>
            <w:tcMar>
              <w:top w:w="57" w:type="dxa"/>
              <w:bottom w:w="57" w:type="dxa"/>
            </w:tcMar>
            <w:vAlign w:val="center"/>
          </w:tcPr>
          <w:p>
            <w:pPr>
              <w:jc w:val="center"/>
              <w:rPr>
                <w:color w:val="auto"/>
                <w:szCs w:val="21"/>
              </w:rPr>
            </w:pPr>
          </w:p>
        </w:tc>
        <w:tc>
          <w:tcPr>
            <w:tcW w:w="605" w:type="pct"/>
            <w:noWrap w:val="0"/>
            <w:tcMar>
              <w:top w:w="57" w:type="dxa"/>
              <w:bottom w:w="57" w:type="dxa"/>
            </w:tcMar>
            <w:vAlign w:val="center"/>
          </w:tcPr>
          <w:p>
            <w:pPr>
              <w:jc w:val="center"/>
              <w:rPr>
                <w:color w:val="auto"/>
                <w:szCs w:val="21"/>
              </w:rPr>
            </w:pPr>
          </w:p>
        </w:tc>
      </w:tr>
    </w:tbl>
    <w:p>
      <w:pPr>
        <w:spacing w:line="400" w:lineRule="atLeast"/>
        <w:ind w:left="630" w:hanging="630" w:hangingChars="300"/>
        <w:rPr>
          <w:rFonts w:hint="eastAsia"/>
          <w:color w:val="auto"/>
          <w:szCs w:val="21"/>
        </w:rPr>
      </w:pPr>
      <w:r>
        <w:rPr>
          <w:rFonts w:hint="eastAsia"/>
          <w:color w:val="auto"/>
          <w:szCs w:val="21"/>
        </w:rPr>
        <w:t>备注：本表后附管理体系认证证书复印件。</w:t>
      </w: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spacing w:line="400" w:lineRule="atLeast"/>
        <w:ind w:left="630" w:hanging="630" w:hangingChars="300"/>
        <w:rPr>
          <w:rFonts w:hint="eastAsia"/>
          <w:color w:val="auto"/>
          <w:szCs w:val="21"/>
        </w:rPr>
      </w:pPr>
    </w:p>
    <w:p>
      <w:pPr>
        <w:pStyle w:val="87"/>
        <w:spacing w:before="120" w:beforeLines="50" w:after="120" w:afterLines="50"/>
        <w:jc w:val="center"/>
        <w:outlineLvl w:val="4"/>
        <w:rPr>
          <w:rFonts w:hint="eastAsia"/>
          <w:color w:val="auto"/>
        </w:rPr>
      </w:pPr>
      <w:bookmarkStart w:id="2807" w:name="_Toc491089844"/>
      <w:bookmarkStart w:id="2808" w:name="_Toc494315525"/>
      <w:bookmarkStart w:id="2809" w:name="_Toc30000"/>
      <w:r>
        <w:rPr>
          <w:rFonts w:hint="eastAsia"/>
          <w:color w:val="auto"/>
        </w:rPr>
        <w:t>5.</w:t>
      </w:r>
      <w:r>
        <w:rPr>
          <w:color w:val="auto"/>
        </w:rPr>
        <w:t>守合同重信用情况</w:t>
      </w:r>
      <w:bookmarkEnd w:id="2807"/>
      <w:bookmarkEnd w:id="2808"/>
      <w:bookmarkEnd w:id="2809"/>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2349"/>
        <w:gridCol w:w="2078"/>
        <w:gridCol w:w="2429"/>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 w:type="pct"/>
            <w:noWrap w:val="0"/>
            <w:vAlign w:val="center"/>
          </w:tcPr>
          <w:p>
            <w:pPr>
              <w:topLinePunct/>
              <w:jc w:val="center"/>
              <w:rPr>
                <w:color w:val="auto"/>
              </w:rPr>
            </w:pPr>
            <w:r>
              <w:rPr>
                <w:rFonts w:hint="eastAsia"/>
                <w:color w:val="auto"/>
              </w:rPr>
              <w:t>序号</w:t>
            </w:r>
          </w:p>
        </w:tc>
        <w:tc>
          <w:tcPr>
            <w:tcW w:w="1272" w:type="pct"/>
            <w:noWrap w:val="0"/>
            <w:vAlign w:val="center"/>
          </w:tcPr>
          <w:p>
            <w:pPr>
              <w:topLinePunct/>
              <w:jc w:val="center"/>
              <w:rPr>
                <w:rFonts w:hint="eastAsia"/>
                <w:color w:val="auto"/>
              </w:rPr>
            </w:pPr>
            <w:r>
              <w:rPr>
                <w:color w:val="auto"/>
              </w:rPr>
              <w:t>证书</w:t>
            </w:r>
            <w:r>
              <w:rPr>
                <w:rFonts w:hint="eastAsia"/>
                <w:color w:val="auto"/>
              </w:rPr>
              <w:t>名称</w:t>
            </w:r>
          </w:p>
        </w:tc>
        <w:tc>
          <w:tcPr>
            <w:tcW w:w="1125" w:type="pct"/>
            <w:noWrap w:val="0"/>
            <w:vAlign w:val="center"/>
          </w:tcPr>
          <w:p>
            <w:pPr>
              <w:topLinePunct/>
              <w:jc w:val="center"/>
              <w:rPr>
                <w:color w:val="auto"/>
              </w:rPr>
            </w:pPr>
            <w:r>
              <w:rPr>
                <w:rFonts w:hint="eastAsia"/>
                <w:color w:val="auto"/>
              </w:rPr>
              <w:t>颁发日期</w:t>
            </w:r>
          </w:p>
        </w:tc>
        <w:tc>
          <w:tcPr>
            <w:tcW w:w="1315" w:type="pct"/>
            <w:noWrap w:val="0"/>
            <w:vAlign w:val="center"/>
          </w:tcPr>
          <w:p>
            <w:pPr>
              <w:topLinePunct/>
              <w:jc w:val="center"/>
              <w:rPr>
                <w:rFonts w:hint="eastAsia"/>
                <w:color w:val="auto"/>
              </w:rPr>
            </w:pPr>
            <w:r>
              <w:rPr>
                <w:rFonts w:hint="eastAsia"/>
                <w:color w:val="auto"/>
              </w:rPr>
              <w:t>颁证（部门）单位</w:t>
            </w:r>
          </w:p>
        </w:tc>
        <w:tc>
          <w:tcPr>
            <w:tcW w:w="788" w:type="pct"/>
            <w:noWrap w:val="0"/>
            <w:vAlign w:val="center"/>
          </w:tcPr>
          <w:p>
            <w:pPr>
              <w:topLinePunct/>
              <w:jc w:val="center"/>
              <w:rPr>
                <w:rFonts w:hint="eastAsia"/>
                <w:color w:val="auto"/>
              </w:rPr>
            </w:pPr>
            <w:r>
              <w:rPr>
                <w:rFonts w:hint="eastAsia"/>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 w:type="pct"/>
            <w:noWrap w:val="0"/>
            <w:vAlign w:val="center"/>
          </w:tcPr>
          <w:p>
            <w:pPr>
              <w:topLinePunct/>
              <w:jc w:val="center"/>
              <w:rPr>
                <w:color w:val="auto"/>
              </w:rPr>
            </w:pPr>
          </w:p>
        </w:tc>
        <w:tc>
          <w:tcPr>
            <w:tcW w:w="1272" w:type="pct"/>
            <w:noWrap w:val="0"/>
            <w:vAlign w:val="center"/>
          </w:tcPr>
          <w:p>
            <w:pPr>
              <w:topLinePunct/>
              <w:jc w:val="center"/>
              <w:rPr>
                <w:color w:val="auto"/>
              </w:rPr>
            </w:pPr>
          </w:p>
        </w:tc>
        <w:tc>
          <w:tcPr>
            <w:tcW w:w="1125" w:type="pct"/>
            <w:noWrap w:val="0"/>
            <w:vAlign w:val="center"/>
          </w:tcPr>
          <w:p>
            <w:pPr>
              <w:topLinePunct/>
              <w:jc w:val="center"/>
              <w:rPr>
                <w:color w:val="auto"/>
              </w:rPr>
            </w:pPr>
          </w:p>
        </w:tc>
        <w:tc>
          <w:tcPr>
            <w:tcW w:w="1315" w:type="pct"/>
            <w:noWrap w:val="0"/>
            <w:vAlign w:val="center"/>
          </w:tcPr>
          <w:p>
            <w:pPr>
              <w:topLinePunct/>
              <w:jc w:val="center"/>
              <w:rPr>
                <w:color w:val="auto"/>
              </w:rPr>
            </w:pPr>
          </w:p>
        </w:tc>
        <w:tc>
          <w:tcPr>
            <w:tcW w:w="788" w:type="pct"/>
            <w:noWrap w:val="0"/>
            <w:vAlign w:val="center"/>
          </w:tcPr>
          <w:p>
            <w:pPr>
              <w:topLinePun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 w:type="pct"/>
            <w:noWrap w:val="0"/>
            <w:vAlign w:val="center"/>
          </w:tcPr>
          <w:p>
            <w:pPr>
              <w:topLinePunct/>
              <w:jc w:val="center"/>
              <w:rPr>
                <w:color w:val="auto"/>
              </w:rPr>
            </w:pPr>
          </w:p>
        </w:tc>
        <w:tc>
          <w:tcPr>
            <w:tcW w:w="1272" w:type="pct"/>
            <w:noWrap w:val="0"/>
            <w:vAlign w:val="center"/>
          </w:tcPr>
          <w:p>
            <w:pPr>
              <w:topLinePunct/>
              <w:jc w:val="center"/>
              <w:rPr>
                <w:color w:val="auto"/>
              </w:rPr>
            </w:pPr>
          </w:p>
        </w:tc>
        <w:tc>
          <w:tcPr>
            <w:tcW w:w="1125" w:type="pct"/>
            <w:noWrap w:val="0"/>
            <w:vAlign w:val="center"/>
          </w:tcPr>
          <w:p>
            <w:pPr>
              <w:topLinePunct/>
              <w:jc w:val="center"/>
              <w:rPr>
                <w:color w:val="auto"/>
              </w:rPr>
            </w:pPr>
          </w:p>
        </w:tc>
        <w:tc>
          <w:tcPr>
            <w:tcW w:w="1315" w:type="pct"/>
            <w:noWrap w:val="0"/>
            <w:vAlign w:val="center"/>
          </w:tcPr>
          <w:p>
            <w:pPr>
              <w:topLinePunct/>
              <w:jc w:val="center"/>
              <w:rPr>
                <w:color w:val="auto"/>
              </w:rPr>
            </w:pPr>
          </w:p>
        </w:tc>
        <w:tc>
          <w:tcPr>
            <w:tcW w:w="788" w:type="pct"/>
            <w:noWrap w:val="0"/>
            <w:vAlign w:val="center"/>
          </w:tcPr>
          <w:p>
            <w:pPr>
              <w:topLinePunct/>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 w:type="pct"/>
            <w:noWrap w:val="0"/>
            <w:vAlign w:val="center"/>
          </w:tcPr>
          <w:p>
            <w:pPr>
              <w:topLinePunct/>
              <w:jc w:val="center"/>
              <w:rPr>
                <w:color w:val="auto"/>
              </w:rPr>
            </w:pPr>
          </w:p>
        </w:tc>
        <w:tc>
          <w:tcPr>
            <w:tcW w:w="1272" w:type="pct"/>
            <w:noWrap w:val="0"/>
            <w:vAlign w:val="center"/>
          </w:tcPr>
          <w:p>
            <w:pPr>
              <w:topLinePunct/>
              <w:jc w:val="center"/>
              <w:rPr>
                <w:color w:val="auto"/>
              </w:rPr>
            </w:pPr>
          </w:p>
        </w:tc>
        <w:tc>
          <w:tcPr>
            <w:tcW w:w="1125" w:type="pct"/>
            <w:noWrap w:val="0"/>
            <w:vAlign w:val="center"/>
          </w:tcPr>
          <w:p>
            <w:pPr>
              <w:topLinePunct/>
              <w:jc w:val="center"/>
              <w:rPr>
                <w:color w:val="auto"/>
              </w:rPr>
            </w:pPr>
          </w:p>
        </w:tc>
        <w:tc>
          <w:tcPr>
            <w:tcW w:w="1315" w:type="pct"/>
            <w:noWrap w:val="0"/>
            <w:vAlign w:val="center"/>
          </w:tcPr>
          <w:p>
            <w:pPr>
              <w:topLinePunct/>
              <w:jc w:val="center"/>
              <w:rPr>
                <w:color w:val="auto"/>
              </w:rPr>
            </w:pPr>
          </w:p>
        </w:tc>
        <w:tc>
          <w:tcPr>
            <w:tcW w:w="788" w:type="pct"/>
            <w:noWrap w:val="0"/>
            <w:vAlign w:val="center"/>
          </w:tcPr>
          <w:p>
            <w:pPr>
              <w:topLinePunct/>
              <w:jc w:val="center"/>
              <w:rPr>
                <w:color w:val="auto"/>
              </w:rPr>
            </w:pPr>
          </w:p>
        </w:tc>
      </w:tr>
    </w:tbl>
    <w:p>
      <w:pPr>
        <w:spacing w:line="400" w:lineRule="atLeast"/>
        <w:rPr>
          <w:rFonts w:hint="eastAsia"/>
          <w:color w:val="auto"/>
          <w:szCs w:val="21"/>
        </w:rPr>
      </w:pPr>
      <w:r>
        <w:rPr>
          <w:rFonts w:hint="eastAsia"/>
          <w:color w:val="auto"/>
          <w:szCs w:val="21"/>
        </w:rPr>
        <w:t>备注：1.本表后附</w:t>
      </w:r>
      <w:r>
        <w:rPr>
          <w:color w:val="auto"/>
          <w:szCs w:val="21"/>
        </w:rPr>
        <w:t>守合同重信用证书</w:t>
      </w:r>
      <w:r>
        <w:rPr>
          <w:rFonts w:hint="eastAsia"/>
          <w:color w:val="auto"/>
          <w:szCs w:val="21"/>
        </w:rPr>
        <w:t>的复印件。</w:t>
      </w:r>
    </w:p>
    <w:p>
      <w:pPr>
        <w:spacing w:line="400" w:lineRule="atLeast"/>
        <w:rPr>
          <w:rFonts w:hint="eastAsia"/>
          <w:color w:val="auto"/>
          <w:szCs w:val="21"/>
        </w:rPr>
      </w:pPr>
      <w:r>
        <w:rPr>
          <w:rFonts w:hint="eastAsia"/>
          <w:color w:val="auto"/>
          <w:szCs w:val="21"/>
        </w:rPr>
        <w:t xml:space="preserve">      2 近三年获得证书从投标截止日往前推算，以颁发日期为准。</w:t>
      </w:r>
    </w:p>
    <w:p>
      <w:pPr>
        <w:spacing w:line="400" w:lineRule="atLeast"/>
        <w:rPr>
          <w:rFonts w:hint="eastAsia"/>
          <w:color w:val="auto"/>
          <w:szCs w:val="21"/>
        </w:rPr>
      </w:pPr>
      <w:r>
        <w:rPr>
          <w:rFonts w:hint="eastAsia"/>
          <w:color w:val="auto"/>
          <w:szCs w:val="21"/>
        </w:rPr>
        <w:t xml:space="preserve">      </w:t>
      </w: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p>
      <w:pPr>
        <w:spacing w:line="400" w:lineRule="atLeast"/>
        <w:rPr>
          <w:rFonts w:hint="eastAsia"/>
          <w:color w:val="auto"/>
          <w:szCs w:val="21"/>
        </w:rPr>
      </w:pPr>
    </w:p>
    <w:bookmarkEnd w:id="2790"/>
    <w:bookmarkEnd w:id="2791"/>
    <w:p>
      <w:pPr>
        <w:pStyle w:val="87"/>
        <w:jc w:val="center"/>
        <w:outlineLvl w:val="3"/>
        <w:rPr>
          <w:rFonts w:hint="eastAsia"/>
          <w:color w:val="auto"/>
          <w:szCs w:val="24"/>
        </w:rPr>
      </w:pPr>
      <w:bookmarkStart w:id="2810" w:name="_Toc494315526"/>
      <w:bookmarkStart w:id="2811" w:name="_Toc32054"/>
      <w:r>
        <w:rPr>
          <w:rFonts w:hint="eastAsia"/>
          <w:color w:val="auto"/>
          <w:szCs w:val="24"/>
        </w:rPr>
        <w:t>2-6 近3年发生的诉讼和仲裁情况表</w:t>
      </w:r>
      <w:bookmarkEnd w:id="2810"/>
      <w:bookmarkEnd w:id="2811"/>
    </w:p>
    <w:p>
      <w:pPr>
        <w:rPr>
          <w:rFonts w:hint="eastAsia"/>
          <w:color w:val="auto"/>
        </w:rPr>
      </w:pPr>
    </w:p>
    <w:p>
      <w:pPr>
        <w:rPr>
          <w:rFonts w:hint="eastAsia"/>
          <w:color w:val="auto"/>
        </w:rPr>
      </w:pPr>
    </w:p>
    <w:tbl>
      <w:tblPr>
        <w:tblStyle w:val="38"/>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54"/>
        <w:gridCol w:w="954"/>
        <w:gridCol w:w="1260"/>
        <w:gridCol w:w="3600"/>
        <w:gridCol w:w="19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54" w:type="dxa"/>
            <w:noWrap w:val="0"/>
            <w:vAlign w:val="center"/>
          </w:tcPr>
          <w:p>
            <w:pPr>
              <w:jc w:val="center"/>
              <w:rPr>
                <w:rFonts w:hint="eastAsia" w:ascii="宋体" w:hAnsi="宋体"/>
                <w:color w:val="auto"/>
                <w:szCs w:val="21"/>
              </w:rPr>
            </w:pPr>
            <w:r>
              <w:rPr>
                <w:rFonts w:hint="eastAsia" w:ascii="宋体" w:hAnsi="宋体"/>
                <w:color w:val="auto"/>
                <w:szCs w:val="21"/>
              </w:rPr>
              <w:t>类别</w:t>
            </w:r>
          </w:p>
        </w:tc>
        <w:tc>
          <w:tcPr>
            <w:tcW w:w="954" w:type="dxa"/>
            <w:noWrap w:val="0"/>
            <w:vAlign w:val="center"/>
          </w:tcPr>
          <w:p>
            <w:pPr>
              <w:jc w:val="center"/>
              <w:rPr>
                <w:rFonts w:hint="eastAsia" w:ascii="宋体" w:hAnsi="宋体"/>
                <w:color w:val="auto"/>
                <w:szCs w:val="21"/>
              </w:rPr>
            </w:pPr>
            <w:r>
              <w:rPr>
                <w:rFonts w:hint="eastAsia" w:ascii="宋体" w:hAnsi="宋体"/>
                <w:color w:val="auto"/>
                <w:szCs w:val="21"/>
              </w:rPr>
              <w:t>序号</w:t>
            </w:r>
          </w:p>
        </w:tc>
        <w:tc>
          <w:tcPr>
            <w:tcW w:w="1260" w:type="dxa"/>
            <w:noWrap w:val="0"/>
            <w:vAlign w:val="center"/>
          </w:tcPr>
          <w:p>
            <w:pPr>
              <w:jc w:val="center"/>
              <w:rPr>
                <w:rFonts w:ascii="宋体" w:hAnsi="宋体"/>
                <w:color w:val="auto"/>
                <w:szCs w:val="21"/>
              </w:rPr>
            </w:pPr>
            <w:r>
              <w:rPr>
                <w:rFonts w:hint="eastAsia" w:ascii="宋体" w:hAnsi="宋体"/>
                <w:color w:val="auto"/>
                <w:szCs w:val="21"/>
              </w:rPr>
              <w:t>发生时间</w:t>
            </w:r>
          </w:p>
        </w:tc>
        <w:tc>
          <w:tcPr>
            <w:tcW w:w="3600" w:type="dxa"/>
            <w:noWrap w:val="0"/>
            <w:vAlign w:val="center"/>
          </w:tcPr>
          <w:p>
            <w:pPr>
              <w:jc w:val="center"/>
              <w:rPr>
                <w:rFonts w:ascii="宋体" w:hAnsi="宋体"/>
                <w:color w:val="auto"/>
                <w:szCs w:val="21"/>
              </w:rPr>
            </w:pPr>
            <w:r>
              <w:rPr>
                <w:rFonts w:hint="eastAsia" w:ascii="宋体" w:hAnsi="宋体"/>
                <w:color w:val="auto"/>
                <w:szCs w:val="21"/>
              </w:rPr>
              <w:t>情况简介</w:t>
            </w:r>
          </w:p>
        </w:tc>
        <w:tc>
          <w:tcPr>
            <w:tcW w:w="1952" w:type="dxa"/>
            <w:noWrap w:val="0"/>
            <w:vAlign w:val="center"/>
          </w:tcPr>
          <w:p>
            <w:pPr>
              <w:jc w:val="center"/>
              <w:rPr>
                <w:rFonts w:hint="eastAsia" w:ascii="宋体" w:hAnsi="宋体"/>
                <w:color w:val="auto"/>
                <w:szCs w:val="21"/>
              </w:rPr>
            </w:pPr>
            <w:r>
              <w:rPr>
                <w:rFonts w:hint="eastAsia" w:ascii="宋体" w:hAnsi="宋体"/>
                <w:color w:val="auto"/>
                <w:szCs w:val="21"/>
              </w:rPr>
              <w:t>证明材料索引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restart"/>
            <w:noWrap w:val="0"/>
            <w:vAlign w:val="center"/>
          </w:tcPr>
          <w:p>
            <w:pPr>
              <w:spacing w:line="240" w:lineRule="exact"/>
              <w:jc w:val="center"/>
              <w:rPr>
                <w:rFonts w:hint="eastAsia" w:ascii="宋体" w:hAnsi="宋体"/>
                <w:color w:val="auto"/>
                <w:szCs w:val="21"/>
              </w:rPr>
            </w:pPr>
            <w:r>
              <w:rPr>
                <w:rFonts w:hint="eastAsia" w:ascii="宋体" w:hAnsi="宋体"/>
                <w:color w:val="auto"/>
                <w:szCs w:val="21"/>
              </w:rPr>
              <w:t>诉</w:t>
            </w:r>
          </w:p>
          <w:p>
            <w:pPr>
              <w:spacing w:line="240" w:lineRule="exact"/>
              <w:jc w:val="center"/>
              <w:rPr>
                <w:rFonts w:hint="eastAsia" w:ascii="宋体" w:hAnsi="宋体"/>
                <w:color w:val="auto"/>
                <w:szCs w:val="21"/>
              </w:rPr>
            </w:pPr>
            <w:r>
              <w:rPr>
                <w:rFonts w:hint="eastAsia" w:ascii="宋体" w:hAnsi="宋体"/>
                <w:color w:val="auto"/>
                <w:szCs w:val="21"/>
              </w:rPr>
              <w:t>讼</w:t>
            </w:r>
          </w:p>
          <w:p>
            <w:pPr>
              <w:spacing w:line="240" w:lineRule="exact"/>
              <w:jc w:val="center"/>
              <w:rPr>
                <w:rFonts w:hint="eastAsia" w:ascii="宋体" w:hAnsi="宋体"/>
                <w:color w:val="auto"/>
                <w:szCs w:val="21"/>
              </w:rPr>
            </w:pPr>
            <w:r>
              <w:rPr>
                <w:rFonts w:hint="eastAsia" w:ascii="宋体" w:hAnsi="宋体"/>
                <w:color w:val="auto"/>
                <w:szCs w:val="21"/>
              </w:rPr>
              <w:t>情</w:t>
            </w:r>
          </w:p>
          <w:p>
            <w:pPr>
              <w:spacing w:line="240" w:lineRule="exact"/>
              <w:jc w:val="center"/>
              <w:rPr>
                <w:rFonts w:hint="eastAsia" w:ascii="宋体" w:hAnsi="宋体"/>
                <w:color w:val="auto"/>
                <w:szCs w:val="21"/>
              </w:rPr>
            </w:pPr>
            <w:r>
              <w:rPr>
                <w:rFonts w:hint="eastAsia" w:ascii="宋体" w:hAnsi="宋体"/>
                <w:color w:val="auto"/>
                <w:szCs w:val="21"/>
              </w:rPr>
              <w:t>况</w:t>
            </w: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continue"/>
            <w:noWrap w:val="0"/>
            <w:vAlign w:val="center"/>
          </w:tcPr>
          <w:p>
            <w:pPr>
              <w:jc w:val="center"/>
              <w:rPr>
                <w:rFonts w:hint="eastAsia" w:ascii="宋体" w:hAnsi="宋体"/>
                <w:color w:val="auto"/>
                <w:szCs w:val="21"/>
              </w:rPr>
            </w:pP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continue"/>
            <w:noWrap w:val="0"/>
            <w:vAlign w:val="center"/>
          </w:tcPr>
          <w:p>
            <w:pPr>
              <w:jc w:val="center"/>
              <w:rPr>
                <w:rFonts w:hint="eastAsia" w:ascii="宋体" w:hAnsi="宋体"/>
                <w:color w:val="auto"/>
                <w:szCs w:val="21"/>
              </w:rPr>
            </w:pP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restart"/>
            <w:noWrap w:val="0"/>
            <w:vAlign w:val="center"/>
          </w:tcPr>
          <w:p>
            <w:pPr>
              <w:spacing w:line="240" w:lineRule="exact"/>
              <w:jc w:val="center"/>
              <w:rPr>
                <w:rFonts w:hint="eastAsia" w:ascii="宋体" w:hAnsi="宋体"/>
                <w:color w:val="auto"/>
                <w:szCs w:val="21"/>
              </w:rPr>
            </w:pPr>
            <w:r>
              <w:rPr>
                <w:rFonts w:hint="eastAsia" w:ascii="宋体" w:hAnsi="宋体"/>
                <w:color w:val="auto"/>
                <w:szCs w:val="21"/>
              </w:rPr>
              <w:t>仲</w:t>
            </w:r>
          </w:p>
          <w:p>
            <w:pPr>
              <w:spacing w:line="240" w:lineRule="exact"/>
              <w:jc w:val="center"/>
              <w:rPr>
                <w:rFonts w:hint="eastAsia" w:ascii="宋体" w:hAnsi="宋体"/>
                <w:color w:val="auto"/>
                <w:szCs w:val="21"/>
              </w:rPr>
            </w:pPr>
            <w:r>
              <w:rPr>
                <w:rFonts w:hint="eastAsia" w:ascii="宋体" w:hAnsi="宋体"/>
                <w:color w:val="auto"/>
                <w:szCs w:val="21"/>
              </w:rPr>
              <w:t>裁</w:t>
            </w:r>
          </w:p>
          <w:p>
            <w:pPr>
              <w:spacing w:line="240" w:lineRule="exact"/>
              <w:jc w:val="center"/>
              <w:rPr>
                <w:rFonts w:hint="eastAsia" w:ascii="宋体" w:hAnsi="宋体"/>
                <w:color w:val="auto"/>
                <w:szCs w:val="21"/>
              </w:rPr>
            </w:pPr>
            <w:r>
              <w:rPr>
                <w:rFonts w:hint="eastAsia" w:ascii="宋体" w:hAnsi="宋体"/>
                <w:color w:val="auto"/>
                <w:szCs w:val="21"/>
              </w:rPr>
              <w:t>情</w:t>
            </w:r>
          </w:p>
          <w:p>
            <w:pPr>
              <w:spacing w:line="240" w:lineRule="exact"/>
              <w:jc w:val="center"/>
              <w:rPr>
                <w:rFonts w:ascii="宋体" w:hAnsi="宋体"/>
                <w:color w:val="auto"/>
                <w:szCs w:val="21"/>
              </w:rPr>
            </w:pPr>
            <w:r>
              <w:rPr>
                <w:rFonts w:hint="eastAsia" w:ascii="宋体" w:hAnsi="宋体"/>
                <w:color w:val="auto"/>
                <w:szCs w:val="21"/>
              </w:rPr>
              <w:t>况</w:t>
            </w: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continue"/>
            <w:noWrap w:val="0"/>
            <w:vAlign w:val="center"/>
          </w:tcPr>
          <w:p>
            <w:pPr>
              <w:jc w:val="center"/>
              <w:rPr>
                <w:rFonts w:hint="eastAsia" w:ascii="宋体" w:hAnsi="宋体"/>
                <w:color w:val="auto"/>
                <w:szCs w:val="21"/>
              </w:rPr>
            </w:pP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954" w:type="dxa"/>
            <w:vMerge w:val="continue"/>
            <w:noWrap w:val="0"/>
            <w:vAlign w:val="center"/>
          </w:tcPr>
          <w:p>
            <w:pPr>
              <w:jc w:val="center"/>
              <w:rPr>
                <w:rFonts w:hint="eastAsia" w:ascii="宋体" w:hAnsi="宋体"/>
                <w:color w:val="auto"/>
                <w:szCs w:val="21"/>
              </w:rPr>
            </w:pPr>
          </w:p>
        </w:tc>
        <w:tc>
          <w:tcPr>
            <w:tcW w:w="954" w:type="dxa"/>
            <w:noWrap w:val="0"/>
            <w:vAlign w:val="center"/>
          </w:tcPr>
          <w:p>
            <w:pPr>
              <w:jc w:val="center"/>
              <w:rPr>
                <w:rFonts w:hint="eastAsia" w:ascii="宋体" w:hAnsi="宋体"/>
                <w:color w:val="auto"/>
                <w:szCs w:val="21"/>
              </w:rPr>
            </w:pPr>
          </w:p>
        </w:tc>
        <w:tc>
          <w:tcPr>
            <w:tcW w:w="1260" w:type="dxa"/>
            <w:noWrap w:val="0"/>
            <w:vAlign w:val="center"/>
          </w:tcPr>
          <w:p>
            <w:pPr>
              <w:jc w:val="center"/>
              <w:rPr>
                <w:rFonts w:hint="eastAsia" w:ascii="宋体" w:hAnsi="宋体"/>
                <w:color w:val="auto"/>
                <w:szCs w:val="21"/>
              </w:rPr>
            </w:pPr>
          </w:p>
        </w:tc>
        <w:tc>
          <w:tcPr>
            <w:tcW w:w="3600" w:type="dxa"/>
            <w:noWrap w:val="0"/>
            <w:vAlign w:val="center"/>
          </w:tcPr>
          <w:p>
            <w:pPr>
              <w:jc w:val="center"/>
              <w:rPr>
                <w:rFonts w:hint="eastAsia" w:ascii="宋体" w:hAnsi="宋体"/>
                <w:color w:val="auto"/>
                <w:szCs w:val="21"/>
              </w:rPr>
            </w:pPr>
          </w:p>
        </w:tc>
        <w:tc>
          <w:tcPr>
            <w:tcW w:w="1952" w:type="dxa"/>
            <w:noWrap w:val="0"/>
            <w:vAlign w:val="center"/>
          </w:tcPr>
          <w:p>
            <w:pPr>
              <w:jc w:val="center"/>
              <w:rPr>
                <w:rFonts w:hint="eastAsia" w:ascii="宋体" w:hAnsi="宋体"/>
                <w:color w:val="auto"/>
                <w:szCs w:val="21"/>
              </w:rPr>
            </w:pPr>
          </w:p>
        </w:tc>
      </w:tr>
    </w:tbl>
    <w:p>
      <w:pPr>
        <w:spacing w:line="400" w:lineRule="exact"/>
        <w:ind w:left="840" w:hanging="840" w:hangingChars="400"/>
        <w:rPr>
          <w:rFonts w:hint="eastAsia" w:ascii="宋体" w:hAnsi="宋体"/>
          <w:color w:val="auto"/>
          <w:szCs w:val="21"/>
        </w:rPr>
      </w:pPr>
      <w:r>
        <w:rPr>
          <w:rFonts w:hint="eastAsia" w:ascii="黑体" w:hAnsi="宋体" w:eastAsia="黑体"/>
          <w:color w:val="auto"/>
          <w:szCs w:val="21"/>
        </w:rPr>
        <w:t>备注：1.</w:t>
      </w:r>
      <w:r>
        <w:rPr>
          <w:rFonts w:hint="eastAsia" w:ascii="宋体" w:hAnsi="宋体"/>
          <w:color w:val="auto"/>
          <w:szCs w:val="21"/>
        </w:rPr>
        <w:t>近三年发生的诉讼和仲裁情况仅限于投标人败诉的，且与签订或履行施工承包合同有关的案件，不包括调解结案以及未终审判决的诉讼或未裁决的仲裁。附法院或仲裁机构作出的判</w:t>
      </w:r>
      <w:r>
        <w:rPr>
          <w:rFonts w:hint="eastAsia"/>
          <w:color w:val="auto"/>
          <w:szCs w:val="21"/>
        </w:rPr>
        <w:t>决或裁决等有关法律文书的复印件。</w:t>
      </w:r>
    </w:p>
    <w:p>
      <w:pPr>
        <w:spacing w:line="400" w:lineRule="exact"/>
        <w:ind w:left="840" w:leftChars="300" w:hanging="210" w:hangingChars="100"/>
        <w:rPr>
          <w:rFonts w:ascii="宋体" w:hAnsi="宋体"/>
          <w:color w:val="auto"/>
          <w:szCs w:val="21"/>
        </w:rPr>
      </w:pPr>
      <w:r>
        <w:rPr>
          <w:rFonts w:hint="eastAsia"/>
          <w:color w:val="auto"/>
          <w:szCs w:val="21"/>
        </w:rPr>
        <w:t>2. 近三年从</w:t>
      </w:r>
      <w:r>
        <w:rPr>
          <w:rFonts w:hint="eastAsia" w:ascii="宋体" w:hAnsi="宋体"/>
          <w:color w:val="auto"/>
          <w:szCs w:val="21"/>
        </w:rPr>
        <w:t>投标截止日</w:t>
      </w:r>
      <w:r>
        <w:rPr>
          <w:rFonts w:hint="eastAsia"/>
          <w:color w:val="auto"/>
          <w:szCs w:val="21"/>
        </w:rPr>
        <w:t>往前推算，以仲裁裁决或判决书</w:t>
      </w:r>
      <w:r>
        <w:rPr>
          <w:rFonts w:hint="eastAsia" w:ascii="宋体" w:hAnsi="宋体"/>
          <w:color w:val="auto"/>
          <w:szCs w:val="21"/>
        </w:rPr>
        <w:t>时间</w:t>
      </w:r>
      <w:r>
        <w:rPr>
          <w:rFonts w:ascii="宋体" w:hAnsi="宋体"/>
          <w:color w:val="auto"/>
          <w:szCs w:val="21"/>
        </w:rPr>
        <w:t>为准</w:t>
      </w:r>
      <w:r>
        <w:rPr>
          <w:rFonts w:hint="eastAsia" w:ascii="宋体" w:hAnsi="宋体"/>
          <w:color w:val="auto"/>
          <w:szCs w:val="21"/>
        </w:rPr>
        <w:t>。</w:t>
      </w:r>
    </w:p>
    <w:p>
      <w:pPr>
        <w:spacing w:line="400" w:lineRule="exact"/>
        <w:ind w:left="525" w:leftChars="250" w:firstLine="105" w:firstLineChars="50"/>
        <w:rPr>
          <w:rFonts w:hint="eastAsia"/>
          <w:color w:val="auto"/>
          <w:szCs w:val="21"/>
        </w:rPr>
      </w:pPr>
      <w:r>
        <w:rPr>
          <w:rFonts w:hint="eastAsia"/>
          <w:color w:val="auto"/>
          <w:szCs w:val="21"/>
        </w:rPr>
        <w:t>3. 投标人应当如实填报</w:t>
      </w:r>
      <w:r>
        <w:rPr>
          <w:rFonts w:hint="eastAsia" w:ascii="宋体" w:hAnsi="宋体"/>
          <w:color w:val="auto"/>
          <w:szCs w:val="21"/>
        </w:rPr>
        <w:t>相关情况</w:t>
      </w:r>
      <w:r>
        <w:rPr>
          <w:rFonts w:hint="eastAsia"/>
          <w:color w:val="auto"/>
          <w:szCs w:val="21"/>
        </w:rPr>
        <w:t>，</w:t>
      </w:r>
      <w:r>
        <w:rPr>
          <w:rFonts w:hint="eastAsia" w:ascii="宋体" w:hAnsi="宋体"/>
          <w:color w:val="auto"/>
          <w:szCs w:val="21"/>
        </w:rPr>
        <w:t>没有相关情况应明确填“无”，并对所填报的内容真实性负责。</w:t>
      </w:r>
    </w:p>
    <w:p>
      <w:pPr>
        <w:rPr>
          <w:rFonts w:hint="eastAsia"/>
          <w:color w:val="auto"/>
        </w:rPr>
      </w:pPr>
    </w:p>
    <w:p>
      <w:pPr>
        <w:rPr>
          <w:rFonts w:hint="eastAsia"/>
          <w:color w:val="auto"/>
        </w:rPr>
      </w:pPr>
    </w:p>
    <w:p>
      <w:pPr>
        <w:pStyle w:val="87"/>
        <w:spacing w:after="120" w:afterLines="50"/>
        <w:jc w:val="center"/>
        <w:rPr>
          <w:rFonts w:hint="eastAsia"/>
          <w:color w:val="auto"/>
          <w:szCs w:val="24"/>
        </w:rPr>
      </w:pPr>
      <w:bookmarkStart w:id="2812" w:name="_Toc456173570"/>
      <w:bookmarkStart w:id="2813" w:name="_Toc1074"/>
      <w:bookmarkStart w:id="2814" w:name="_Toc426496260"/>
      <w:r>
        <w:rPr>
          <w:rFonts w:hint="eastAsia"/>
          <w:color w:val="auto"/>
          <w:szCs w:val="24"/>
        </w:rPr>
        <w:t>（三）投标人财务状况</w:t>
      </w:r>
      <w:bookmarkEnd w:id="2812"/>
      <w:bookmarkEnd w:id="2813"/>
      <w:bookmarkEnd w:id="2814"/>
    </w:p>
    <w:p>
      <w:pPr>
        <w:pStyle w:val="87"/>
        <w:spacing w:after="120" w:afterLines="50"/>
        <w:jc w:val="center"/>
        <w:outlineLvl w:val="3"/>
        <w:rPr>
          <w:rFonts w:hint="eastAsia"/>
          <w:color w:val="auto"/>
          <w:szCs w:val="24"/>
        </w:rPr>
      </w:pPr>
      <w:bookmarkStart w:id="2815" w:name="_Toc12234"/>
      <w:bookmarkStart w:id="2816" w:name="_Toc494315528"/>
      <w:bookmarkStart w:id="2817" w:name="_Toc426496261"/>
      <w:bookmarkStart w:id="2818" w:name="_Toc456173571"/>
      <w:r>
        <w:rPr>
          <w:rFonts w:hint="eastAsia"/>
          <w:color w:val="auto"/>
          <w:szCs w:val="24"/>
        </w:rPr>
        <w:t>3-1 近三年财务状况表</w:t>
      </w:r>
      <w:bookmarkEnd w:id="2815"/>
      <w:bookmarkEnd w:id="2816"/>
      <w:bookmarkEnd w:id="2817"/>
      <w:bookmarkEnd w:id="2818"/>
    </w:p>
    <w:tbl>
      <w:tblPr>
        <w:tblStyle w:val="38"/>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24"/>
        <w:gridCol w:w="815"/>
        <w:gridCol w:w="1539"/>
        <w:gridCol w:w="1539"/>
        <w:gridCol w:w="1539"/>
        <w:gridCol w:w="15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jc w:val="center"/>
              <w:rPr>
                <w:rFonts w:hint="eastAsia" w:ascii="宋体" w:hAnsi="宋体"/>
                <w:color w:val="auto"/>
                <w:szCs w:val="21"/>
              </w:rPr>
            </w:pPr>
            <w:r>
              <w:rPr>
                <w:rFonts w:hint="eastAsia" w:ascii="宋体" w:hAnsi="宋体"/>
                <w:color w:val="auto"/>
                <w:szCs w:val="21"/>
              </w:rPr>
              <w:t>名称</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单位</w:t>
            </w: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　</w:t>
            </w:r>
            <w:r>
              <w:rPr>
                <w:rFonts w:hint="eastAsia" w:ascii="宋体" w:hAnsi="宋体"/>
                <w:color w:val="auto"/>
                <w:szCs w:val="21"/>
                <w:u w:val="single"/>
              </w:rPr>
              <w:t>　　　</w:t>
            </w:r>
            <w:r>
              <w:rPr>
                <w:rFonts w:hint="eastAsia" w:ascii="宋体" w:hAnsi="宋体"/>
                <w:color w:val="auto"/>
                <w:szCs w:val="21"/>
              </w:rPr>
              <w:t>年</w:t>
            </w: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　</w:t>
            </w:r>
            <w:r>
              <w:rPr>
                <w:rFonts w:hint="eastAsia" w:ascii="宋体" w:hAnsi="宋体"/>
                <w:color w:val="auto"/>
                <w:szCs w:val="21"/>
                <w:u w:val="single"/>
              </w:rPr>
              <w:t>　　　</w:t>
            </w:r>
            <w:r>
              <w:rPr>
                <w:rFonts w:hint="eastAsia" w:ascii="宋体" w:hAnsi="宋体"/>
                <w:color w:val="auto"/>
                <w:szCs w:val="21"/>
              </w:rPr>
              <w:t>年</w:t>
            </w: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u w:val="single"/>
              </w:rPr>
              <w:t>　　　</w:t>
            </w:r>
            <w:r>
              <w:rPr>
                <w:rFonts w:hint="eastAsia" w:ascii="宋体" w:hAnsi="宋体"/>
                <w:color w:val="auto"/>
                <w:szCs w:val="21"/>
              </w:rPr>
              <w:t>年</w:t>
            </w: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近3年平均值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一．注册资金</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二．净资产</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三．总资产</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四．固定资产</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五．流动资产</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六．流动负债</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七．负债合计</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八．营业收入</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九．净利润</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十．现金流量净额</w:t>
            </w:r>
          </w:p>
        </w:tc>
        <w:tc>
          <w:tcPr>
            <w:tcW w:w="815" w:type="dxa"/>
            <w:noWrap w:val="0"/>
            <w:vAlign w:val="center"/>
          </w:tcPr>
          <w:p>
            <w:pPr>
              <w:jc w:val="center"/>
              <w:rPr>
                <w:rFonts w:hint="eastAsia" w:ascii="宋体" w:hAnsi="宋体"/>
                <w:color w:val="auto"/>
                <w:szCs w:val="21"/>
              </w:rPr>
            </w:pPr>
            <w:r>
              <w:rPr>
                <w:rFonts w:hint="eastAsia" w:ascii="宋体" w:hAnsi="宋体"/>
                <w:color w:val="auto"/>
                <w:szCs w:val="21"/>
              </w:rPr>
              <w:t>万元</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十一．主要财务指标</w:t>
            </w:r>
          </w:p>
        </w:tc>
        <w:tc>
          <w:tcPr>
            <w:tcW w:w="815"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1．净资产收益率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2．总资产报酬率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3．主营业务利润率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r>
              <w:rPr>
                <w:rFonts w:hint="eastAsia" w:ascii="宋体" w:hAnsi="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4．资产负债率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5．流动比率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1924" w:type="dxa"/>
            <w:noWrap w:val="0"/>
            <w:vAlign w:val="center"/>
          </w:tcPr>
          <w:p>
            <w:pPr>
              <w:rPr>
                <w:rFonts w:hint="eastAsia" w:ascii="宋体" w:hAnsi="宋体"/>
                <w:color w:val="auto"/>
                <w:szCs w:val="21"/>
              </w:rPr>
            </w:pPr>
            <w:r>
              <w:rPr>
                <w:rFonts w:hint="eastAsia" w:ascii="宋体" w:hAnsi="宋体"/>
                <w:color w:val="auto"/>
                <w:szCs w:val="21"/>
              </w:rPr>
              <w:t>6．速动比率</w:t>
            </w:r>
          </w:p>
        </w:tc>
        <w:tc>
          <w:tcPr>
            <w:tcW w:w="815" w:type="dxa"/>
            <w:noWrap w:val="0"/>
            <w:vAlign w:val="top"/>
          </w:tcPr>
          <w:p>
            <w:pPr>
              <w:widowControl/>
              <w:autoSpaceDE w:val="0"/>
              <w:autoSpaceDN w:val="0"/>
              <w:spacing w:line="400" w:lineRule="atLeast"/>
              <w:ind w:firstLine="13"/>
              <w:jc w:val="center"/>
              <w:textAlignment w:val="bottom"/>
              <w:rPr>
                <w:color w:val="auto"/>
                <w:szCs w:val="21"/>
              </w:rPr>
            </w:pPr>
            <w:r>
              <w:rPr>
                <w:color w:val="auto"/>
                <w:szCs w:val="21"/>
              </w:rPr>
              <w:t>%</w:t>
            </w: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c>
          <w:tcPr>
            <w:tcW w:w="1539" w:type="dxa"/>
            <w:noWrap w:val="0"/>
            <w:vAlign w:val="center"/>
          </w:tcPr>
          <w:p>
            <w:pPr>
              <w:jc w:val="center"/>
              <w:rPr>
                <w:rFonts w:hint="eastAsia" w:ascii="宋体" w:hAnsi="宋体"/>
                <w:color w:val="auto"/>
                <w:szCs w:val="21"/>
              </w:rPr>
            </w:pPr>
          </w:p>
        </w:tc>
      </w:tr>
    </w:tbl>
    <w:p>
      <w:pPr>
        <w:autoSpaceDE w:val="0"/>
        <w:autoSpaceDN w:val="0"/>
        <w:adjustRightInd w:val="0"/>
        <w:snapToGrid w:val="0"/>
        <w:spacing w:line="325" w:lineRule="exact"/>
        <w:ind w:left="840" w:hanging="840" w:hangingChars="400"/>
        <w:rPr>
          <w:rFonts w:hint="eastAsia" w:ascii="宋体" w:cs="宋体"/>
          <w:color w:val="auto"/>
          <w:kern w:val="0"/>
          <w:szCs w:val="21"/>
        </w:rPr>
      </w:pPr>
      <w:r>
        <w:rPr>
          <w:rFonts w:hint="eastAsia"/>
          <w:color w:val="auto"/>
          <w:szCs w:val="21"/>
        </w:rPr>
        <w:t>备注：</w:t>
      </w:r>
      <w:r>
        <w:rPr>
          <w:color w:val="auto"/>
          <w:szCs w:val="21"/>
        </w:rPr>
        <w:t>1</w:t>
      </w:r>
      <w:r>
        <w:rPr>
          <w:rFonts w:hint="eastAsia" w:ascii="宋体" w:hAnsi="宋体"/>
          <w:color w:val="auto"/>
          <w:szCs w:val="21"/>
        </w:rPr>
        <w:t>.</w:t>
      </w:r>
      <w:r>
        <w:rPr>
          <w:rFonts w:hint="eastAsia" w:ascii="宋体" w:cs="宋体"/>
          <w:color w:val="auto"/>
          <w:kern w:val="0"/>
          <w:szCs w:val="21"/>
        </w:rPr>
        <w:t>本表后应附近3年经会计师事务所或审计机构审计的财务会计报表，包括资产负债表、现金流量表、利润表和财务情况说明书的复印件。</w:t>
      </w:r>
    </w:p>
    <w:p>
      <w:pPr>
        <w:spacing w:line="400" w:lineRule="atLeast"/>
        <w:ind w:left="840" w:leftChars="400"/>
        <w:rPr>
          <w:rFonts w:hint="eastAsia"/>
          <w:color w:val="auto"/>
          <w:szCs w:val="21"/>
        </w:rPr>
      </w:pPr>
      <w:r>
        <w:rPr>
          <w:rFonts w:hint="eastAsia"/>
          <w:color w:val="auto"/>
          <w:szCs w:val="21"/>
        </w:rPr>
        <w:t>投标截止日如在6月30日以前，则近三年是指上上个年度往前推算的3年，例如投标截止日为20</w:t>
      </w:r>
      <w:r>
        <w:rPr>
          <w:color w:val="auto"/>
          <w:szCs w:val="21"/>
        </w:rPr>
        <w:t>20</w:t>
      </w:r>
      <w:r>
        <w:rPr>
          <w:rFonts w:hint="eastAsia"/>
          <w:color w:val="auto"/>
          <w:szCs w:val="21"/>
        </w:rPr>
        <w:t>年5月30日，近三年是指201</w:t>
      </w:r>
      <w:r>
        <w:rPr>
          <w:color w:val="auto"/>
          <w:szCs w:val="21"/>
        </w:rPr>
        <w:t>6</w:t>
      </w:r>
      <w:r>
        <w:rPr>
          <w:rFonts w:hint="eastAsia"/>
          <w:color w:val="auto"/>
          <w:szCs w:val="21"/>
        </w:rPr>
        <w:t>年度、201</w:t>
      </w:r>
      <w:r>
        <w:rPr>
          <w:color w:val="auto"/>
          <w:szCs w:val="21"/>
        </w:rPr>
        <w:t>7</w:t>
      </w:r>
      <w:r>
        <w:rPr>
          <w:rFonts w:hint="eastAsia"/>
          <w:color w:val="auto"/>
          <w:szCs w:val="21"/>
        </w:rPr>
        <w:t>年度、201</w:t>
      </w:r>
      <w:r>
        <w:rPr>
          <w:color w:val="auto"/>
          <w:szCs w:val="21"/>
        </w:rPr>
        <w:t>8</w:t>
      </w:r>
      <w:r>
        <w:rPr>
          <w:rFonts w:hint="eastAsia"/>
          <w:color w:val="auto"/>
          <w:szCs w:val="21"/>
        </w:rPr>
        <w:t>年度。</w:t>
      </w:r>
    </w:p>
    <w:p>
      <w:pPr>
        <w:autoSpaceDE w:val="0"/>
        <w:autoSpaceDN w:val="0"/>
        <w:adjustRightInd w:val="0"/>
        <w:snapToGrid w:val="0"/>
        <w:spacing w:line="325" w:lineRule="exact"/>
        <w:ind w:left="840" w:leftChars="400"/>
        <w:rPr>
          <w:rFonts w:hint="eastAsia" w:ascii="宋体" w:cs="宋体"/>
          <w:color w:val="auto"/>
          <w:kern w:val="0"/>
          <w:szCs w:val="21"/>
        </w:rPr>
      </w:pPr>
      <w:r>
        <w:rPr>
          <w:rFonts w:hint="eastAsia"/>
          <w:color w:val="auto"/>
          <w:szCs w:val="21"/>
        </w:rPr>
        <w:t>投标截止日如在6月30日以后，则近三年是指上个年度往前推算的3年，例如投标截止日为20</w:t>
      </w:r>
      <w:r>
        <w:rPr>
          <w:color w:val="auto"/>
          <w:szCs w:val="21"/>
        </w:rPr>
        <w:t>20</w:t>
      </w:r>
      <w:r>
        <w:rPr>
          <w:rFonts w:hint="eastAsia"/>
          <w:color w:val="auto"/>
          <w:szCs w:val="21"/>
        </w:rPr>
        <w:t>年7月1日，近三年是指201</w:t>
      </w:r>
      <w:r>
        <w:rPr>
          <w:color w:val="auto"/>
          <w:szCs w:val="21"/>
        </w:rPr>
        <w:t>7</w:t>
      </w:r>
      <w:r>
        <w:rPr>
          <w:rFonts w:hint="eastAsia"/>
          <w:color w:val="auto"/>
          <w:szCs w:val="21"/>
        </w:rPr>
        <w:t>年度、201</w:t>
      </w:r>
      <w:r>
        <w:rPr>
          <w:color w:val="auto"/>
          <w:szCs w:val="21"/>
        </w:rPr>
        <w:t>8</w:t>
      </w:r>
      <w:r>
        <w:rPr>
          <w:rFonts w:hint="eastAsia"/>
          <w:color w:val="auto"/>
          <w:szCs w:val="21"/>
        </w:rPr>
        <w:t>年度、201</w:t>
      </w:r>
      <w:r>
        <w:rPr>
          <w:color w:val="auto"/>
          <w:szCs w:val="21"/>
        </w:rPr>
        <w:t>9</w:t>
      </w:r>
      <w:r>
        <w:rPr>
          <w:rFonts w:hint="eastAsia"/>
          <w:color w:val="auto"/>
          <w:szCs w:val="21"/>
        </w:rPr>
        <w:t>年度。</w:t>
      </w:r>
    </w:p>
    <w:p>
      <w:pPr>
        <w:autoSpaceDE w:val="0"/>
        <w:autoSpaceDN w:val="0"/>
        <w:adjustRightInd w:val="0"/>
        <w:snapToGrid w:val="0"/>
        <w:spacing w:line="325" w:lineRule="exact"/>
        <w:ind w:left="840" w:hanging="840" w:hangingChars="400"/>
        <w:rPr>
          <w:rFonts w:ascii="宋体" w:cs="宋体"/>
          <w:color w:val="auto"/>
          <w:kern w:val="0"/>
          <w:szCs w:val="21"/>
        </w:rPr>
      </w:pPr>
      <w:r>
        <w:rPr>
          <w:rFonts w:ascii="宋体" w:cs="宋体"/>
          <w:color w:val="auto"/>
          <w:kern w:val="0"/>
          <w:szCs w:val="21"/>
        </w:rPr>
        <w:t xml:space="preserve">  </w:t>
      </w:r>
      <w:r>
        <w:rPr>
          <w:rFonts w:hint="eastAsia" w:ascii="宋体" w:cs="宋体"/>
          <w:color w:val="auto"/>
          <w:kern w:val="0"/>
          <w:szCs w:val="21"/>
        </w:rPr>
        <w:t xml:space="preserve">    </w:t>
      </w:r>
      <w:r>
        <w:rPr>
          <w:rFonts w:ascii="宋体" w:cs="宋体"/>
          <w:color w:val="auto"/>
          <w:kern w:val="0"/>
          <w:szCs w:val="21"/>
        </w:rPr>
        <w:t>2</w:t>
      </w:r>
      <w:r>
        <w:rPr>
          <w:rFonts w:hint="eastAsia" w:ascii="宋体" w:hAnsi="宋体"/>
          <w:color w:val="auto"/>
          <w:szCs w:val="21"/>
        </w:rPr>
        <w:t>.</w:t>
      </w:r>
      <w:r>
        <w:rPr>
          <w:rFonts w:hint="eastAsia" w:ascii="宋体" w:cs="宋体"/>
          <w:color w:val="auto"/>
          <w:kern w:val="0"/>
          <w:szCs w:val="21"/>
        </w:rPr>
        <w:t>本表所列数据必须与本表各附件中的数据相一致。</w:t>
      </w:r>
      <w:r>
        <w:rPr>
          <w:rFonts w:hint="eastAsia" w:ascii="宋体" w:hAnsi="宋体"/>
          <w:color w:val="auto"/>
          <w:szCs w:val="21"/>
        </w:rPr>
        <w:t>如果有不一致之处，以不利于投标人的数据为准。</w:t>
      </w:r>
    </w:p>
    <w:p>
      <w:pPr>
        <w:autoSpaceDE w:val="0"/>
        <w:autoSpaceDN w:val="0"/>
        <w:adjustRightInd w:val="0"/>
        <w:snapToGrid w:val="0"/>
        <w:spacing w:line="325" w:lineRule="exact"/>
        <w:rPr>
          <w:rFonts w:hint="eastAsia" w:ascii="宋体" w:cs="宋体"/>
          <w:color w:val="auto"/>
          <w:kern w:val="0"/>
          <w:szCs w:val="21"/>
        </w:rPr>
      </w:pPr>
      <w:r>
        <w:rPr>
          <w:rFonts w:ascii="宋体" w:cs="宋体"/>
          <w:color w:val="auto"/>
          <w:kern w:val="0"/>
          <w:szCs w:val="21"/>
        </w:rPr>
        <w:t xml:space="preserve">  </w:t>
      </w:r>
      <w:r>
        <w:rPr>
          <w:rFonts w:hint="eastAsia" w:ascii="宋体" w:cs="宋体"/>
          <w:color w:val="auto"/>
          <w:kern w:val="0"/>
          <w:szCs w:val="21"/>
        </w:rPr>
        <w:t xml:space="preserve">  </w:t>
      </w:r>
    </w:p>
    <w:p>
      <w:pPr>
        <w:autoSpaceDE w:val="0"/>
        <w:autoSpaceDN w:val="0"/>
        <w:adjustRightInd w:val="0"/>
        <w:snapToGrid w:val="0"/>
        <w:spacing w:line="325" w:lineRule="exact"/>
        <w:rPr>
          <w:rFonts w:hint="eastAsia" w:ascii="宋体" w:cs="宋体"/>
          <w:color w:val="auto"/>
          <w:kern w:val="0"/>
          <w:szCs w:val="21"/>
        </w:rPr>
      </w:pPr>
    </w:p>
    <w:bookmarkEnd w:id="2768"/>
    <w:bookmarkEnd w:id="2769"/>
    <w:bookmarkEnd w:id="2770"/>
    <w:bookmarkEnd w:id="2771"/>
    <w:bookmarkEnd w:id="2772"/>
    <w:bookmarkEnd w:id="2773"/>
    <w:bookmarkEnd w:id="2774"/>
    <w:bookmarkEnd w:id="2775"/>
    <w:bookmarkEnd w:id="2776"/>
    <w:p>
      <w:pPr>
        <w:pStyle w:val="87"/>
        <w:spacing w:after="120" w:afterLines="50"/>
        <w:jc w:val="center"/>
        <w:rPr>
          <w:rFonts w:hint="eastAsia"/>
          <w:color w:val="auto"/>
          <w:szCs w:val="24"/>
        </w:rPr>
      </w:pPr>
      <w:bookmarkStart w:id="2819" w:name="_Toc491089853"/>
      <w:bookmarkStart w:id="2820" w:name="_Toc21067"/>
      <w:r>
        <w:rPr>
          <w:rFonts w:hint="eastAsia"/>
          <w:color w:val="auto"/>
          <w:szCs w:val="24"/>
        </w:rPr>
        <w:t>（四）投标人业绩情况</w:t>
      </w:r>
      <w:bookmarkEnd w:id="2819"/>
      <w:bookmarkEnd w:id="2820"/>
    </w:p>
    <w:p>
      <w:pPr>
        <w:rPr>
          <w:rFonts w:hint="eastAsia"/>
          <w:color w:val="auto"/>
        </w:rPr>
      </w:pPr>
    </w:p>
    <w:p>
      <w:pPr>
        <w:pStyle w:val="87"/>
        <w:jc w:val="center"/>
        <w:outlineLvl w:val="3"/>
        <w:rPr>
          <w:rFonts w:hint="eastAsia"/>
          <w:color w:val="auto"/>
          <w:szCs w:val="24"/>
        </w:rPr>
      </w:pPr>
      <w:bookmarkStart w:id="2821" w:name="_Toc494315531"/>
      <w:bookmarkStart w:id="2822" w:name="_Toc1563"/>
      <w:r>
        <w:rPr>
          <w:rFonts w:hint="eastAsia"/>
          <w:color w:val="auto"/>
          <w:szCs w:val="24"/>
        </w:rPr>
        <w:t>4-1 近五年承接的同类工程情况</w:t>
      </w:r>
      <w:bookmarkEnd w:id="2821"/>
      <w:bookmarkEnd w:id="2822"/>
    </w:p>
    <w:p>
      <w:pPr>
        <w:rPr>
          <w:rFonts w:hint="eastAsia"/>
          <w:color w:val="auto"/>
        </w:rPr>
      </w:pPr>
    </w:p>
    <w:p>
      <w:pPr>
        <w:spacing w:line="420" w:lineRule="exact"/>
        <w:ind w:left="720" w:hanging="720" w:hangingChars="300"/>
        <w:rPr>
          <w:rFonts w:hint="eastAsia" w:ascii="黑体" w:hAnsi="黑体" w:eastAsia="黑体"/>
          <w:color w:val="auto"/>
          <w:sz w:val="24"/>
        </w:rPr>
      </w:pPr>
      <w:r>
        <w:rPr>
          <w:rFonts w:hint="eastAsia" w:ascii="黑体" w:hAnsi="黑体" w:eastAsia="黑体"/>
          <w:color w:val="auto"/>
          <w:sz w:val="24"/>
        </w:rPr>
        <w:t>说明：</w:t>
      </w:r>
      <w:r>
        <w:rPr>
          <w:rFonts w:hint="eastAsia"/>
          <w:b/>
          <w:color w:val="auto"/>
          <w:szCs w:val="21"/>
        </w:rPr>
        <w:t>1.投标人近五年承接的同类工程业绩证明以湖北省水利建设市场主体信用信息平台证明材料（《湖北省水利建设市场主体信用信息平台》网站导出的标注有二维码的材料，包括业绩汇总表（格式如附表）以及中标通知书、合同、其他证明材料（如有））进行认定，投标人将《湖北省水利建设市场主体信用信息平台》网站导出的证明材料复印件以附件的形式直接上传。</w:t>
      </w:r>
    </w:p>
    <w:p>
      <w:pPr>
        <w:spacing w:line="420" w:lineRule="exact"/>
        <w:ind w:left="840" w:hanging="840" w:hangingChars="350"/>
        <w:rPr>
          <w:rFonts w:hint="eastAsia" w:ascii="黑体" w:hAnsi="黑体" w:eastAsia="黑体"/>
          <w:color w:val="auto"/>
          <w:sz w:val="24"/>
        </w:rPr>
      </w:pPr>
      <w:r>
        <w:rPr>
          <w:rFonts w:hint="eastAsia" w:ascii="黑体" w:hAnsi="黑体" w:eastAsia="黑体"/>
          <w:color w:val="auto"/>
          <w:sz w:val="24"/>
        </w:rPr>
        <w:t xml:space="preserve">    </w:t>
      </w:r>
      <w:r>
        <w:rPr>
          <w:rFonts w:hint="eastAsia" w:ascii="宋体" w:hAnsi="宋体"/>
          <w:color w:val="auto"/>
          <w:szCs w:val="21"/>
        </w:rPr>
        <w:t xml:space="preserve"> 2.</w:t>
      </w:r>
      <w:r>
        <w:rPr>
          <w:rFonts w:hint="eastAsia"/>
          <w:color w:val="auto"/>
          <w:szCs w:val="21"/>
        </w:rPr>
        <w:t>近</w:t>
      </w:r>
      <w:r>
        <w:rPr>
          <w:rFonts w:hint="eastAsia" w:ascii="宋体" w:hAnsi="宋体"/>
          <w:color w:val="auto"/>
        </w:rPr>
        <w:t>五年</w:t>
      </w:r>
      <w:r>
        <w:rPr>
          <w:rFonts w:hint="eastAsia"/>
          <w:color w:val="auto"/>
          <w:szCs w:val="21"/>
        </w:rPr>
        <w:t>从投标截止日往前推算，以合同签订的日期为准。</w:t>
      </w:r>
    </w:p>
    <w:p>
      <w:pPr>
        <w:spacing w:line="420" w:lineRule="exact"/>
        <w:ind w:left="840" w:hanging="840" w:hangingChars="350"/>
        <w:rPr>
          <w:color w:val="auto"/>
          <w:szCs w:val="21"/>
        </w:rPr>
      </w:pPr>
      <w:r>
        <w:rPr>
          <w:rFonts w:hint="eastAsia" w:ascii="黑体" w:hAnsi="黑体" w:eastAsia="黑体"/>
          <w:color w:val="auto"/>
          <w:sz w:val="24"/>
        </w:rPr>
        <w:t xml:space="preserve">     </w:t>
      </w:r>
      <w:r>
        <w:rPr>
          <w:rFonts w:hint="eastAsia"/>
          <w:color w:val="auto"/>
          <w:szCs w:val="21"/>
        </w:rPr>
        <w:t>3. “同类工程”定义见投标人须知前附表。</w:t>
      </w:r>
    </w:p>
    <w:p>
      <w:pPr>
        <w:spacing w:line="420" w:lineRule="exact"/>
        <w:ind w:left="735" w:hanging="735" w:hangingChars="350"/>
        <w:rPr>
          <w:rFonts w:hint="eastAsia"/>
          <w:color w:val="auto"/>
          <w:szCs w:val="21"/>
        </w:rPr>
      </w:pPr>
      <w:r>
        <w:rPr>
          <w:rFonts w:hint="eastAsia"/>
          <w:color w:val="auto"/>
          <w:szCs w:val="21"/>
        </w:rPr>
        <w:t xml:space="preserve">     4.</w:t>
      </w:r>
      <w:r>
        <w:rPr>
          <w:rFonts w:hint="eastAsia" w:ascii="宋体" w:hAnsi="宋体"/>
          <w:color w:val="auto"/>
          <w:szCs w:val="21"/>
        </w:rPr>
        <w:t xml:space="preserve"> 评标委员会只对投标人提交的业绩</w:t>
      </w:r>
      <w:r>
        <w:rPr>
          <w:rFonts w:ascii="宋体" w:hAnsi="宋体"/>
          <w:color w:val="auto"/>
          <w:szCs w:val="21"/>
        </w:rPr>
        <w:t>汇总表中</w:t>
      </w:r>
      <w:r>
        <w:rPr>
          <w:rFonts w:hint="eastAsia" w:ascii="宋体" w:hAnsi="宋体"/>
          <w:color w:val="auto"/>
          <w:szCs w:val="21"/>
        </w:rPr>
        <w:t>前二个同类业绩进行评分。</w:t>
      </w: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spacing w:line="420" w:lineRule="exact"/>
        <w:ind w:left="735" w:hanging="735" w:hangingChars="350"/>
        <w:rPr>
          <w:rFonts w:hint="eastAsia"/>
          <w:color w:val="auto"/>
          <w:szCs w:val="21"/>
        </w:rPr>
      </w:pPr>
    </w:p>
    <w:p>
      <w:pPr>
        <w:pStyle w:val="87"/>
        <w:jc w:val="center"/>
        <w:outlineLvl w:val="3"/>
        <w:rPr>
          <w:rFonts w:hint="eastAsia" w:ascii="黑体" w:hAnsi="黑体"/>
          <w:color w:val="auto"/>
        </w:rPr>
      </w:pPr>
      <w:bookmarkStart w:id="2823" w:name="_Toc494315532"/>
      <w:bookmarkStart w:id="2824" w:name="_Toc14109"/>
      <w:r>
        <w:rPr>
          <w:rFonts w:hint="eastAsia"/>
          <w:color w:val="auto"/>
          <w:szCs w:val="24"/>
        </w:rPr>
        <w:t>4-2 近五年承接的类似工程情况</w:t>
      </w:r>
      <w:bookmarkEnd w:id="2823"/>
      <w:bookmarkEnd w:id="2824"/>
    </w:p>
    <w:p>
      <w:pPr>
        <w:rPr>
          <w:rFonts w:hint="eastAsia"/>
          <w:color w:val="auto"/>
        </w:rPr>
      </w:pPr>
    </w:p>
    <w:p>
      <w:pPr>
        <w:spacing w:line="420" w:lineRule="exact"/>
        <w:ind w:left="720" w:hanging="720" w:hangingChars="300"/>
        <w:rPr>
          <w:rFonts w:hint="eastAsia" w:ascii="黑体" w:hAnsi="黑体" w:eastAsia="黑体"/>
          <w:color w:val="auto"/>
          <w:sz w:val="24"/>
        </w:rPr>
      </w:pPr>
      <w:r>
        <w:rPr>
          <w:rFonts w:hint="eastAsia" w:ascii="黑体" w:hAnsi="黑体" w:eastAsia="黑体"/>
          <w:color w:val="auto"/>
          <w:sz w:val="24"/>
        </w:rPr>
        <w:t>说明：</w:t>
      </w:r>
      <w:r>
        <w:rPr>
          <w:rFonts w:hint="eastAsia"/>
          <w:b/>
          <w:color w:val="auto"/>
          <w:szCs w:val="21"/>
        </w:rPr>
        <w:t>1.投标人近五年承接的类似工程业绩证明以湖北省水利建设市场主体信用信息平台证明材料（《湖北省水利建设市场主体信用信息平台》网站导出的标注有二维码的材料，包括业绩汇总表（格式如附表）以及中标通知书、合同、其他证明材料（如有））进行认定，投标人将《湖北省水利建设市场主体信用信息平台》网站导出的证明材料复印件以附件的形式直接上传。</w:t>
      </w:r>
    </w:p>
    <w:p>
      <w:pPr>
        <w:spacing w:line="420" w:lineRule="exact"/>
        <w:ind w:left="227" w:firstLine="420" w:firstLineChars="200"/>
        <w:rPr>
          <w:color w:val="auto"/>
          <w:szCs w:val="21"/>
        </w:rPr>
      </w:pPr>
      <w:r>
        <w:rPr>
          <w:rFonts w:hint="eastAsia"/>
          <w:color w:val="auto"/>
          <w:szCs w:val="21"/>
        </w:rPr>
        <w:t>2.“类似工程”定义见投标人须知前附表。</w:t>
      </w:r>
    </w:p>
    <w:p>
      <w:pPr>
        <w:spacing w:line="420" w:lineRule="exact"/>
        <w:ind w:left="227"/>
        <w:rPr>
          <w:rFonts w:hint="eastAsia"/>
          <w:color w:val="auto"/>
          <w:szCs w:val="21"/>
        </w:rPr>
        <w:sectPr>
          <w:pgSz w:w="11906" w:h="16838"/>
          <w:pgMar w:top="1418" w:right="1469" w:bottom="1418" w:left="1418" w:header="851" w:footer="992" w:gutter="0"/>
          <w:pgNumType w:fmt="decimal"/>
          <w:cols w:space="720" w:num="1"/>
          <w:docGrid w:linePitch="312" w:charSpace="0"/>
        </w:sectPr>
      </w:pPr>
      <w:r>
        <w:rPr>
          <w:color w:val="auto"/>
          <w:szCs w:val="21"/>
        </w:rPr>
        <w:t xml:space="preserve">    3.</w:t>
      </w:r>
      <w:r>
        <w:rPr>
          <w:rFonts w:hint="eastAsia" w:ascii="宋体" w:hAnsi="宋体"/>
          <w:color w:val="auto"/>
          <w:szCs w:val="21"/>
        </w:rPr>
        <w:t>评标委员会只对投标人提交的业绩</w:t>
      </w:r>
      <w:r>
        <w:rPr>
          <w:rFonts w:ascii="宋体" w:hAnsi="宋体"/>
          <w:color w:val="auto"/>
          <w:szCs w:val="21"/>
        </w:rPr>
        <w:t>汇总表中</w:t>
      </w:r>
      <w:r>
        <w:rPr>
          <w:rFonts w:hint="eastAsia" w:ascii="宋体" w:hAnsi="宋体"/>
          <w:color w:val="auto"/>
          <w:szCs w:val="21"/>
        </w:rPr>
        <w:t>前二个类似业绩进行评分。</w:t>
      </w:r>
    </w:p>
    <w:p>
      <w:pPr>
        <w:jc w:val="left"/>
        <w:rPr>
          <w:rFonts w:hint="eastAsia" w:ascii="黑体" w:hAnsi="黑体" w:eastAsia="黑体"/>
          <w:color w:val="auto"/>
          <w:sz w:val="24"/>
        </w:rPr>
      </w:pPr>
      <w:r>
        <w:rPr>
          <w:rFonts w:hint="eastAsia" w:ascii="黑体" w:hAnsi="黑体" w:eastAsia="黑体"/>
          <w:color w:val="auto"/>
          <w:sz w:val="24"/>
        </w:rPr>
        <w:t>附表：近五年承接工程的情况表（格式）</w:t>
      </w:r>
    </w:p>
    <w:p>
      <w:pPr>
        <w:jc w:val="left"/>
        <w:rPr>
          <w:rFonts w:hint="eastAsia" w:ascii="黑体" w:hAnsi="黑体" w:eastAsia="黑体"/>
          <w:color w:val="auto"/>
          <w:sz w:val="24"/>
        </w:rPr>
      </w:pPr>
    </w:p>
    <w:tbl>
      <w:tblPr>
        <w:tblStyle w:val="3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2"/>
        <w:gridCol w:w="842"/>
        <w:gridCol w:w="842"/>
        <w:gridCol w:w="847"/>
        <w:gridCol w:w="847"/>
        <w:gridCol w:w="990"/>
        <w:gridCol w:w="685"/>
        <w:gridCol w:w="833"/>
        <w:gridCol w:w="827"/>
        <w:gridCol w:w="827"/>
        <w:gridCol w:w="827"/>
        <w:gridCol w:w="827"/>
        <w:gridCol w:w="827"/>
        <w:gridCol w:w="811"/>
        <w:gridCol w:w="811"/>
        <w:gridCol w:w="811"/>
        <w:gridCol w:w="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6"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序号</w:t>
            </w:r>
          </w:p>
        </w:tc>
        <w:tc>
          <w:tcPr>
            <w:tcW w:w="296"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工程</w:t>
            </w:r>
          </w:p>
          <w:p>
            <w:pPr>
              <w:jc w:val="center"/>
              <w:rPr>
                <w:rFonts w:ascii="宋体" w:hAnsi="宋体"/>
                <w:color w:val="auto"/>
                <w:sz w:val="18"/>
                <w:szCs w:val="18"/>
              </w:rPr>
            </w:pPr>
            <w:r>
              <w:rPr>
                <w:rFonts w:hint="eastAsia" w:ascii="宋体" w:hAnsi="宋体"/>
                <w:color w:val="auto"/>
                <w:sz w:val="18"/>
                <w:szCs w:val="18"/>
              </w:rPr>
              <w:t>名称</w:t>
            </w:r>
          </w:p>
        </w:tc>
        <w:tc>
          <w:tcPr>
            <w:tcW w:w="296"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合同</w:t>
            </w:r>
          </w:p>
          <w:p>
            <w:pPr>
              <w:jc w:val="center"/>
              <w:rPr>
                <w:rFonts w:ascii="宋体" w:hAnsi="宋体"/>
                <w:color w:val="auto"/>
                <w:sz w:val="18"/>
                <w:szCs w:val="18"/>
              </w:rPr>
            </w:pPr>
            <w:r>
              <w:rPr>
                <w:rFonts w:hint="eastAsia" w:ascii="宋体" w:hAnsi="宋体"/>
                <w:color w:val="auto"/>
                <w:sz w:val="18"/>
                <w:szCs w:val="18"/>
              </w:rPr>
              <w:t>名称</w:t>
            </w:r>
          </w:p>
        </w:tc>
        <w:tc>
          <w:tcPr>
            <w:tcW w:w="298"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合同</w:t>
            </w:r>
          </w:p>
          <w:p>
            <w:pPr>
              <w:jc w:val="center"/>
              <w:rPr>
                <w:rFonts w:ascii="宋体" w:hAnsi="宋体"/>
                <w:b/>
                <w:color w:val="auto"/>
                <w:sz w:val="18"/>
                <w:szCs w:val="18"/>
              </w:rPr>
            </w:pPr>
            <w:r>
              <w:rPr>
                <w:rFonts w:hint="eastAsia" w:ascii="宋体" w:hAnsi="宋体"/>
                <w:color w:val="auto"/>
                <w:sz w:val="18"/>
                <w:szCs w:val="18"/>
              </w:rPr>
              <w:t>金额</w:t>
            </w:r>
          </w:p>
        </w:tc>
        <w:tc>
          <w:tcPr>
            <w:tcW w:w="298"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合同签订日期</w:t>
            </w:r>
          </w:p>
        </w:tc>
        <w:tc>
          <w:tcPr>
            <w:tcW w:w="348"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计划</w:t>
            </w:r>
          </w:p>
          <w:p>
            <w:pPr>
              <w:jc w:val="center"/>
              <w:rPr>
                <w:rFonts w:hint="eastAsia" w:ascii="宋体" w:hAnsi="宋体"/>
                <w:color w:val="auto"/>
                <w:sz w:val="18"/>
                <w:szCs w:val="18"/>
              </w:rPr>
            </w:pPr>
            <w:r>
              <w:rPr>
                <w:rFonts w:hint="eastAsia" w:ascii="宋体" w:hAnsi="宋体"/>
                <w:color w:val="auto"/>
                <w:sz w:val="18"/>
                <w:szCs w:val="18"/>
              </w:rPr>
              <w:t>工期</w:t>
            </w:r>
          </w:p>
          <w:p>
            <w:pPr>
              <w:jc w:val="center"/>
              <w:rPr>
                <w:rFonts w:ascii="宋体" w:hAnsi="宋体"/>
                <w:color w:val="auto"/>
                <w:sz w:val="18"/>
                <w:szCs w:val="18"/>
              </w:rPr>
            </w:pPr>
            <w:r>
              <w:rPr>
                <w:rFonts w:hint="eastAsia" w:ascii="宋体" w:hAnsi="宋体"/>
                <w:color w:val="auto"/>
                <w:sz w:val="18"/>
                <w:szCs w:val="18"/>
              </w:rPr>
              <w:t>（日历天）</w:t>
            </w:r>
          </w:p>
        </w:tc>
        <w:tc>
          <w:tcPr>
            <w:tcW w:w="241"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发包人名称</w:t>
            </w:r>
          </w:p>
        </w:tc>
        <w:tc>
          <w:tcPr>
            <w:tcW w:w="293"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项目所在地</w:t>
            </w:r>
          </w:p>
        </w:tc>
        <w:tc>
          <w:tcPr>
            <w:tcW w:w="291"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工程</w:t>
            </w:r>
          </w:p>
          <w:p>
            <w:pPr>
              <w:jc w:val="center"/>
              <w:rPr>
                <w:rFonts w:ascii="宋体" w:hAnsi="宋体"/>
                <w:color w:val="auto"/>
                <w:sz w:val="18"/>
                <w:szCs w:val="18"/>
              </w:rPr>
            </w:pPr>
            <w:r>
              <w:rPr>
                <w:rFonts w:hint="eastAsia" w:ascii="宋体" w:hAnsi="宋体"/>
                <w:color w:val="auto"/>
                <w:sz w:val="18"/>
                <w:szCs w:val="18"/>
              </w:rPr>
              <w:t>类型</w:t>
            </w:r>
          </w:p>
        </w:tc>
        <w:tc>
          <w:tcPr>
            <w:tcW w:w="291"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工程</w:t>
            </w:r>
          </w:p>
          <w:p>
            <w:pPr>
              <w:jc w:val="center"/>
              <w:rPr>
                <w:rFonts w:ascii="宋体" w:hAnsi="宋体"/>
                <w:color w:val="auto"/>
                <w:sz w:val="18"/>
                <w:szCs w:val="18"/>
              </w:rPr>
            </w:pPr>
            <w:r>
              <w:rPr>
                <w:rFonts w:hint="eastAsia" w:ascii="宋体" w:hAnsi="宋体"/>
                <w:color w:val="auto"/>
                <w:sz w:val="18"/>
                <w:szCs w:val="18"/>
              </w:rPr>
              <w:t>规模</w:t>
            </w:r>
          </w:p>
        </w:tc>
        <w:tc>
          <w:tcPr>
            <w:tcW w:w="291" w:type="pct"/>
            <w:vMerge w:val="restart"/>
            <w:noWrap w:val="0"/>
            <w:vAlign w:val="center"/>
          </w:tcPr>
          <w:p>
            <w:pPr>
              <w:jc w:val="center"/>
              <w:rPr>
                <w:rFonts w:hint="eastAsia" w:ascii="宋体" w:hAnsi="宋体"/>
                <w:color w:val="auto"/>
                <w:sz w:val="18"/>
                <w:szCs w:val="18"/>
              </w:rPr>
            </w:pPr>
            <w:r>
              <w:rPr>
                <w:rFonts w:hint="eastAsia" w:ascii="宋体" w:hAnsi="宋体"/>
                <w:color w:val="auto"/>
                <w:sz w:val="18"/>
                <w:szCs w:val="18"/>
              </w:rPr>
              <w:t>工程</w:t>
            </w:r>
          </w:p>
          <w:p>
            <w:pPr>
              <w:jc w:val="center"/>
              <w:rPr>
                <w:rFonts w:ascii="宋体" w:hAnsi="宋体"/>
                <w:color w:val="auto"/>
                <w:sz w:val="18"/>
                <w:szCs w:val="18"/>
              </w:rPr>
            </w:pPr>
            <w:r>
              <w:rPr>
                <w:rFonts w:hint="eastAsia" w:ascii="宋体" w:hAnsi="宋体"/>
                <w:color w:val="auto"/>
                <w:sz w:val="18"/>
                <w:szCs w:val="18"/>
              </w:rPr>
              <w:t>等别</w:t>
            </w:r>
          </w:p>
        </w:tc>
        <w:tc>
          <w:tcPr>
            <w:tcW w:w="291"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主要建筑物级别</w:t>
            </w:r>
          </w:p>
        </w:tc>
        <w:tc>
          <w:tcPr>
            <w:tcW w:w="291"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特征描述</w:t>
            </w:r>
          </w:p>
        </w:tc>
        <w:tc>
          <w:tcPr>
            <w:tcW w:w="570" w:type="pct"/>
            <w:gridSpan w:val="2"/>
            <w:noWrap w:val="0"/>
            <w:vAlign w:val="center"/>
          </w:tcPr>
          <w:p>
            <w:pPr>
              <w:jc w:val="center"/>
              <w:rPr>
                <w:rFonts w:ascii="宋体" w:hAnsi="宋体"/>
                <w:color w:val="auto"/>
                <w:sz w:val="18"/>
                <w:szCs w:val="18"/>
              </w:rPr>
            </w:pPr>
            <w:r>
              <w:rPr>
                <w:rFonts w:hint="eastAsia" w:ascii="宋体" w:hAnsi="宋体"/>
                <w:color w:val="auto"/>
                <w:sz w:val="18"/>
                <w:szCs w:val="18"/>
              </w:rPr>
              <w:t>项目经理</w:t>
            </w:r>
          </w:p>
        </w:tc>
        <w:tc>
          <w:tcPr>
            <w:tcW w:w="609" w:type="pct"/>
            <w:gridSpan w:val="2"/>
            <w:noWrap w:val="0"/>
            <w:vAlign w:val="center"/>
          </w:tcPr>
          <w:p>
            <w:pPr>
              <w:jc w:val="center"/>
              <w:rPr>
                <w:rFonts w:ascii="宋体" w:hAnsi="宋体"/>
                <w:color w:val="auto"/>
                <w:sz w:val="18"/>
                <w:szCs w:val="18"/>
              </w:rPr>
            </w:pPr>
            <w:r>
              <w:rPr>
                <w:rFonts w:hint="eastAsia" w:ascii="宋体" w:hAnsi="宋体"/>
                <w:color w:val="auto"/>
                <w:sz w:val="18"/>
                <w:szCs w:val="18"/>
              </w:rPr>
              <w:t>技术负责人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continue"/>
            <w:tcBorders>
              <w:bottom w:val="single" w:color="auto" w:sz="4" w:space="0"/>
            </w:tcBorders>
            <w:noWrap w:val="0"/>
            <w:vAlign w:val="center"/>
          </w:tcPr>
          <w:p>
            <w:pPr>
              <w:jc w:val="center"/>
              <w:rPr>
                <w:rFonts w:ascii="宋体" w:hAnsi="宋体"/>
                <w:color w:val="auto"/>
                <w:sz w:val="18"/>
                <w:szCs w:val="18"/>
              </w:rPr>
            </w:pPr>
          </w:p>
        </w:tc>
        <w:tc>
          <w:tcPr>
            <w:tcW w:w="296" w:type="pct"/>
            <w:vMerge w:val="continue"/>
            <w:tcBorders>
              <w:bottom w:val="single" w:color="auto" w:sz="4" w:space="0"/>
            </w:tcBorders>
            <w:noWrap w:val="0"/>
            <w:vAlign w:val="center"/>
          </w:tcPr>
          <w:p>
            <w:pPr>
              <w:jc w:val="center"/>
              <w:rPr>
                <w:rFonts w:ascii="宋体" w:hAnsi="宋体"/>
                <w:color w:val="auto"/>
                <w:sz w:val="18"/>
                <w:szCs w:val="18"/>
              </w:rPr>
            </w:pPr>
          </w:p>
        </w:tc>
        <w:tc>
          <w:tcPr>
            <w:tcW w:w="296" w:type="pct"/>
            <w:vMerge w:val="continue"/>
            <w:tcBorders>
              <w:bottom w:val="single" w:color="auto" w:sz="4" w:space="0"/>
            </w:tcBorders>
            <w:noWrap w:val="0"/>
            <w:vAlign w:val="top"/>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348" w:type="pct"/>
            <w:vMerge w:val="continue"/>
            <w:tcBorders>
              <w:bottom w:val="single" w:color="auto" w:sz="4" w:space="0"/>
            </w:tcBorders>
            <w:noWrap w:val="0"/>
            <w:vAlign w:val="center"/>
          </w:tcPr>
          <w:p>
            <w:pPr>
              <w:jc w:val="center"/>
              <w:rPr>
                <w:rFonts w:ascii="宋体" w:hAnsi="宋体"/>
                <w:color w:val="auto"/>
                <w:sz w:val="18"/>
                <w:szCs w:val="18"/>
              </w:rPr>
            </w:pPr>
          </w:p>
        </w:tc>
        <w:tc>
          <w:tcPr>
            <w:tcW w:w="241" w:type="pct"/>
            <w:vMerge w:val="continue"/>
            <w:tcBorders>
              <w:bottom w:val="single" w:color="auto" w:sz="4" w:space="0"/>
            </w:tcBorders>
            <w:noWrap w:val="0"/>
            <w:vAlign w:val="center"/>
          </w:tcPr>
          <w:p>
            <w:pPr>
              <w:jc w:val="center"/>
              <w:rPr>
                <w:rFonts w:ascii="宋体" w:hAnsi="宋体"/>
                <w:color w:val="auto"/>
                <w:sz w:val="18"/>
                <w:szCs w:val="18"/>
              </w:rPr>
            </w:pPr>
          </w:p>
        </w:tc>
        <w:tc>
          <w:tcPr>
            <w:tcW w:w="293"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85" w:type="pct"/>
            <w:tcBorders>
              <w:bottom w:val="single" w:color="auto" w:sz="4" w:space="0"/>
            </w:tcBorders>
            <w:noWrap w:val="0"/>
            <w:vAlign w:val="center"/>
          </w:tcPr>
          <w:p>
            <w:pPr>
              <w:jc w:val="center"/>
              <w:rPr>
                <w:rFonts w:ascii="宋体" w:hAnsi="宋体"/>
                <w:color w:val="auto"/>
                <w:sz w:val="18"/>
                <w:szCs w:val="18"/>
              </w:rPr>
            </w:pPr>
            <w:r>
              <w:rPr>
                <w:rFonts w:hint="eastAsia" w:ascii="宋体" w:hAnsi="宋体"/>
                <w:color w:val="auto"/>
                <w:sz w:val="18"/>
                <w:szCs w:val="18"/>
              </w:rPr>
              <w:t>姓名</w:t>
            </w:r>
          </w:p>
        </w:tc>
        <w:tc>
          <w:tcPr>
            <w:tcW w:w="285" w:type="pct"/>
            <w:tcBorders>
              <w:bottom w:val="single" w:color="auto" w:sz="4" w:space="0"/>
            </w:tcBorders>
            <w:noWrap w:val="0"/>
            <w:vAlign w:val="center"/>
          </w:tcPr>
          <w:p>
            <w:pPr>
              <w:jc w:val="center"/>
              <w:rPr>
                <w:rFonts w:ascii="宋体" w:hAnsi="宋体"/>
                <w:color w:val="auto"/>
                <w:sz w:val="18"/>
                <w:szCs w:val="18"/>
              </w:rPr>
            </w:pPr>
            <w:r>
              <w:rPr>
                <w:rFonts w:hint="eastAsia" w:ascii="宋体" w:hAnsi="宋体"/>
                <w:color w:val="auto"/>
                <w:sz w:val="18"/>
                <w:szCs w:val="18"/>
              </w:rPr>
              <w:t>任职时间</w:t>
            </w: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姓名</w:t>
            </w:r>
          </w:p>
        </w:tc>
        <w:tc>
          <w:tcPr>
            <w:tcW w:w="324" w:type="pct"/>
            <w:noWrap w:val="0"/>
            <w:vAlign w:val="center"/>
          </w:tcPr>
          <w:p>
            <w:pPr>
              <w:jc w:val="center"/>
              <w:rPr>
                <w:rFonts w:ascii="宋体" w:hAnsi="宋体"/>
                <w:color w:val="auto"/>
                <w:sz w:val="18"/>
                <w:szCs w:val="18"/>
              </w:rPr>
            </w:pPr>
            <w:r>
              <w:rPr>
                <w:rFonts w:hint="eastAsia" w:ascii="宋体" w:hAnsi="宋体"/>
                <w:color w:val="auto"/>
                <w:sz w:val="18"/>
                <w:szCs w:val="18"/>
              </w:rPr>
              <w:t>任职</w:t>
            </w:r>
          </w:p>
          <w:p>
            <w:pPr>
              <w:jc w:val="center"/>
              <w:rPr>
                <w:rFonts w:ascii="宋体" w:hAnsi="宋体"/>
                <w:color w:val="auto"/>
                <w:sz w:val="18"/>
                <w:szCs w:val="18"/>
              </w:rPr>
            </w:pPr>
            <w:r>
              <w:rPr>
                <w:rFonts w:hint="eastAsia" w:ascii="宋体" w:hAnsi="宋体"/>
                <w:color w:val="auto"/>
                <w:sz w:val="18"/>
                <w:szCs w:val="18"/>
              </w:rPr>
              <w:t>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restart"/>
            <w:tcBorders>
              <w:top w:val="single" w:color="auto" w:sz="4" w:space="0"/>
            </w:tcBorders>
            <w:noWrap w:val="0"/>
            <w:vAlign w:val="center"/>
          </w:tcPr>
          <w:p>
            <w:pPr>
              <w:jc w:val="center"/>
              <w:rPr>
                <w:rFonts w:ascii="宋体" w:hAnsi="宋体"/>
                <w:color w:val="auto"/>
                <w:sz w:val="18"/>
                <w:szCs w:val="18"/>
              </w:rPr>
            </w:pPr>
            <w:r>
              <w:rPr>
                <w:rFonts w:hint="eastAsia" w:ascii="宋体" w:hAnsi="宋体"/>
                <w:color w:val="auto"/>
                <w:sz w:val="18"/>
                <w:szCs w:val="18"/>
              </w:rPr>
              <w:t>1</w:t>
            </w:r>
          </w:p>
        </w:tc>
        <w:tc>
          <w:tcPr>
            <w:tcW w:w="296" w:type="pct"/>
            <w:vMerge w:val="restart"/>
            <w:tcBorders>
              <w:top w:val="single" w:color="auto" w:sz="4" w:space="0"/>
            </w:tcBorders>
            <w:noWrap w:val="0"/>
            <w:vAlign w:val="center"/>
          </w:tcPr>
          <w:p>
            <w:pPr>
              <w:jc w:val="center"/>
              <w:rPr>
                <w:rFonts w:ascii="宋体" w:hAnsi="宋体"/>
                <w:color w:val="auto"/>
                <w:sz w:val="18"/>
                <w:szCs w:val="18"/>
              </w:rPr>
            </w:pPr>
          </w:p>
        </w:tc>
        <w:tc>
          <w:tcPr>
            <w:tcW w:w="296" w:type="pct"/>
            <w:vMerge w:val="restart"/>
            <w:tcBorders>
              <w:top w:val="single" w:color="auto" w:sz="4" w:space="0"/>
            </w:tcBorders>
            <w:noWrap w:val="0"/>
            <w:vAlign w:val="top"/>
          </w:tcPr>
          <w:p>
            <w:pPr>
              <w:jc w:val="center"/>
              <w:rPr>
                <w:rFonts w:ascii="宋体" w:hAnsi="宋体"/>
                <w:color w:val="auto"/>
                <w:sz w:val="18"/>
                <w:szCs w:val="18"/>
              </w:rPr>
            </w:pPr>
          </w:p>
        </w:tc>
        <w:tc>
          <w:tcPr>
            <w:tcW w:w="298" w:type="pct"/>
            <w:vMerge w:val="restart"/>
            <w:tcBorders>
              <w:top w:val="single" w:color="auto" w:sz="4" w:space="0"/>
            </w:tcBorders>
            <w:noWrap w:val="0"/>
            <w:vAlign w:val="center"/>
          </w:tcPr>
          <w:p>
            <w:pPr>
              <w:jc w:val="center"/>
              <w:rPr>
                <w:rFonts w:ascii="宋体" w:hAnsi="宋体"/>
                <w:color w:val="auto"/>
                <w:sz w:val="18"/>
                <w:szCs w:val="18"/>
              </w:rPr>
            </w:pPr>
          </w:p>
        </w:tc>
        <w:tc>
          <w:tcPr>
            <w:tcW w:w="298" w:type="pct"/>
            <w:vMerge w:val="restart"/>
            <w:tcBorders>
              <w:top w:val="single" w:color="auto" w:sz="4" w:space="0"/>
            </w:tcBorders>
            <w:noWrap w:val="0"/>
            <w:vAlign w:val="center"/>
          </w:tcPr>
          <w:p>
            <w:pPr>
              <w:jc w:val="center"/>
              <w:rPr>
                <w:rFonts w:ascii="宋体" w:hAnsi="宋体"/>
                <w:color w:val="auto"/>
                <w:sz w:val="18"/>
                <w:szCs w:val="18"/>
              </w:rPr>
            </w:pPr>
          </w:p>
        </w:tc>
        <w:tc>
          <w:tcPr>
            <w:tcW w:w="348" w:type="pct"/>
            <w:vMerge w:val="restart"/>
            <w:tcBorders>
              <w:top w:val="single" w:color="auto" w:sz="4" w:space="0"/>
            </w:tcBorders>
            <w:noWrap w:val="0"/>
            <w:vAlign w:val="center"/>
          </w:tcPr>
          <w:p>
            <w:pPr>
              <w:jc w:val="center"/>
              <w:rPr>
                <w:rFonts w:ascii="宋体" w:hAnsi="宋体"/>
                <w:color w:val="auto"/>
                <w:sz w:val="18"/>
                <w:szCs w:val="18"/>
              </w:rPr>
            </w:pPr>
          </w:p>
        </w:tc>
        <w:tc>
          <w:tcPr>
            <w:tcW w:w="241" w:type="pct"/>
            <w:vMerge w:val="restart"/>
            <w:tcBorders>
              <w:top w:val="single" w:color="auto" w:sz="4" w:space="0"/>
            </w:tcBorders>
            <w:noWrap w:val="0"/>
            <w:vAlign w:val="center"/>
          </w:tcPr>
          <w:p>
            <w:pPr>
              <w:jc w:val="center"/>
              <w:rPr>
                <w:rFonts w:ascii="宋体" w:hAnsi="宋体"/>
                <w:color w:val="auto"/>
                <w:sz w:val="18"/>
                <w:szCs w:val="18"/>
              </w:rPr>
            </w:pPr>
          </w:p>
        </w:tc>
        <w:tc>
          <w:tcPr>
            <w:tcW w:w="293"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324" w:type="pct"/>
            <w:noWrap w:val="0"/>
            <w:vAlign w:val="center"/>
          </w:tcPr>
          <w:p>
            <w:pPr>
              <w:jc w:val="center"/>
              <w:rPr>
                <w:rFonts w:ascii="宋体" w:hAnsi="宋体"/>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trPr>
        <w:tc>
          <w:tcPr>
            <w:tcW w:w="296" w:type="pct"/>
            <w:vMerge w:val="continue"/>
            <w:tcBorders>
              <w:bottom w:val="single" w:color="auto" w:sz="4" w:space="0"/>
            </w:tcBorders>
            <w:noWrap w:val="0"/>
            <w:vAlign w:val="center"/>
          </w:tcPr>
          <w:p>
            <w:pPr>
              <w:jc w:val="center"/>
              <w:rPr>
                <w:rFonts w:ascii="宋体" w:hAnsi="宋体"/>
                <w:color w:val="auto"/>
                <w:sz w:val="18"/>
                <w:szCs w:val="18"/>
              </w:rPr>
            </w:pPr>
          </w:p>
        </w:tc>
        <w:tc>
          <w:tcPr>
            <w:tcW w:w="296" w:type="pct"/>
            <w:vMerge w:val="continue"/>
            <w:tcBorders>
              <w:bottom w:val="single" w:color="auto" w:sz="4" w:space="0"/>
            </w:tcBorders>
            <w:noWrap w:val="0"/>
            <w:vAlign w:val="center"/>
          </w:tcPr>
          <w:p>
            <w:pPr>
              <w:jc w:val="center"/>
              <w:rPr>
                <w:rFonts w:ascii="宋体" w:hAnsi="宋体"/>
                <w:color w:val="auto"/>
                <w:sz w:val="18"/>
                <w:szCs w:val="18"/>
              </w:rPr>
            </w:pPr>
          </w:p>
        </w:tc>
        <w:tc>
          <w:tcPr>
            <w:tcW w:w="296" w:type="pct"/>
            <w:vMerge w:val="continue"/>
            <w:tcBorders>
              <w:bottom w:val="single" w:color="auto" w:sz="4" w:space="0"/>
            </w:tcBorders>
            <w:noWrap w:val="0"/>
            <w:vAlign w:val="top"/>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348" w:type="pct"/>
            <w:vMerge w:val="continue"/>
            <w:tcBorders>
              <w:bottom w:val="single" w:color="auto" w:sz="4" w:space="0"/>
            </w:tcBorders>
            <w:noWrap w:val="0"/>
            <w:vAlign w:val="center"/>
          </w:tcPr>
          <w:p>
            <w:pPr>
              <w:jc w:val="center"/>
              <w:rPr>
                <w:rFonts w:ascii="宋体" w:hAnsi="宋体"/>
                <w:color w:val="auto"/>
                <w:sz w:val="18"/>
                <w:szCs w:val="18"/>
              </w:rPr>
            </w:pPr>
          </w:p>
        </w:tc>
        <w:tc>
          <w:tcPr>
            <w:tcW w:w="241" w:type="pct"/>
            <w:vMerge w:val="continue"/>
            <w:tcBorders>
              <w:bottom w:val="single" w:color="auto" w:sz="4" w:space="0"/>
            </w:tcBorders>
            <w:noWrap w:val="0"/>
            <w:vAlign w:val="center"/>
          </w:tcPr>
          <w:p>
            <w:pPr>
              <w:jc w:val="center"/>
              <w:rPr>
                <w:rFonts w:ascii="宋体" w:hAnsi="宋体"/>
                <w:color w:val="auto"/>
                <w:sz w:val="18"/>
                <w:szCs w:val="18"/>
              </w:rPr>
            </w:pPr>
          </w:p>
        </w:tc>
        <w:tc>
          <w:tcPr>
            <w:tcW w:w="293"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324" w:type="pct"/>
            <w:noWrap w:val="0"/>
            <w:vAlign w:val="center"/>
          </w:tcPr>
          <w:p>
            <w:pPr>
              <w:jc w:val="center"/>
              <w:rPr>
                <w:rFonts w:ascii="宋体" w:hAnsi="宋体"/>
                <w:color w:val="auto"/>
                <w:sz w:val="18"/>
                <w:szCs w:val="18"/>
              </w:rPr>
            </w:pPr>
            <w:r>
              <w:rPr>
                <w:rFonts w:hint="eastAsia" w:ascii="宋体" w:hAnsi="宋体"/>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restart"/>
            <w:tcBorders>
              <w:top w:val="single" w:color="auto" w:sz="4" w:space="0"/>
            </w:tcBorders>
            <w:noWrap w:val="0"/>
            <w:vAlign w:val="center"/>
          </w:tcPr>
          <w:p>
            <w:pPr>
              <w:jc w:val="center"/>
              <w:rPr>
                <w:rFonts w:ascii="宋体" w:hAnsi="宋体"/>
                <w:color w:val="auto"/>
                <w:sz w:val="18"/>
                <w:szCs w:val="18"/>
              </w:rPr>
            </w:pPr>
            <w:r>
              <w:rPr>
                <w:rFonts w:hint="eastAsia" w:ascii="宋体" w:hAnsi="宋体"/>
                <w:color w:val="auto"/>
                <w:sz w:val="18"/>
                <w:szCs w:val="18"/>
              </w:rPr>
              <w:t>2</w:t>
            </w:r>
          </w:p>
        </w:tc>
        <w:tc>
          <w:tcPr>
            <w:tcW w:w="296" w:type="pct"/>
            <w:vMerge w:val="restart"/>
            <w:tcBorders>
              <w:top w:val="single" w:color="auto" w:sz="4" w:space="0"/>
            </w:tcBorders>
            <w:noWrap w:val="0"/>
            <w:vAlign w:val="center"/>
          </w:tcPr>
          <w:p>
            <w:pPr>
              <w:jc w:val="center"/>
              <w:rPr>
                <w:rFonts w:ascii="宋体" w:hAnsi="宋体"/>
                <w:color w:val="auto"/>
                <w:sz w:val="18"/>
                <w:szCs w:val="18"/>
              </w:rPr>
            </w:pPr>
          </w:p>
        </w:tc>
        <w:tc>
          <w:tcPr>
            <w:tcW w:w="296" w:type="pct"/>
            <w:vMerge w:val="restart"/>
            <w:tcBorders>
              <w:top w:val="single" w:color="auto" w:sz="4" w:space="0"/>
            </w:tcBorders>
            <w:noWrap w:val="0"/>
            <w:vAlign w:val="top"/>
          </w:tcPr>
          <w:p>
            <w:pPr>
              <w:jc w:val="center"/>
              <w:rPr>
                <w:rFonts w:ascii="宋体" w:hAnsi="宋体"/>
                <w:color w:val="auto"/>
                <w:sz w:val="18"/>
                <w:szCs w:val="18"/>
              </w:rPr>
            </w:pPr>
          </w:p>
        </w:tc>
        <w:tc>
          <w:tcPr>
            <w:tcW w:w="298" w:type="pct"/>
            <w:vMerge w:val="restart"/>
            <w:tcBorders>
              <w:top w:val="single" w:color="auto" w:sz="4" w:space="0"/>
            </w:tcBorders>
            <w:noWrap w:val="0"/>
            <w:vAlign w:val="center"/>
          </w:tcPr>
          <w:p>
            <w:pPr>
              <w:jc w:val="center"/>
              <w:rPr>
                <w:rFonts w:ascii="宋体" w:hAnsi="宋体"/>
                <w:color w:val="auto"/>
                <w:sz w:val="18"/>
                <w:szCs w:val="18"/>
              </w:rPr>
            </w:pPr>
          </w:p>
        </w:tc>
        <w:tc>
          <w:tcPr>
            <w:tcW w:w="298" w:type="pct"/>
            <w:vMerge w:val="restart"/>
            <w:tcBorders>
              <w:top w:val="single" w:color="auto" w:sz="4" w:space="0"/>
            </w:tcBorders>
            <w:noWrap w:val="0"/>
            <w:vAlign w:val="center"/>
          </w:tcPr>
          <w:p>
            <w:pPr>
              <w:jc w:val="center"/>
              <w:rPr>
                <w:rFonts w:ascii="宋体" w:hAnsi="宋体"/>
                <w:color w:val="auto"/>
                <w:sz w:val="18"/>
                <w:szCs w:val="18"/>
              </w:rPr>
            </w:pPr>
          </w:p>
        </w:tc>
        <w:tc>
          <w:tcPr>
            <w:tcW w:w="348" w:type="pct"/>
            <w:vMerge w:val="restart"/>
            <w:tcBorders>
              <w:top w:val="single" w:color="auto" w:sz="4" w:space="0"/>
            </w:tcBorders>
            <w:noWrap w:val="0"/>
            <w:vAlign w:val="center"/>
          </w:tcPr>
          <w:p>
            <w:pPr>
              <w:jc w:val="center"/>
              <w:rPr>
                <w:rFonts w:ascii="宋体" w:hAnsi="宋体"/>
                <w:color w:val="auto"/>
                <w:sz w:val="18"/>
                <w:szCs w:val="18"/>
              </w:rPr>
            </w:pPr>
          </w:p>
        </w:tc>
        <w:tc>
          <w:tcPr>
            <w:tcW w:w="241" w:type="pct"/>
            <w:vMerge w:val="restart"/>
            <w:tcBorders>
              <w:top w:val="single" w:color="auto" w:sz="4" w:space="0"/>
            </w:tcBorders>
            <w:noWrap w:val="0"/>
            <w:vAlign w:val="center"/>
          </w:tcPr>
          <w:p>
            <w:pPr>
              <w:jc w:val="center"/>
              <w:rPr>
                <w:rFonts w:ascii="宋体" w:hAnsi="宋体"/>
                <w:color w:val="auto"/>
                <w:sz w:val="18"/>
                <w:szCs w:val="18"/>
              </w:rPr>
            </w:pPr>
          </w:p>
        </w:tc>
        <w:tc>
          <w:tcPr>
            <w:tcW w:w="293"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91" w:type="pct"/>
            <w:vMerge w:val="restart"/>
            <w:tcBorders>
              <w:top w:val="single" w:color="auto" w:sz="4" w:space="0"/>
            </w:tcBorders>
            <w:noWrap w:val="0"/>
            <w:vAlign w:val="top"/>
          </w:tcPr>
          <w:p>
            <w:pPr>
              <w:jc w:val="center"/>
              <w:rPr>
                <w:rFonts w:ascii="宋体" w:hAnsi="宋体"/>
                <w:color w:val="auto"/>
                <w:sz w:val="18"/>
                <w:szCs w:val="18"/>
              </w:rPr>
            </w:pPr>
          </w:p>
        </w:tc>
        <w:tc>
          <w:tcPr>
            <w:tcW w:w="291" w:type="pct"/>
            <w:vMerge w:val="restart"/>
            <w:tcBorders>
              <w:top w:val="single" w:color="auto" w:sz="4" w:space="0"/>
            </w:tcBorders>
            <w:noWrap w:val="0"/>
            <w:vAlign w:val="top"/>
          </w:tcPr>
          <w:p>
            <w:pPr>
              <w:jc w:val="center"/>
              <w:rPr>
                <w:rFonts w:ascii="宋体" w:hAnsi="宋体"/>
                <w:color w:val="auto"/>
                <w:sz w:val="18"/>
                <w:szCs w:val="18"/>
              </w:rPr>
            </w:pPr>
          </w:p>
        </w:tc>
        <w:tc>
          <w:tcPr>
            <w:tcW w:w="291" w:type="pct"/>
            <w:vMerge w:val="restart"/>
            <w:tcBorders>
              <w:top w:val="single" w:color="auto" w:sz="4" w:space="0"/>
            </w:tcBorders>
            <w:noWrap w:val="0"/>
            <w:vAlign w:val="top"/>
          </w:tcPr>
          <w:p>
            <w:pPr>
              <w:jc w:val="center"/>
              <w:rPr>
                <w:rFonts w:ascii="宋体" w:hAnsi="宋体"/>
                <w:color w:val="auto"/>
                <w:sz w:val="18"/>
                <w:szCs w:val="18"/>
              </w:rPr>
            </w:pPr>
          </w:p>
        </w:tc>
        <w:tc>
          <w:tcPr>
            <w:tcW w:w="291" w:type="pct"/>
            <w:vMerge w:val="restart"/>
            <w:tcBorders>
              <w:top w:val="single" w:color="auto" w:sz="4" w:space="0"/>
            </w:tcBorders>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p>
        </w:tc>
        <w:tc>
          <w:tcPr>
            <w:tcW w:w="324" w:type="pct"/>
            <w:noWrap w:val="0"/>
            <w:vAlign w:val="center"/>
          </w:tcPr>
          <w:p>
            <w:pPr>
              <w:jc w:val="center"/>
              <w:rPr>
                <w:rFonts w:ascii="宋体" w:hAnsi="宋体"/>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continue"/>
            <w:noWrap w:val="0"/>
            <w:vAlign w:val="center"/>
          </w:tcPr>
          <w:p>
            <w:pPr>
              <w:jc w:val="center"/>
              <w:rPr>
                <w:rFonts w:ascii="宋体" w:hAnsi="宋体"/>
                <w:color w:val="auto"/>
                <w:sz w:val="18"/>
                <w:szCs w:val="18"/>
              </w:rPr>
            </w:pPr>
          </w:p>
        </w:tc>
        <w:tc>
          <w:tcPr>
            <w:tcW w:w="296" w:type="pct"/>
            <w:vMerge w:val="continue"/>
            <w:noWrap w:val="0"/>
            <w:vAlign w:val="center"/>
          </w:tcPr>
          <w:p>
            <w:pPr>
              <w:jc w:val="center"/>
              <w:rPr>
                <w:rFonts w:ascii="宋体" w:hAnsi="宋体"/>
                <w:color w:val="auto"/>
                <w:sz w:val="18"/>
                <w:szCs w:val="18"/>
              </w:rPr>
            </w:pPr>
          </w:p>
        </w:tc>
        <w:tc>
          <w:tcPr>
            <w:tcW w:w="296" w:type="pct"/>
            <w:vMerge w:val="continue"/>
            <w:noWrap w:val="0"/>
            <w:vAlign w:val="top"/>
          </w:tcPr>
          <w:p>
            <w:pPr>
              <w:jc w:val="center"/>
              <w:rPr>
                <w:rFonts w:ascii="宋体" w:hAnsi="宋体"/>
                <w:color w:val="auto"/>
                <w:sz w:val="18"/>
                <w:szCs w:val="18"/>
              </w:rPr>
            </w:pPr>
          </w:p>
        </w:tc>
        <w:tc>
          <w:tcPr>
            <w:tcW w:w="298" w:type="pct"/>
            <w:vMerge w:val="continue"/>
            <w:noWrap w:val="0"/>
            <w:vAlign w:val="center"/>
          </w:tcPr>
          <w:p>
            <w:pPr>
              <w:jc w:val="center"/>
              <w:rPr>
                <w:rFonts w:ascii="宋体" w:hAnsi="宋体"/>
                <w:color w:val="auto"/>
                <w:sz w:val="18"/>
                <w:szCs w:val="18"/>
              </w:rPr>
            </w:pPr>
          </w:p>
        </w:tc>
        <w:tc>
          <w:tcPr>
            <w:tcW w:w="298" w:type="pct"/>
            <w:vMerge w:val="continue"/>
            <w:noWrap w:val="0"/>
            <w:vAlign w:val="center"/>
          </w:tcPr>
          <w:p>
            <w:pPr>
              <w:jc w:val="center"/>
              <w:rPr>
                <w:rFonts w:ascii="宋体" w:hAnsi="宋体"/>
                <w:color w:val="auto"/>
                <w:sz w:val="18"/>
                <w:szCs w:val="18"/>
              </w:rPr>
            </w:pPr>
          </w:p>
        </w:tc>
        <w:tc>
          <w:tcPr>
            <w:tcW w:w="348" w:type="pct"/>
            <w:vMerge w:val="continue"/>
            <w:noWrap w:val="0"/>
            <w:vAlign w:val="center"/>
          </w:tcPr>
          <w:p>
            <w:pPr>
              <w:jc w:val="center"/>
              <w:rPr>
                <w:rFonts w:ascii="宋体" w:hAnsi="宋体"/>
                <w:color w:val="auto"/>
                <w:sz w:val="18"/>
                <w:szCs w:val="18"/>
              </w:rPr>
            </w:pPr>
          </w:p>
        </w:tc>
        <w:tc>
          <w:tcPr>
            <w:tcW w:w="241" w:type="pct"/>
            <w:vMerge w:val="continue"/>
            <w:noWrap w:val="0"/>
            <w:vAlign w:val="center"/>
          </w:tcPr>
          <w:p>
            <w:pPr>
              <w:jc w:val="center"/>
              <w:rPr>
                <w:rFonts w:ascii="宋体" w:hAnsi="宋体"/>
                <w:color w:val="auto"/>
                <w:sz w:val="18"/>
                <w:szCs w:val="18"/>
              </w:rPr>
            </w:pPr>
          </w:p>
        </w:tc>
        <w:tc>
          <w:tcPr>
            <w:tcW w:w="293" w:type="pct"/>
            <w:vMerge w:val="continue"/>
            <w:noWrap w:val="0"/>
            <w:vAlign w:val="center"/>
          </w:tcPr>
          <w:p>
            <w:pPr>
              <w:jc w:val="center"/>
              <w:rPr>
                <w:rFonts w:ascii="宋体" w:hAnsi="宋体"/>
                <w:color w:val="auto"/>
                <w:sz w:val="18"/>
                <w:szCs w:val="18"/>
              </w:rPr>
            </w:pPr>
          </w:p>
        </w:tc>
        <w:tc>
          <w:tcPr>
            <w:tcW w:w="291" w:type="pct"/>
            <w:vMerge w:val="continue"/>
            <w:noWrap w:val="0"/>
            <w:vAlign w:val="center"/>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center"/>
          </w:tcPr>
          <w:p>
            <w:pPr>
              <w:jc w:val="center"/>
              <w:rPr>
                <w:rFonts w:ascii="宋体" w:hAnsi="宋体"/>
                <w:color w:val="auto"/>
                <w:sz w:val="18"/>
                <w:szCs w:val="18"/>
              </w:rPr>
            </w:pP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285" w:type="pct"/>
            <w:noWrap w:val="0"/>
            <w:vAlign w:val="center"/>
          </w:tcPr>
          <w:p>
            <w:pPr>
              <w:jc w:val="center"/>
              <w:rPr>
                <w:rFonts w:ascii="宋体" w:hAnsi="宋体"/>
                <w:color w:val="auto"/>
                <w:sz w:val="18"/>
                <w:szCs w:val="18"/>
              </w:rPr>
            </w:pPr>
            <w:r>
              <w:rPr>
                <w:rFonts w:hint="eastAsia" w:ascii="宋体" w:hAnsi="宋体"/>
                <w:color w:val="auto"/>
                <w:sz w:val="18"/>
                <w:szCs w:val="18"/>
              </w:rPr>
              <w:t>……</w:t>
            </w:r>
          </w:p>
        </w:tc>
        <w:tc>
          <w:tcPr>
            <w:tcW w:w="324" w:type="pct"/>
            <w:noWrap w:val="0"/>
            <w:vAlign w:val="center"/>
          </w:tcPr>
          <w:p>
            <w:pPr>
              <w:jc w:val="center"/>
              <w:rPr>
                <w:rFonts w:ascii="宋体" w:hAnsi="宋体"/>
                <w:color w:val="auto"/>
                <w:sz w:val="18"/>
                <w:szCs w:val="18"/>
              </w:rPr>
            </w:pPr>
            <w:r>
              <w:rPr>
                <w:rFonts w:hint="eastAsia" w:ascii="宋体" w:hAnsi="宋体"/>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restart"/>
            <w:noWrap w:val="0"/>
            <w:vAlign w:val="center"/>
          </w:tcPr>
          <w:p>
            <w:pPr>
              <w:jc w:val="center"/>
              <w:rPr>
                <w:rFonts w:ascii="宋体" w:hAnsi="宋体"/>
                <w:color w:val="auto"/>
                <w:sz w:val="18"/>
                <w:szCs w:val="18"/>
              </w:rPr>
            </w:pPr>
            <w:r>
              <w:rPr>
                <w:rFonts w:hint="eastAsia" w:ascii="宋体" w:hAnsi="宋体"/>
                <w:color w:val="auto"/>
                <w:sz w:val="18"/>
                <w:szCs w:val="18"/>
              </w:rPr>
              <w:t>3</w:t>
            </w:r>
          </w:p>
        </w:tc>
        <w:tc>
          <w:tcPr>
            <w:tcW w:w="296" w:type="pct"/>
            <w:vMerge w:val="restart"/>
            <w:noWrap w:val="0"/>
            <w:vAlign w:val="center"/>
          </w:tcPr>
          <w:p>
            <w:pPr>
              <w:jc w:val="center"/>
              <w:rPr>
                <w:rFonts w:ascii="宋体" w:hAnsi="宋体"/>
                <w:color w:val="auto"/>
                <w:sz w:val="18"/>
                <w:szCs w:val="18"/>
              </w:rPr>
            </w:pPr>
          </w:p>
        </w:tc>
        <w:tc>
          <w:tcPr>
            <w:tcW w:w="296" w:type="pct"/>
            <w:vMerge w:val="restart"/>
            <w:noWrap w:val="0"/>
            <w:vAlign w:val="top"/>
          </w:tcPr>
          <w:p>
            <w:pPr>
              <w:jc w:val="center"/>
              <w:rPr>
                <w:rFonts w:ascii="宋体" w:hAnsi="宋体"/>
                <w:color w:val="auto"/>
                <w:sz w:val="18"/>
                <w:szCs w:val="18"/>
              </w:rPr>
            </w:pPr>
          </w:p>
        </w:tc>
        <w:tc>
          <w:tcPr>
            <w:tcW w:w="298" w:type="pct"/>
            <w:vMerge w:val="restart"/>
            <w:noWrap w:val="0"/>
            <w:vAlign w:val="center"/>
          </w:tcPr>
          <w:p>
            <w:pPr>
              <w:jc w:val="center"/>
              <w:rPr>
                <w:rFonts w:ascii="宋体" w:hAnsi="宋体"/>
                <w:color w:val="auto"/>
                <w:sz w:val="18"/>
                <w:szCs w:val="18"/>
              </w:rPr>
            </w:pPr>
          </w:p>
        </w:tc>
        <w:tc>
          <w:tcPr>
            <w:tcW w:w="298" w:type="pct"/>
            <w:vMerge w:val="restart"/>
            <w:noWrap w:val="0"/>
            <w:vAlign w:val="center"/>
          </w:tcPr>
          <w:p>
            <w:pPr>
              <w:jc w:val="center"/>
              <w:rPr>
                <w:rFonts w:ascii="宋体" w:hAnsi="宋体"/>
                <w:color w:val="auto"/>
                <w:sz w:val="18"/>
                <w:szCs w:val="18"/>
              </w:rPr>
            </w:pPr>
          </w:p>
        </w:tc>
        <w:tc>
          <w:tcPr>
            <w:tcW w:w="348" w:type="pct"/>
            <w:vMerge w:val="restart"/>
            <w:noWrap w:val="0"/>
            <w:vAlign w:val="center"/>
          </w:tcPr>
          <w:p>
            <w:pPr>
              <w:jc w:val="center"/>
              <w:rPr>
                <w:rFonts w:ascii="宋体" w:hAnsi="宋体"/>
                <w:color w:val="auto"/>
                <w:sz w:val="18"/>
                <w:szCs w:val="18"/>
              </w:rPr>
            </w:pPr>
          </w:p>
        </w:tc>
        <w:tc>
          <w:tcPr>
            <w:tcW w:w="241" w:type="pct"/>
            <w:vMerge w:val="restart"/>
            <w:noWrap w:val="0"/>
            <w:vAlign w:val="center"/>
          </w:tcPr>
          <w:p>
            <w:pPr>
              <w:jc w:val="center"/>
              <w:rPr>
                <w:rFonts w:ascii="宋体" w:hAnsi="宋体"/>
                <w:color w:val="auto"/>
                <w:sz w:val="18"/>
                <w:szCs w:val="18"/>
              </w:rPr>
            </w:pPr>
          </w:p>
        </w:tc>
        <w:tc>
          <w:tcPr>
            <w:tcW w:w="293" w:type="pct"/>
            <w:vMerge w:val="restart"/>
            <w:noWrap w:val="0"/>
            <w:vAlign w:val="center"/>
          </w:tcPr>
          <w:p>
            <w:pPr>
              <w:jc w:val="center"/>
              <w:rPr>
                <w:rFonts w:ascii="宋体" w:hAnsi="宋体"/>
                <w:color w:val="auto"/>
                <w:sz w:val="18"/>
                <w:szCs w:val="18"/>
              </w:rPr>
            </w:pPr>
          </w:p>
        </w:tc>
        <w:tc>
          <w:tcPr>
            <w:tcW w:w="291" w:type="pct"/>
            <w:vMerge w:val="restart"/>
            <w:noWrap w:val="0"/>
            <w:vAlign w:val="center"/>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center"/>
          </w:tcPr>
          <w:p>
            <w:pPr>
              <w:jc w:val="center"/>
              <w:rPr>
                <w:rFonts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324" w:type="pct"/>
            <w:noWrap w:val="0"/>
            <w:vAlign w:val="center"/>
          </w:tcPr>
          <w:p>
            <w:pPr>
              <w:jc w:val="center"/>
              <w:rPr>
                <w:rFonts w:hint="eastAsia" w:ascii="宋体" w:hAnsi="宋体"/>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continue"/>
            <w:noWrap w:val="0"/>
            <w:vAlign w:val="center"/>
          </w:tcPr>
          <w:p>
            <w:pPr>
              <w:jc w:val="center"/>
              <w:rPr>
                <w:rFonts w:ascii="宋体" w:hAnsi="宋体"/>
                <w:color w:val="auto"/>
                <w:sz w:val="18"/>
                <w:szCs w:val="18"/>
              </w:rPr>
            </w:pPr>
          </w:p>
        </w:tc>
        <w:tc>
          <w:tcPr>
            <w:tcW w:w="296" w:type="pct"/>
            <w:vMerge w:val="continue"/>
            <w:noWrap w:val="0"/>
            <w:vAlign w:val="center"/>
          </w:tcPr>
          <w:p>
            <w:pPr>
              <w:jc w:val="center"/>
              <w:rPr>
                <w:rFonts w:ascii="宋体" w:hAnsi="宋体"/>
                <w:color w:val="auto"/>
                <w:sz w:val="18"/>
                <w:szCs w:val="18"/>
              </w:rPr>
            </w:pPr>
          </w:p>
        </w:tc>
        <w:tc>
          <w:tcPr>
            <w:tcW w:w="296" w:type="pct"/>
            <w:vMerge w:val="continue"/>
            <w:noWrap w:val="0"/>
            <w:vAlign w:val="top"/>
          </w:tcPr>
          <w:p>
            <w:pPr>
              <w:jc w:val="center"/>
              <w:rPr>
                <w:rFonts w:ascii="宋体" w:hAnsi="宋体"/>
                <w:color w:val="auto"/>
                <w:sz w:val="18"/>
                <w:szCs w:val="18"/>
              </w:rPr>
            </w:pPr>
          </w:p>
        </w:tc>
        <w:tc>
          <w:tcPr>
            <w:tcW w:w="298" w:type="pct"/>
            <w:vMerge w:val="continue"/>
            <w:noWrap w:val="0"/>
            <w:vAlign w:val="center"/>
          </w:tcPr>
          <w:p>
            <w:pPr>
              <w:jc w:val="center"/>
              <w:rPr>
                <w:rFonts w:ascii="宋体" w:hAnsi="宋体"/>
                <w:color w:val="auto"/>
                <w:sz w:val="18"/>
                <w:szCs w:val="18"/>
              </w:rPr>
            </w:pPr>
          </w:p>
        </w:tc>
        <w:tc>
          <w:tcPr>
            <w:tcW w:w="298" w:type="pct"/>
            <w:vMerge w:val="continue"/>
            <w:noWrap w:val="0"/>
            <w:vAlign w:val="center"/>
          </w:tcPr>
          <w:p>
            <w:pPr>
              <w:jc w:val="center"/>
              <w:rPr>
                <w:rFonts w:ascii="宋体" w:hAnsi="宋体"/>
                <w:color w:val="auto"/>
                <w:sz w:val="18"/>
                <w:szCs w:val="18"/>
              </w:rPr>
            </w:pPr>
          </w:p>
        </w:tc>
        <w:tc>
          <w:tcPr>
            <w:tcW w:w="348" w:type="pct"/>
            <w:vMerge w:val="continue"/>
            <w:noWrap w:val="0"/>
            <w:vAlign w:val="center"/>
          </w:tcPr>
          <w:p>
            <w:pPr>
              <w:jc w:val="center"/>
              <w:rPr>
                <w:rFonts w:ascii="宋体" w:hAnsi="宋体"/>
                <w:color w:val="auto"/>
                <w:sz w:val="18"/>
                <w:szCs w:val="18"/>
              </w:rPr>
            </w:pPr>
          </w:p>
        </w:tc>
        <w:tc>
          <w:tcPr>
            <w:tcW w:w="241" w:type="pct"/>
            <w:vMerge w:val="continue"/>
            <w:noWrap w:val="0"/>
            <w:vAlign w:val="center"/>
          </w:tcPr>
          <w:p>
            <w:pPr>
              <w:jc w:val="center"/>
              <w:rPr>
                <w:rFonts w:ascii="宋体" w:hAnsi="宋体"/>
                <w:color w:val="auto"/>
                <w:sz w:val="18"/>
                <w:szCs w:val="18"/>
              </w:rPr>
            </w:pPr>
          </w:p>
        </w:tc>
        <w:tc>
          <w:tcPr>
            <w:tcW w:w="293" w:type="pct"/>
            <w:vMerge w:val="continue"/>
            <w:noWrap w:val="0"/>
            <w:vAlign w:val="center"/>
          </w:tcPr>
          <w:p>
            <w:pPr>
              <w:jc w:val="center"/>
              <w:rPr>
                <w:rFonts w:ascii="宋体" w:hAnsi="宋体"/>
                <w:color w:val="auto"/>
                <w:sz w:val="18"/>
                <w:szCs w:val="18"/>
              </w:rPr>
            </w:pPr>
          </w:p>
        </w:tc>
        <w:tc>
          <w:tcPr>
            <w:tcW w:w="291" w:type="pct"/>
            <w:vMerge w:val="continue"/>
            <w:noWrap w:val="0"/>
            <w:vAlign w:val="center"/>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top"/>
          </w:tcPr>
          <w:p>
            <w:pPr>
              <w:jc w:val="center"/>
              <w:rPr>
                <w:rFonts w:ascii="宋体" w:hAnsi="宋体"/>
                <w:color w:val="auto"/>
                <w:sz w:val="18"/>
                <w:szCs w:val="18"/>
              </w:rPr>
            </w:pPr>
          </w:p>
        </w:tc>
        <w:tc>
          <w:tcPr>
            <w:tcW w:w="291" w:type="pct"/>
            <w:vMerge w:val="continue"/>
            <w:noWrap w:val="0"/>
            <w:vAlign w:val="center"/>
          </w:tcPr>
          <w:p>
            <w:pPr>
              <w:jc w:val="center"/>
              <w:rPr>
                <w:rFonts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324" w:type="pct"/>
            <w:noWrap w:val="0"/>
            <w:vAlign w:val="center"/>
          </w:tcPr>
          <w:p>
            <w:pPr>
              <w:jc w:val="center"/>
              <w:rPr>
                <w:rFonts w:hint="eastAsia" w:ascii="宋体" w:hAnsi="宋体"/>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restart"/>
            <w:noWrap w:val="0"/>
            <w:vAlign w:val="center"/>
          </w:tcPr>
          <w:p>
            <w:pPr>
              <w:jc w:val="center"/>
              <w:rPr>
                <w:rFonts w:hint="eastAsia"/>
                <w:color w:val="auto"/>
                <w:szCs w:val="21"/>
              </w:rPr>
            </w:pPr>
            <w:r>
              <w:rPr>
                <w:rFonts w:hint="eastAsia"/>
                <w:color w:val="auto"/>
                <w:szCs w:val="21"/>
              </w:rPr>
              <w:t>……</w:t>
            </w:r>
          </w:p>
        </w:tc>
        <w:tc>
          <w:tcPr>
            <w:tcW w:w="296" w:type="pct"/>
            <w:vMerge w:val="restart"/>
            <w:noWrap w:val="0"/>
            <w:vAlign w:val="center"/>
          </w:tcPr>
          <w:p>
            <w:pPr>
              <w:jc w:val="center"/>
              <w:rPr>
                <w:rFonts w:ascii="宋体" w:hAnsi="宋体"/>
                <w:color w:val="auto"/>
                <w:sz w:val="18"/>
                <w:szCs w:val="18"/>
              </w:rPr>
            </w:pPr>
          </w:p>
        </w:tc>
        <w:tc>
          <w:tcPr>
            <w:tcW w:w="296" w:type="pct"/>
            <w:vMerge w:val="restart"/>
            <w:noWrap w:val="0"/>
            <w:vAlign w:val="top"/>
          </w:tcPr>
          <w:p>
            <w:pPr>
              <w:jc w:val="center"/>
              <w:rPr>
                <w:rFonts w:ascii="宋体" w:hAnsi="宋体"/>
                <w:color w:val="auto"/>
                <w:sz w:val="18"/>
                <w:szCs w:val="18"/>
              </w:rPr>
            </w:pPr>
          </w:p>
        </w:tc>
        <w:tc>
          <w:tcPr>
            <w:tcW w:w="298" w:type="pct"/>
            <w:vMerge w:val="restart"/>
            <w:noWrap w:val="0"/>
            <w:vAlign w:val="center"/>
          </w:tcPr>
          <w:p>
            <w:pPr>
              <w:jc w:val="center"/>
              <w:rPr>
                <w:rFonts w:ascii="宋体" w:hAnsi="宋体"/>
                <w:color w:val="auto"/>
                <w:sz w:val="18"/>
                <w:szCs w:val="18"/>
              </w:rPr>
            </w:pPr>
          </w:p>
        </w:tc>
        <w:tc>
          <w:tcPr>
            <w:tcW w:w="298" w:type="pct"/>
            <w:vMerge w:val="restart"/>
            <w:noWrap w:val="0"/>
            <w:vAlign w:val="center"/>
          </w:tcPr>
          <w:p>
            <w:pPr>
              <w:jc w:val="center"/>
              <w:rPr>
                <w:rFonts w:ascii="宋体" w:hAnsi="宋体"/>
                <w:color w:val="auto"/>
                <w:sz w:val="18"/>
                <w:szCs w:val="18"/>
              </w:rPr>
            </w:pPr>
          </w:p>
        </w:tc>
        <w:tc>
          <w:tcPr>
            <w:tcW w:w="348" w:type="pct"/>
            <w:vMerge w:val="restart"/>
            <w:noWrap w:val="0"/>
            <w:vAlign w:val="center"/>
          </w:tcPr>
          <w:p>
            <w:pPr>
              <w:jc w:val="center"/>
              <w:rPr>
                <w:rFonts w:ascii="宋体" w:hAnsi="宋体"/>
                <w:color w:val="auto"/>
                <w:sz w:val="18"/>
                <w:szCs w:val="18"/>
              </w:rPr>
            </w:pPr>
          </w:p>
        </w:tc>
        <w:tc>
          <w:tcPr>
            <w:tcW w:w="241" w:type="pct"/>
            <w:vMerge w:val="restart"/>
            <w:noWrap w:val="0"/>
            <w:vAlign w:val="center"/>
          </w:tcPr>
          <w:p>
            <w:pPr>
              <w:jc w:val="center"/>
              <w:rPr>
                <w:rFonts w:ascii="宋体" w:hAnsi="宋体"/>
                <w:color w:val="auto"/>
                <w:sz w:val="18"/>
                <w:szCs w:val="18"/>
              </w:rPr>
            </w:pPr>
          </w:p>
        </w:tc>
        <w:tc>
          <w:tcPr>
            <w:tcW w:w="293" w:type="pct"/>
            <w:vMerge w:val="restart"/>
            <w:noWrap w:val="0"/>
            <w:vAlign w:val="center"/>
          </w:tcPr>
          <w:p>
            <w:pPr>
              <w:jc w:val="center"/>
              <w:rPr>
                <w:rFonts w:ascii="宋体" w:hAnsi="宋体"/>
                <w:color w:val="auto"/>
                <w:sz w:val="18"/>
                <w:szCs w:val="18"/>
              </w:rPr>
            </w:pPr>
          </w:p>
        </w:tc>
        <w:tc>
          <w:tcPr>
            <w:tcW w:w="291" w:type="pct"/>
            <w:vMerge w:val="restart"/>
            <w:noWrap w:val="0"/>
            <w:vAlign w:val="center"/>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top"/>
          </w:tcPr>
          <w:p>
            <w:pPr>
              <w:jc w:val="center"/>
              <w:rPr>
                <w:rFonts w:ascii="宋体" w:hAnsi="宋体"/>
                <w:color w:val="auto"/>
                <w:sz w:val="18"/>
                <w:szCs w:val="18"/>
              </w:rPr>
            </w:pPr>
          </w:p>
        </w:tc>
        <w:tc>
          <w:tcPr>
            <w:tcW w:w="291" w:type="pct"/>
            <w:vMerge w:val="restart"/>
            <w:noWrap w:val="0"/>
            <w:vAlign w:val="center"/>
          </w:tcPr>
          <w:p>
            <w:pPr>
              <w:jc w:val="center"/>
              <w:rPr>
                <w:rFonts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324" w:type="pct"/>
            <w:noWrap w:val="0"/>
            <w:vAlign w:val="center"/>
          </w:tcPr>
          <w:p>
            <w:pPr>
              <w:jc w:val="center"/>
              <w:rPr>
                <w:rFonts w:hint="eastAsia" w:ascii="宋体" w:hAnsi="宋体"/>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trPr>
        <w:tc>
          <w:tcPr>
            <w:tcW w:w="296" w:type="pct"/>
            <w:vMerge w:val="continue"/>
            <w:tcBorders>
              <w:bottom w:val="single" w:color="auto" w:sz="4" w:space="0"/>
            </w:tcBorders>
            <w:noWrap w:val="0"/>
            <w:vAlign w:val="center"/>
          </w:tcPr>
          <w:p>
            <w:pPr>
              <w:jc w:val="center"/>
              <w:rPr>
                <w:rFonts w:hint="eastAsia"/>
                <w:color w:val="auto"/>
                <w:szCs w:val="21"/>
              </w:rPr>
            </w:pPr>
          </w:p>
        </w:tc>
        <w:tc>
          <w:tcPr>
            <w:tcW w:w="296" w:type="pct"/>
            <w:vMerge w:val="continue"/>
            <w:tcBorders>
              <w:bottom w:val="single" w:color="auto" w:sz="4" w:space="0"/>
            </w:tcBorders>
            <w:noWrap w:val="0"/>
            <w:vAlign w:val="center"/>
          </w:tcPr>
          <w:p>
            <w:pPr>
              <w:jc w:val="center"/>
              <w:rPr>
                <w:rFonts w:ascii="宋体" w:hAnsi="宋体"/>
                <w:color w:val="auto"/>
                <w:sz w:val="18"/>
                <w:szCs w:val="18"/>
              </w:rPr>
            </w:pPr>
          </w:p>
        </w:tc>
        <w:tc>
          <w:tcPr>
            <w:tcW w:w="296" w:type="pct"/>
            <w:vMerge w:val="continue"/>
            <w:tcBorders>
              <w:bottom w:val="single" w:color="auto" w:sz="4" w:space="0"/>
            </w:tcBorders>
            <w:noWrap w:val="0"/>
            <w:vAlign w:val="top"/>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298" w:type="pct"/>
            <w:vMerge w:val="continue"/>
            <w:tcBorders>
              <w:bottom w:val="single" w:color="auto" w:sz="4" w:space="0"/>
            </w:tcBorders>
            <w:noWrap w:val="0"/>
            <w:vAlign w:val="center"/>
          </w:tcPr>
          <w:p>
            <w:pPr>
              <w:jc w:val="center"/>
              <w:rPr>
                <w:rFonts w:ascii="宋体" w:hAnsi="宋体"/>
                <w:color w:val="auto"/>
                <w:sz w:val="18"/>
                <w:szCs w:val="18"/>
              </w:rPr>
            </w:pPr>
          </w:p>
        </w:tc>
        <w:tc>
          <w:tcPr>
            <w:tcW w:w="348" w:type="pct"/>
            <w:vMerge w:val="continue"/>
            <w:tcBorders>
              <w:bottom w:val="single" w:color="auto" w:sz="4" w:space="0"/>
            </w:tcBorders>
            <w:noWrap w:val="0"/>
            <w:vAlign w:val="center"/>
          </w:tcPr>
          <w:p>
            <w:pPr>
              <w:jc w:val="center"/>
              <w:rPr>
                <w:rFonts w:ascii="宋体" w:hAnsi="宋体"/>
                <w:color w:val="auto"/>
                <w:sz w:val="18"/>
                <w:szCs w:val="18"/>
              </w:rPr>
            </w:pPr>
          </w:p>
        </w:tc>
        <w:tc>
          <w:tcPr>
            <w:tcW w:w="241" w:type="pct"/>
            <w:vMerge w:val="continue"/>
            <w:tcBorders>
              <w:bottom w:val="single" w:color="auto" w:sz="4" w:space="0"/>
            </w:tcBorders>
            <w:noWrap w:val="0"/>
            <w:vAlign w:val="center"/>
          </w:tcPr>
          <w:p>
            <w:pPr>
              <w:jc w:val="center"/>
              <w:rPr>
                <w:rFonts w:ascii="宋体" w:hAnsi="宋体"/>
                <w:color w:val="auto"/>
                <w:sz w:val="18"/>
                <w:szCs w:val="18"/>
              </w:rPr>
            </w:pPr>
          </w:p>
        </w:tc>
        <w:tc>
          <w:tcPr>
            <w:tcW w:w="293"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top"/>
          </w:tcPr>
          <w:p>
            <w:pPr>
              <w:jc w:val="center"/>
              <w:rPr>
                <w:rFonts w:ascii="宋体" w:hAnsi="宋体"/>
                <w:color w:val="auto"/>
                <w:sz w:val="18"/>
                <w:szCs w:val="18"/>
              </w:rPr>
            </w:pPr>
          </w:p>
        </w:tc>
        <w:tc>
          <w:tcPr>
            <w:tcW w:w="291" w:type="pct"/>
            <w:vMerge w:val="continue"/>
            <w:tcBorders>
              <w:bottom w:val="single" w:color="auto" w:sz="4" w:space="0"/>
            </w:tcBorders>
            <w:noWrap w:val="0"/>
            <w:vAlign w:val="center"/>
          </w:tcPr>
          <w:p>
            <w:pPr>
              <w:jc w:val="center"/>
              <w:rPr>
                <w:rFonts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285" w:type="pct"/>
            <w:noWrap w:val="0"/>
            <w:vAlign w:val="center"/>
          </w:tcPr>
          <w:p>
            <w:pPr>
              <w:jc w:val="center"/>
              <w:rPr>
                <w:rFonts w:hint="eastAsia" w:ascii="宋体" w:hAnsi="宋体"/>
                <w:color w:val="auto"/>
                <w:sz w:val="18"/>
                <w:szCs w:val="18"/>
              </w:rPr>
            </w:pPr>
          </w:p>
        </w:tc>
        <w:tc>
          <w:tcPr>
            <w:tcW w:w="324" w:type="pct"/>
            <w:noWrap w:val="0"/>
            <w:vAlign w:val="center"/>
          </w:tcPr>
          <w:p>
            <w:pPr>
              <w:jc w:val="center"/>
              <w:rPr>
                <w:rFonts w:hint="eastAsia" w:ascii="宋体" w:hAnsi="宋体"/>
                <w:color w:val="auto"/>
                <w:sz w:val="18"/>
                <w:szCs w:val="18"/>
              </w:rPr>
            </w:pPr>
          </w:p>
        </w:tc>
      </w:tr>
    </w:tbl>
    <w:p>
      <w:pPr>
        <w:jc w:val="left"/>
        <w:rPr>
          <w:rFonts w:hint="eastAsia" w:ascii="黑体" w:hAnsi="黑体" w:eastAsia="黑体"/>
          <w:color w:val="auto"/>
          <w:sz w:val="24"/>
        </w:rPr>
      </w:pPr>
    </w:p>
    <w:p>
      <w:pPr>
        <w:jc w:val="left"/>
        <w:rPr>
          <w:rFonts w:hint="eastAsia" w:ascii="黑体" w:hAnsi="黑体" w:eastAsia="黑体"/>
          <w:color w:val="auto"/>
          <w:sz w:val="24"/>
        </w:rPr>
      </w:pPr>
    </w:p>
    <w:p>
      <w:pPr>
        <w:spacing w:line="420" w:lineRule="exact"/>
        <w:ind w:left="630" w:leftChars="300"/>
        <w:rPr>
          <w:rFonts w:ascii="宋体" w:hAnsi="宋体"/>
          <w:color w:val="auto"/>
        </w:rPr>
      </w:pPr>
      <w:r>
        <w:rPr>
          <w:rFonts w:hint="eastAsia" w:ascii="宋体" w:hAnsi="宋体"/>
          <w:color w:val="auto"/>
          <w:szCs w:val="21"/>
        </w:rPr>
        <w:t>备注：1.</w:t>
      </w:r>
      <w:r>
        <w:rPr>
          <w:rFonts w:hint="eastAsia" w:ascii="宋体" w:hAnsi="宋体"/>
          <w:color w:val="auto"/>
        </w:rPr>
        <w:t>本表格内的信息投标人在《湖北省水利建设市场主体信用信息平台》网站填报时应如实填写，如因投标人不填或者虚假填报影响评标委员</w:t>
      </w:r>
    </w:p>
    <w:p>
      <w:pPr>
        <w:spacing w:line="420" w:lineRule="exact"/>
        <w:ind w:left="630" w:leftChars="300" w:firstLine="840" w:firstLineChars="400"/>
        <w:rPr>
          <w:rFonts w:hint="eastAsia" w:ascii="宋体" w:hAnsi="宋体"/>
          <w:color w:val="auto"/>
          <w:szCs w:val="21"/>
        </w:rPr>
      </w:pPr>
      <w:r>
        <w:rPr>
          <w:rFonts w:hint="eastAsia" w:ascii="宋体" w:hAnsi="宋体"/>
          <w:color w:val="auto"/>
        </w:rPr>
        <w:t>会评审的，后果自负。</w:t>
      </w:r>
    </w:p>
    <w:p>
      <w:pPr>
        <w:spacing w:line="420" w:lineRule="exact"/>
        <w:ind w:left="630" w:leftChars="300" w:firstLine="630" w:firstLineChars="300"/>
        <w:rPr>
          <w:rFonts w:ascii="宋体" w:hAnsi="宋体"/>
          <w:color w:val="auto"/>
          <w:szCs w:val="21"/>
        </w:rPr>
        <w:sectPr>
          <w:footerReference r:id="rId17" w:type="default"/>
          <w:footerReference r:id="rId18" w:type="even"/>
          <w:pgSz w:w="16838" w:h="11906" w:orient="landscape"/>
          <w:pgMar w:top="1418" w:right="1418" w:bottom="1469" w:left="1418" w:header="851" w:footer="992" w:gutter="0"/>
          <w:pgNumType w:fmt="decimal"/>
          <w:cols w:space="720" w:num="1"/>
          <w:docGrid w:linePitch="312" w:charSpace="0"/>
        </w:sectPr>
      </w:pPr>
      <w:r>
        <w:rPr>
          <w:rFonts w:ascii="宋体" w:hAnsi="宋体"/>
          <w:color w:val="auto"/>
          <w:szCs w:val="21"/>
        </w:rPr>
        <w:t>2.本表仅为</w:t>
      </w:r>
      <w:r>
        <w:rPr>
          <w:rFonts w:hint="eastAsia" w:ascii="宋体" w:hAnsi="宋体"/>
          <w:color w:val="auto"/>
        </w:rPr>
        <w:t>格式</w:t>
      </w:r>
      <w:r>
        <w:rPr>
          <w:rFonts w:hint="eastAsia"/>
          <w:color w:val="auto"/>
          <w:szCs w:val="21"/>
        </w:rPr>
        <w:t>示意</w:t>
      </w:r>
      <w:r>
        <w:rPr>
          <w:rFonts w:hint="eastAsia" w:ascii="宋体" w:hAnsi="宋体"/>
          <w:color w:val="auto"/>
        </w:rPr>
        <w:t>，具体以《湖北省水利建设市场主体信用信息平台》导出为准。</w:t>
      </w:r>
    </w:p>
    <w:p>
      <w:pPr>
        <w:pStyle w:val="87"/>
        <w:spacing w:after="120" w:afterLines="50"/>
        <w:jc w:val="center"/>
        <w:rPr>
          <w:rFonts w:hint="eastAsia"/>
          <w:color w:val="auto"/>
          <w:szCs w:val="24"/>
        </w:rPr>
      </w:pPr>
      <w:bookmarkStart w:id="2825" w:name="_Toc9074"/>
      <w:r>
        <w:rPr>
          <w:rFonts w:hint="eastAsia"/>
          <w:color w:val="auto"/>
          <w:szCs w:val="24"/>
        </w:rPr>
        <w:t>（五）项目管理机构主要人员及简历</w:t>
      </w:r>
      <w:bookmarkEnd w:id="2825"/>
    </w:p>
    <w:p>
      <w:pPr>
        <w:spacing w:line="400" w:lineRule="exact"/>
        <w:jc w:val="center"/>
        <w:rPr>
          <w:rFonts w:hint="eastAsia"/>
          <w:color w:val="auto"/>
        </w:rPr>
      </w:pPr>
      <w:r>
        <w:rPr>
          <w:rFonts w:hint="eastAsia"/>
          <w:color w:val="auto"/>
        </w:rPr>
        <w:t>说明：见本章“六、项目管理机构”相关内容。</w:t>
      </w:r>
    </w:p>
    <w:p>
      <w:pPr>
        <w:spacing w:line="400" w:lineRule="exact"/>
        <w:rPr>
          <w:rFonts w:hint="eastAsia"/>
          <w:color w:val="auto"/>
        </w:rPr>
      </w:pPr>
    </w:p>
    <w:p>
      <w:pPr>
        <w:spacing w:line="400" w:lineRule="exact"/>
        <w:rPr>
          <w:rFonts w:hint="eastAsia"/>
          <w:color w:val="auto"/>
        </w:rPr>
      </w:pPr>
    </w:p>
    <w:p>
      <w:pPr>
        <w:pStyle w:val="87"/>
        <w:spacing w:after="120" w:afterLines="50"/>
        <w:jc w:val="center"/>
        <w:rPr>
          <w:rFonts w:hint="eastAsia"/>
          <w:color w:val="auto"/>
          <w:szCs w:val="24"/>
        </w:rPr>
      </w:pPr>
      <w:bookmarkStart w:id="2826" w:name="_Toc29265"/>
      <w:r>
        <w:rPr>
          <w:rFonts w:hint="eastAsia"/>
          <w:color w:val="auto"/>
          <w:szCs w:val="24"/>
        </w:rPr>
        <w:t>（六）拟投入主要施工设备情况</w:t>
      </w:r>
      <w:bookmarkEnd w:id="2826"/>
    </w:p>
    <w:p>
      <w:pPr>
        <w:spacing w:line="400" w:lineRule="exact"/>
        <w:jc w:val="center"/>
        <w:rPr>
          <w:rFonts w:hint="eastAsia"/>
          <w:color w:val="auto"/>
        </w:rPr>
      </w:pPr>
      <w:r>
        <w:rPr>
          <w:rFonts w:hint="eastAsia"/>
          <w:color w:val="auto"/>
        </w:rPr>
        <w:t>说明：见本章“五、施工组织设计”相关内容。</w:t>
      </w:r>
    </w:p>
    <w:p>
      <w:pPr>
        <w:spacing w:line="420" w:lineRule="exact"/>
        <w:ind w:left="735" w:hanging="735" w:hangingChars="350"/>
        <w:jc w:val="center"/>
        <w:rPr>
          <w:color w:val="auto"/>
          <w:szCs w:val="21"/>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pStyle w:val="80"/>
        <w:spacing w:before="120" w:after="120" w:afterLines="50"/>
        <w:jc w:val="center"/>
        <w:rPr>
          <w:color w:val="auto"/>
          <w:szCs w:val="28"/>
        </w:rPr>
      </w:pPr>
      <w:bookmarkStart w:id="2827" w:name="_Toc21583"/>
      <w:r>
        <w:rPr>
          <w:rFonts w:hint="eastAsia"/>
          <w:color w:val="auto"/>
        </w:rPr>
        <w:t>九、</w:t>
      </w:r>
      <w:r>
        <w:rPr>
          <w:color w:val="auto"/>
        </w:rPr>
        <w:t>拟分包项目情况表</w:t>
      </w:r>
      <w:bookmarkEnd w:id="2827"/>
    </w:p>
    <w:p>
      <w:pPr>
        <w:spacing w:line="440" w:lineRule="exact"/>
        <w:rPr>
          <w:rFonts w:hint="eastAsia" w:eastAsia="黑体"/>
          <w:color w:val="auto"/>
          <w:sz w:val="20"/>
          <w:szCs w:val="20"/>
        </w:rPr>
      </w:pPr>
      <w:r>
        <w:rPr>
          <w:rFonts w:eastAsia="黑体"/>
          <w:color w:val="auto"/>
          <w:sz w:val="20"/>
          <w:szCs w:val="20"/>
        </w:rPr>
        <w:t xml:space="preserve">                          </w:t>
      </w:r>
    </w:p>
    <w:tbl>
      <w:tblPr>
        <w:tblStyle w:val="3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6"/>
        <w:gridCol w:w="2551"/>
        <w:gridCol w:w="1936"/>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分包人名称</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地</w:t>
            </w:r>
            <w:r>
              <w:rPr>
                <w:rFonts w:hint="eastAsia" w:ascii="宋体" w:hAnsi="宋体"/>
                <w:color w:val="auto"/>
                <w:szCs w:val="21"/>
              </w:rPr>
              <w:t xml:space="preserve">    </w:t>
            </w:r>
            <w:r>
              <w:rPr>
                <w:rFonts w:ascii="宋体" w:hAnsi="宋体"/>
                <w:color w:val="auto"/>
                <w:szCs w:val="21"/>
              </w:rPr>
              <w:t xml:space="preserve"> 址</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法定代表人</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电</w:t>
            </w:r>
            <w:r>
              <w:rPr>
                <w:rFonts w:hint="eastAsia" w:ascii="宋体" w:hAnsi="宋体"/>
                <w:color w:val="auto"/>
                <w:szCs w:val="21"/>
              </w:rPr>
              <w:t xml:space="preserve">     </w:t>
            </w:r>
            <w:r>
              <w:rPr>
                <w:rFonts w:ascii="宋体" w:hAnsi="宋体"/>
                <w:color w:val="auto"/>
                <w:szCs w:val="21"/>
              </w:rPr>
              <w:t>话</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营业执照号码</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资质等级</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拟分包的工程项目</w:t>
            </w:r>
          </w:p>
        </w:tc>
        <w:tc>
          <w:tcPr>
            <w:tcW w:w="1381" w:type="pct"/>
            <w:noWrap w:val="0"/>
            <w:vAlign w:val="center"/>
          </w:tcPr>
          <w:p>
            <w:pPr>
              <w:jc w:val="center"/>
              <w:rPr>
                <w:rFonts w:ascii="宋体" w:hAnsi="宋体"/>
                <w:color w:val="auto"/>
                <w:szCs w:val="21"/>
              </w:rPr>
            </w:pPr>
            <w:r>
              <w:rPr>
                <w:rFonts w:ascii="宋体" w:hAnsi="宋体"/>
                <w:color w:val="auto"/>
                <w:szCs w:val="21"/>
              </w:rPr>
              <w:t>主 要 内 容</w:t>
            </w:r>
          </w:p>
        </w:tc>
        <w:tc>
          <w:tcPr>
            <w:tcW w:w="1048" w:type="pct"/>
            <w:noWrap w:val="0"/>
            <w:vAlign w:val="center"/>
          </w:tcPr>
          <w:p>
            <w:pPr>
              <w:jc w:val="center"/>
              <w:rPr>
                <w:rFonts w:ascii="宋体" w:hAnsi="宋体"/>
                <w:color w:val="auto"/>
                <w:szCs w:val="21"/>
              </w:rPr>
            </w:pPr>
            <w:r>
              <w:rPr>
                <w:rFonts w:ascii="宋体" w:hAnsi="宋体"/>
                <w:color w:val="auto"/>
                <w:szCs w:val="21"/>
              </w:rPr>
              <w:t>预计造价（万元）</w:t>
            </w:r>
          </w:p>
        </w:tc>
        <w:tc>
          <w:tcPr>
            <w:tcW w:w="1452" w:type="pct"/>
            <w:noWrap w:val="0"/>
            <w:vAlign w:val="center"/>
          </w:tcPr>
          <w:p>
            <w:pPr>
              <w:jc w:val="center"/>
              <w:rPr>
                <w:rFonts w:ascii="宋体" w:hAnsi="宋体"/>
                <w:color w:val="auto"/>
                <w:szCs w:val="21"/>
              </w:rPr>
            </w:pPr>
            <w:r>
              <w:rPr>
                <w:rFonts w:ascii="宋体" w:hAnsi="宋体"/>
                <w:color w:val="auto"/>
                <w:szCs w:val="21"/>
              </w:rPr>
              <w:t>已经做过的类似</w:t>
            </w:r>
            <w:r>
              <w:rPr>
                <w:rFonts w:hint="eastAsia" w:ascii="宋体" w:hAnsi="宋体"/>
                <w:color w:val="auto"/>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restart"/>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4"/>
            <w:noWrap w:val="0"/>
            <w:vAlign w:val="center"/>
          </w:tcPr>
          <w:p>
            <w:pPr>
              <w:jc w:val="center"/>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分包人名称</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地</w:t>
            </w:r>
            <w:r>
              <w:rPr>
                <w:rFonts w:hint="eastAsia" w:ascii="宋体" w:hAnsi="宋体"/>
                <w:color w:val="auto"/>
                <w:szCs w:val="21"/>
              </w:rPr>
              <w:t xml:space="preserve">    </w:t>
            </w:r>
            <w:r>
              <w:rPr>
                <w:rFonts w:ascii="宋体" w:hAnsi="宋体"/>
                <w:color w:val="auto"/>
                <w:szCs w:val="21"/>
              </w:rPr>
              <w:t xml:space="preserve"> 址</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法定代表人</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电</w:t>
            </w:r>
            <w:r>
              <w:rPr>
                <w:rFonts w:hint="eastAsia" w:ascii="宋体" w:hAnsi="宋体"/>
                <w:color w:val="auto"/>
                <w:szCs w:val="21"/>
              </w:rPr>
              <w:t xml:space="preserve">     </w:t>
            </w:r>
            <w:r>
              <w:rPr>
                <w:rFonts w:ascii="宋体" w:hAnsi="宋体"/>
                <w:color w:val="auto"/>
                <w:szCs w:val="21"/>
              </w:rPr>
              <w:t>话</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营业执照号码</w:t>
            </w: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r>
              <w:rPr>
                <w:rFonts w:ascii="宋体" w:hAnsi="宋体"/>
                <w:color w:val="auto"/>
                <w:szCs w:val="21"/>
              </w:rPr>
              <w:t>资质等级</w:t>
            </w:r>
          </w:p>
        </w:tc>
        <w:tc>
          <w:tcPr>
            <w:tcW w:w="1452" w:type="pc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r>
              <w:rPr>
                <w:rFonts w:ascii="宋体" w:hAnsi="宋体"/>
                <w:color w:val="auto"/>
                <w:szCs w:val="21"/>
              </w:rPr>
              <w:t>拟分包的工程项目</w:t>
            </w:r>
          </w:p>
        </w:tc>
        <w:tc>
          <w:tcPr>
            <w:tcW w:w="1381" w:type="pct"/>
            <w:noWrap w:val="0"/>
            <w:vAlign w:val="center"/>
          </w:tcPr>
          <w:p>
            <w:pPr>
              <w:jc w:val="center"/>
              <w:rPr>
                <w:rFonts w:ascii="宋体" w:hAnsi="宋体"/>
                <w:color w:val="auto"/>
                <w:szCs w:val="21"/>
              </w:rPr>
            </w:pPr>
            <w:r>
              <w:rPr>
                <w:rFonts w:ascii="宋体" w:hAnsi="宋体"/>
                <w:color w:val="auto"/>
                <w:szCs w:val="21"/>
              </w:rPr>
              <w:t>主 要 内 容</w:t>
            </w:r>
          </w:p>
        </w:tc>
        <w:tc>
          <w:tcPr>
            <w:tcW w:w="1048" w:type="pct"/>
            <w:noWrap w:val="0"/>
            <w:vAlign w:val="center"/>
          </w:tcPr>
          <w:p>
            <w:pPr>
              <w:jc w:val="center"/>
              <w:rPr>
                <w:rFonts w:ascii="宋体" w:hAnsi="宋体"/>
                <w:color w:val="auto"/>
                <w:szCs w:val="21"/>
              </w:rPr>
            </w:pPr>
            <w:r>
              <w:rPr>
                <w:rFonts w:ascii="宋体" w:hAnsi="宋体"/>
                <w:color w:val="auto"/>
                <w:szCs w:val="21"/>
              </w:rPr>
              <w:t>预计造价（万元）</w:t>
            </w:r>
          </w:p>
        </w:tc>
        <w:tc>
          <w:tcPr>
            <w:tcW w:w="1452" w:type="pct"/>
            <w:noWrap w:val="0"/>
            <w:vAlign w:val="center"/>
          </w:tcPr>
          <w:p>
            <w:pPr>
              <w:jc w:val="center"/>
              <w:rPr>
                <w:rFonts w:ascii="宋体" w:hAnsi="宋体"/>
                <w:color w:val="auto"/>
                <w:szCs w:val="21"/>
              </w:rPr>
            </w:pPr>
            <w:r>
              <w:rPr>
                <w:rFonts w:ascii="宋体" w:hAnsi="宋体"/>
                <w:color w:val="auto"/>
                <w:szCs w:val="21"/>
              </w:rPr>
              <w:t>已经做过的类似</w:t>
            </w:r>
            <w:r>
              <w:rPr>
                <w:rFonts w:hint="eastAsia" w:ascii="宋体" w:hAnsi="宋体"/>
                <w:color w:val="auto"/>
                <w:szCs w:val="21"/>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restart"/>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19" w:type="pct"/>
            <w:noWrap w:val="0"/>
            <w:vAlign w:val="center"/>
          </w:tcPr>
          <w:p>
            <w:pPr>
              <w:jc w:val="center"/>
              <w:rPr>
                <w:rFonts w:ascii="宋体" w:hAnsi="宋体"/>
                <w:color w:val="auto"/>
                <w:szCs w:val="21"/>
              </w:rPr>
            </w:pPr>
          </w:p>
        </w:tc>
        <w:tc>
          <w:tcPr>
            <w:tcW w:w="1381" w:type="pct"/>
            <w:noWrap w:val="0"/>
            <w:vAlign w:val="center"/>
          </w:tcPr>
          <w:p>
            <w:pPr>
              <w:jc w:val="center"/>
              <w:rPr>
                <w:rFonts w:ascii="宋体" w:hAnsi="宋体"/>
                <w:color w:val="auto"/>
                <w:szCs w:val="21"/>
              </w:rPr>
            </w:pPr>
          </w:p>
        </w:tc>
        <w:tc>
          <w:tcPr>
            <w:tcW w:w="1048" w:type="pct"/>
            <w:noWrap w:val="0"/>
            <w:vAlign w:val="center"/>
          </w:tcPr>
          <w:p>
            <w:pPr>
              <w:jc w:val="center"/>
              <w:rPr>
                <w:rFonts w:ascii="宋体" w:hAnsi="宋体"/>
                <w:color w:val="auto"/>
                <w:szCs w:val="21"/>
              </w:rPr>
            </w:pPr>
          </w:p>
        </w:tc>
        <w:tc>
          <w:tcPr>
            <w:tcW w:w="1452" w:type="pct"/>
            <w:vMerge w:val="continue"/>
            <w:noWrap w:val="0"/>
            <w:vAlign w:val="center"/>
          </w:tcPr>
          <w:p>
            <w:pPr>
              <w:jc w:val="center"/>
              <w:rPr>
                <w:rFonts w:ascii="宋体" w:hAnsi="宋体"/>
                <w:color w:val="auto"/>
                <w:szCs w:val="21"/>
              </w:rPr>
            </w:pPr>
          </w:p>
        </w:tc>
      </w:tr>
    </w:tbl>
    <w:p>
      <w:pPr>
        <w:spacing w:before="100" w:beforeAutospacing="1" w:line="400" w:lineRule="exact"/>
        <w:rPr>
          <w:rFonts w:hint="eastAsia"/>
          <w:color w:val="auto"/>
          <w:sz w:val="28"/>
          <w:szCs w:val="28"/>
        </w:rPr>
      </w:pPr>
      <w:r>
        <w:rPr>
          <w:rFonts w:hint="eastAsia" w:ascii="宋体" w:hAnsi="宋体"/>
          <w:color w:val="auto"/>
          <w:szCs w:val="21"/>
        </w:rPr>
        <w:t>备注：本表所列分包仅限于承包人自行施工范围内的非主体、非关键工程。</w:t>
      </w:r>
    </w:p>
    <w:p>
      <w:pPr>
        <w:spacing w:line="400" w:lineRule="exact"/>
        <w:rPr>
          <w:rFonts w:hint="eastAsia"/>
          <w:color w:val="auto"/>
          <w:sz w:val="28"/>
          <w:szCs w:val="28"/>
        </w:rPr>
      </w:pPr>
    </w:p>
    <w:p>
      <w:pPr>
        <w:spacing w:line="440" w:lineRule="exact"/>
        <w:jc w:val="center"/>
        <w:rPr>
          <w:rFonts w:ascii="宋体" w:hAnsi="宋体"/>
          <w:color w:val="auto"/>
          <w:szCs w:val="21"/>
        </w:rPr>
      </w:pPr>
      <w:r>
        <w:rPr>
          <w:rFonts w:hint="eastAsia" w:ascii="宋体" w:hAnsi="宋体"/>
          <w:color w:val="auto"/>
          <w:szCs w:val="21"/>
        </w:rPr>
        <w:t xml:space="preserve">                                                 年     月     日</w:t>
      </w: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spacing w:line="400" w:lineRule="exact"/>
        <w:rPr>
          <w:rFonts w:hint="eastAsia"/>
          <w:color w:val="auto"/>
        </w:rPr>
      </w:pPr>
    </w:p>
    <w:p>
      <w:pPr>
        <w:pStyle w:val="80"/>
        <w:spacing w:before="120" w:after="120" w:afterLines="50"/>
        <w:jc w:val="center"/>
        <w:rPr>
          <w:rFonts w:hint="eastAsia"/>
          <w:color w:val="auto"/>
        </w:rPr>
      </w:pPr>
      <w:bookmarkStart w:id="2828" w:name="_Toc25590"/>
      <w:r>
        <w:rPr>
          <w:rFonts w:hint="eastAsia"/>
          <w:color w:val="auto"/>
        </w:rPr>
        <w:t>十、投标人认为需提供的其他材料</w:t>
      </w:r>
      <w:bookmarkEnd w:id="2828"/>
    </w:p>
    <w:p>
      <w:pPr>
        <w:spacing w:before="100" w:beforeAutospacing="1" w:line="400" w:lineRule="exact"/>
        <w:rPr>
          <w:rFonts w:hint="eastAsia"/>
          <w:color w:val="auto"/>
        </w:rPr>
      </w:pPr>
    </w:p>
    <w:p>
      <w:pPr>
        <w:spacing w:line="400" w:lineRule="exact"/>
        <w:rPr>
          <w:rFonts w:hint="eastAsia"/>
          <w:color w:val="auto"/>
        </w:rPr>
      </w:pPr>
    </w:p>
    <w:sectPr>
      <w:footerReference r:id="rId19" w:type="default"/>
      <w:footerReference r:id="rId20" w:type="even"/>
      <w:pgSz w:w="11906" w:h="16838"/>
      <w:pgMar w:top="1418" w:right="1469" w:bottom="1418" w:left="1418"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华文细黑">
    <w:altName w:val="汉仪中等线简"/>
    <w:panose1 w:val="02010600040101010101"/>
    <w:charset w:val="86"/>
    <w:family w:val="auto"/>
    <w:pitch w:val="default"/>
    <w:sig w:usb0="00000000" w:usb1="00000000" w:usb2="00000000" w:usb3="00000000" w:csb0="0004009F" w:csb1="DFD70000"/>
  </w:font>
  <w:font w:name="Cambria">
    <w:altName w:val="Noto Sans Syriac Eastern"/>
    <w:panose1 w:val="02040503050406030204"/>
    <w:charset w:val="00"/>
    <w:family w:val="roman"/>
    <w:pitch w:val="default"/>
    <w:sig w:usb0="00000000" w:usb1="00000000" w:usb2="00000000" w:usb3="00000000" w:csb0="2000019F" w:csb1="00000000"/>
  </w:font>
  <w:font w:name="Tahoma">
    <w:altName w:val="DejaVu Sans"/>
    <w:panose1 w:val="020B0604030504040204"/>
    <w:charset w:val="00"/>
    <w:family w:val="swiss"/>
    <w:pitch w:val="default"/>
    <w:sig w:usb0="00000000" w:usb1="00000000" w:usb2="00000029" w:usb3="00000000" w:csb0="200101FF" w:csb1="20280000"/>
  </w:font>
  <w:font w:name="楷体_GB2312">
    <w:altName w:val="方正楷体_GBK"/>
    <w:panose1 w:val="02010609030101010101"/>
    <w:charset w:val="00"/>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华文仿宋">
    <w:altName w:val="汉仪仿宋简"/>
    <w:panose1 w:val="02010600040101010101"/>
    <w:charset w:val="86"/>
    <w:family w:val="auto"/>
    <w:pitch w:val="default"/>
    <w:sig w:usb0="00000000" w:usb1="00000000" w:usb2="00000000" w:usb3="00000000" w:csb0="0004009F" w:csb1="DFD70000"/>
  </w:font>
  <w:font w:name="华文新魏">
    <w:altName w:val="方正魏碑_GBK"/>
    <w:panose1 w:val="0201080004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 w:name="方正魏碑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end"/>
    </w:r>
  </w:p>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XI</w:t>
    </w:r>
    <w:r>
      <w:fldChar w:fldCharType="end"/>
    </w:r>
  </w:p>
  <w:p>
    <w:pPr>
      <w:pStyle w:val="24"/>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55</w:t>
    </w:r>
    <w:r>
      <w:fldChar w:fldCharType="end"/>
    </w:r>
  </w:p>
  <w:p>
    <w:pPr>
      <w:pStyle w:val="24"/>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rStyle w:val="42"/>
      </w:rPr>
      <w:t>3</w:t>
    </w:r>
    <w:r>
      <w:rPr>
        <w:rStyle w:val="42"/>
        <w:rFonts w:hint="eastAsia"/>
      </w:rPr>
      <w:t>3</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305" w:firstLineChars="2050"/>
      <w:rPr>
        <w:rFonts w:hint="eastAsia"/>
      </w:rPr>
    </w:pPr>
    <w:r>
      <w:rPr>
        <w:rStyle w:val="42"/>
        <w:rFonts w:hint="eastAsia"/>
      </w:rPr>
      <w:t>34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W9jLwyAEAAHsDAAAOAAAAAAAA&#10;AAEAIAAAADQBAABkcnMvZTJvRG9jLnhtbFBLBQYAAAAABgAGAFkBAABuBQ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4305" w:firstLineChars="2050"/>
      <w:rPr>
        <w:rFonts w:hint="eastAsia"/>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XX0PkskBAAB7AwAADgAAAAAA&#10;AAABACAAAAA0AQAAZHJzL2Uyb0RvYy54bWxQSwUGAAAAAAYABgBZAQAAbwU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68</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t5vcHMkBAAB8AwAADgAAAAAA&#10;AAABACAAAAA0AQAAZHJzL2Uyb0RvYy54bWxQSwUGAAAAAAYABgBZAQAAbwU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68</w:t>
                    </w:r>
                    <w:r>
                      <w:rPr>
                        <w:rFonts w:hint="eastAsia"/>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24</w:t>
    </w:r>
    <w:r>
      <w:fldChar w:fldCharType="end"/>
    </w:r>
  </w:p>
  <w:p>
    <w:pPr>
      <w:pStyle w:val="24"/>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87</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ceNFH8kBAAB8AwAADgAAAAAA&#10;AAABACAAAAA0AQAAZHJzL2Uyb0RvYy54bWxQSwUGAAAAAAYABgBZAQAAbwU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87</w:t>
                    </w:r>
                    <w:r>
                      <w:rPr>
                        <w:rFonts w:hint="eastAsia"/>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24</w:t>
    </w:r>
    <w:r>
      <w:fldChar w:fldCharType="end"/>
    </w:r>
  </w:p>
  <w:p>
    <w:pPr>
      <w:pStyle w:val="24"/>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113</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7au4byAEAAHwDAAAOAAAAAAAA&#10;AAEAIAAAADQBAABkcnMvZTJvRG9jLnhtbFBLBQYAAAAABgAGAFkBAABuBQ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113</w:t>
                    </w:r>
                    <w:r>
                      <w:rPr>
                        <w:rFonts w:hint="eastAsia"/>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135</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P0SdxjKAQAAfAMAAA4AAAAA&#10;AAAAAQAgAAAANAEAAGRycy9lMm9Eb2MueG1sUEsFBgAAAAAGAAYAWQEAAHAFA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135</w:t>
                    </w:r>
                    <w:r>
                      <w:rPr>
                        <w:rFonts w:hint="eastAsia"/>
                        <w:lang w:eastAsia="zh-CN"/>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24</w:t>
    </w:r>
    <w:r>
      <w:fldChar w:fldCharType="end"/>
    </w:r>
  </w:p>
  <w:p>
    <w:pPr>
      <w:pStyle w:val="24"/>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jc w:val="center"/>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136</w:t>
                          </w:r>
                          <w:r>
                            <w:rPr>
                              <w:rFonts w:hint="eastAsia"/>
                              <w:lang w:eastAsia="zh-CN"/>
                            </w:rPr>
                            <w:fldChar w:fldCharType="end"/>
                          </w:r>
                        </w:p>
                      </w:txbxContent>
                    </wps:txbx>
                    <wps:bodyPr vert="horz" wrap="none" lIns="0" tIns="0" rIns="0" bIns="0" anchor="t" anchorCtr="false" upright="false">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CpvRe7yAEAAHwDAAAOAAAAAAAA&#10;AAEAIAAAADQBAABkcnMvZTJvRG9jLnhtbFBLBQYAAAAABgAGAFkBAABuBQ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136</w:t>
                    </w:r>
                    <w:r>
                      <w:rPr>
                        <w:rFonts w:hint="eastAsia"/>
                        <w:lang w:eastAsia="zh-CN"/>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fldChar w:fldCharType="begin"/>
    </w:r>
    <w:r>
      <w:rPr>
        <w:rStyle w:val="42"/>
      </w:rPr>
      <w:instrText xml:space="preserve">PAGE  </w:instrText>
    </w:r>
    <w:r>
      <w:fldChar w:fldCharType="separate"/>
    </w:r>
    <w:r>
      <w:rPr>
        <w:rStyle w:val="42"/>
      </w:rPr>
      <w:t>24</w:t>
    </w:r>
    <w:r>
      <w:fldChar w:fldCharType="end"/>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8CFBE"/>
    <w:multiLevelType w:val="singleLevel"/>
    <w:tmpl w:val="D6D8CFBE"/>
    <w:lvl w:ilvl="0" w:tentative="0">
      <w:start w:val="1"/>
      <w:numFmt w:val="decimal"/>
      <w:suff w:val="nothing"/>
      <w:lvlText w:val="（%1）"/>
      <w:lvlJc w:val="left"/>
    </w:lvl>
  </w:abstractNum>
  <w:abstractNum w:abstractNumId="1">
    <w:nsid w:val="059D1A29"/>
    <w:multiLevelType w:val="multilevel"/>
    <w:tmpl w:val="059D1A29"/>
    <w:lvl w:ilvl="0" w:tentative="0">
      <w:start w:val="1"/>
      <w:numFmt w:val="decimal"/>
      <w:lvlText w:val="%1."/>
      <w:lvlJc w:val="left"/>
      <w:pPr>
        <w:tabs>
          <w:tab w:val="left" w:pos="227"/>
        </w:tabs>
        <w:ind w:left="227" w:hanging="227"/>
      </w:pPr>
      <w:rPr>
        <w:rFonts w:hint="default" w:ascii="宋体" w:hAnsi="宋体" w:eastAsia="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5263EEA"/>
    <w:multiLevelType w:val="multilevel"/>
    <w:tmpl w:val="35263EEA"/>
    <w:lvl w:ilvl="0" w:tentative="0">
      <w:start w:val="1"/>
      <w:numFmt w:val="decimal"/>
      <w:suff w:val="nothing"/>
      <w:lvlText w:val="%1."/>
      <w:lvlJc w:val="left"/>
      <w:pPr>
        <w:ind w:left="284" w:hanging="284"/>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AE65734"/>
    <w:multiLevelType w:val="multilevel"/>
    <w:tmpl w:val="3AE65734"/>
    <w:lvl w:ilvl="0" w:tentative="0">
      <w:start w:val="1"/>
      <w:numFmt w:val="decimal"/>
      <w:lvlText w:val="%1."/>
      <w:lvlJc w:val="left"/>
      <w:pPr>
        <w:tabs>
          <w:tab w:val="left" w:pos="227"/>
        </w:tabs>
        <w:ind w:left="227" w:hanging="227"/>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46EA31DA"/>
    <w:multiLevelType w:val="multilevel"/>
    <w:tmpl w:val="46EA31DA"/>
    <w:lvl w:ilvl="0" w:tentative="0">
      <w:start w:val="1"/>
      <w:numFmt w:val="decimal"/>
      <w:suff w:val="nothing"/>
      <w:lvlText w:val="（%1）"/>
      <w:lvlJc w:val="left"/>
      <w:pPr>
        <w:ind w:left="170" w:firstLine="397"/>
      </w:pPr>
      <w:rPr>
        <w:rFonts w:hint="default"/>
        <w:color w:val="auto"/>
      </w:rPr>
    </w:lvl>
    <w:lvl w:ilvl="1" w:tentative="0">
      <w:start w:val="1"/>
      <w:numFmt w:val="lowerLetter"/>
      <w:lvlText w:val="%2)"/>
      <w:lvlJc w:val="left"/>
      <w:pPr>
        <w:ind w:left="981" w:hanging="420"/>
      </w:pPr>
    </w:lvl>
    <w:lvl w:ilvl="2" w:tentative="0">
      <w:start w:val="1"/>
      <w:numFmt w:val="lowerRoman"/>
      <w:lvlText w:val="%3."/>
      <w:lvlJc w:val="right"/>
      <w:pPr>
        <w:ind w:left="1401" w:hanging="420"/>
      </w:pPr>
    </w:lvl>
    <w:lvl w:ilvl="3" w:tentative="0">
      <w:start w:val="1"/>
      <w:numFmt w:val="decimal"/>
      <w:lvlText w:val="%4."/>
      <w:lvlJc w:val="left"/>
      <w:pPr>
        <w:ind w:left="1821" w:hanging="420"/>
      </w:pPr>
    </w:lvl>
    <w:lvl w:ilvl="4" w:tentative="0">
      <w:start w:val="1"/>
      <w:numFmt w:val="lowerLetter"/>
      <w:lvlText w:val="%5)"/>
      <w:lvlJc w:val="left"/>
      <w:pPr>
        <w:ind w:left="2241" w:hanging="420"/>
      </w:pPr>
    </w:lvl>
    <w:lvl w:ilvl="5" w:tentative="0">
      <w:start w:val="1"/>
      <w:numFmt w:val="lowerRoman"/>
      <w:lvlText w:val="%6."/>
      <w:lvlJc w:val="right"/>
      <w:pPr>
        <w:ind w:left="2661" w:hanging="420"/>
      </w:pPr>
    </w:lvl>
    <w:lvl w:ilvl="6" w:tentative="0">
      <w:start w:val="1"/>
      <w:numFmt w:val="decimal"/>
      <w:lvlText w:val="%7."/>
      <w:lvlJc w:val="left"/>
      <w:pPr>
        <w:ind w:left="3081" w:hanging="420"/>
      </w:pPr>
    </w:lvl>
    <w:lvl w:ilvl="7" w:tentative="0">
      <w:start w:val="1"/>
      <w:numFmt w:val="lowerLetter"/>
      <w:lvlText w:val="%8)"/>
      <w:lvlJc w:val="left"/>
      <w:pPr>
        <w:ind w:left="3501" w:hanging="420"/>
      </w:pPr>
    </w:lvl>
    <w:lvl w:ilvl="8" w:tentative="0">
      <w:start w:val="1"/>
      <w:numFmt w:val="lowerRoman"/>
      <w:lvlText w:val="%9."/>
      <w:lvlJc w:val="right"/>
      <w:pPr>
        <w:ind w:left="3921" w:hanging="420"/>
      </w:pPr>
    </w:lvl>
  </w:abstractNum>
  <w:abstractNum w:abstractNumId="5">
    <w:nsid w:val="4B9F6729"/>
    <w:multiLevelType w:val="multilevel"/>
    <w:tmpl w:val="4B9F6729"/>
    <w:lvl w:ilvl="0" w:tentative="0">
      <w:start w:val="1"/>
      <w:numFmt w:val="decimal"/>
      <w:lvlText w:val="%1."/>
      <w:lvlJc w:val="left"/>
      <w:pPr>
        <w:tabs>
          <w:tab w:val="left" w:pos="227"/>
        </w:tabs>
        <w:ind w:left="227" w:hanging="227"/>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BC21108"/>
    <w:multiLevelType w:val="multilevel"/>
    <w:tmpl w:val="4BC21108"/>
    <w:lvl w:ilvl="0" w:tentative="0">
      <w:start w:val="1"/>
      <w:numFmt w:val="decimal"/>
      <w:lvlText w:val="(%1)"/>
      <w:lvlJc w:val="left"/>
      <w:pPr>
        <w:tabs>
          <w:tab w:val="left" w:pos="1200"/>
        </w:tabs>
        <w:ind w:left="1200" w:hanging="60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7">
    <w:nsid w:val="58822EE7"/>
    <w:multiLevelType w:val="multilevel"/>
    <w:tmpl w:val="58822EE7"/>
    <w:lvl w:ilvl="0" w:tentative="0">
      <w:start w:val="1"/>
      <w:numFmt w:val="decimal"/>
      <w:lvlText w:val="（%1）"/>
      <w:lvlJc w:val="left"/>
      <w:pPr>
        <w:ind w:left="844" w:hanging="420"/>
      </w:pPr>
      <w:rPr>
        <w:rFonts w:hint="default"/>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suff w:val="nothing"/>
      <w:lvlText w:val="（%4）"/>
      <w:lvlJc w:val="left"/>
      <w:pPr>
        <w:ind w:left="29" w:firstLine="397"/>
      </w:pPr>
      <w:rPr>
        <w:rFonts w:hint="default"/>
        <w:color w:val="auto"/>
      </w:r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8">
    <w:nsid w:val="5A0E119E"/>
    <w:multiLevelType w:val="multilevel"/>
    <w:tmpl w:val="5A0E119E"/>
    <w:lvl w:ilvl="0" w:tentative="0">
      <w:start w:val="1"/>
      <w:numFmt w:val="decimal"/>
      <w:lvlText w:val="%1."/>
      <w:lvlJc w:val="left"/>
      <w:pPr>
        <w:tabs>
          <w:tab w:val="left" w:pos="227"/>
        </w:tabs>
        <w:ind w:left="227" w:hanging="227"/>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6BCA6123"/>
    <w:multiLevelType w:val="multilevel"/>
    <w:tmpl w:val="6BCA6123"/>
    <w:lvl w:ilvl="0" w:tentative="0">
      <w:start w:val="1"/>
      <w:numFmt w:val="decimal"/>
      <w:suff w:val="nothing"/>
      <w:lvlText w:val="（%1）"/>
      <w:lvlJc w:val="left"/>
      <w:pPr>
        <w:ind w:left="29" w:firstLine="397"/>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3CC2D54"/>
    <w:multiLevelType w:val="multilevel"/>
    <w:tmpl w:val="73CC2D54"/>
    <w:lvl w:ilvl="0" w:tentative="0">
      <w:start w:val="1"/>
      <w:numFmt w:val="decimal"/>
      <w:suff w:val="nothing"/>
      <w:lvlText w:val="（%1）"/>
      <w:lvlJc w:val="left"/>
      <w:pPr>
        <w:ind w:left="29" w:firstLine="397"/>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5"/>
  </w:num>
  <w:num w:numId="4">
    <w:abstractNumId w:val="3"/>
  </w:num>
  <w:num w:numId="5">
    <w:abstractNumId w:val="8"/>
  </w:num>
  <w:num w:numId="6">
    <w:abstractNumId w:val="1"/>
  </w:num>
  <w:num w:numId="7">
    <w:abstractNumId w:val="6"/>
  </w:num>
  <w:num w:numId="8">
    <w:abstractNumId w:val="7"/>
  </w:num>
  <w:num w:numId="9">
    <w:abstractNumId w:val="9"/>
  </w:num>
  <w:num w:numId="10">
    <w:abstractNumId w:val="4"/>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true"/>
  <w:bordersDoNotSurroundFooter w:val="true"/>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lNGVhODE2OGFkNTFmOWRmMmM1YTYxZWU4ZTE5OTgifQ=="/>
    <w:docVar w:name="OpenTime" w:val="2020-08-05 16:00:27"/>
    <w:docVar w:name="SessionId" w:val="LtpaToken=AAECAzVGMkE1NEZGNUYyQTlCNEZDTj1VMDA4NDEvTz1YSUFOR1lBTkfQShM9AlI+nw9leEpF5L07vECuqQ=="/>
  </w:docVars>
  <w:rsids>
    <w:rsidRoot w:val="00836FA1"/>
    <w:rsid w:val="000017FF"/>
    <w:rsid w:val="0000315C"/>
    <w:rsid w:val="00004C7E"/>
    <w:rsid w:val="00005386"/>
    <w:rsid w:val="000056DB"/>
    <w:rsid w:val="00010A4B"/>
    <w:rsid w:val="00010D01"/>
    <w:rsid w:val="00012012"/>
    <w:rsid w:val="000128AB"/>
    <w:rsid w:val="0001313E"/>
    <w:rsid w:val="00015D69"/>
    <w:rsid w:val="00016201"/>
    <w:rsid w:val="00017F39"/>
    <w:rsid w:val="00020390"/>
    <w:rsid w:val="000223B2"/>
    <w:rsid w:val="0002250D"/>
    <w:rsid w:val="0002274B"/>
    <w:rsid w:val="00022A17"/>
    <w:rsid w:val="00022D21"/>
    <w:rsid w:val="00024421"/>
    <w:rsid w:val="00025561"/>
    <w:rsid w:val="00025854"/>
    <w:rsid w:val="000268E7"/>
    <w:rsid w:val="00026A14"/>
    <w:rsid w:val="000308DC"/>
    <w:rsid w:val="000314F2"/>
    <w:rsid w:val="000314F9"/>
    <w:rsid w:val="0003208E"/>
    <w:rsid w:val="00032BAF"/>
    <w:rsid w:val="00033C85"/>
    <w:rsid w:val="00033ED4"/>
    <w:rsid w:val="0003600A"/>
    <w:rsid w:val="000368F2"/>
    <w:rsid w:val="0004252C"/>
    <w:rsid w:val="0004252F"/>
    <w:rsid w:val="000425D9"/>
    <w:rsid w:val="000439C1"/>
    <w:rsid w:val="00046A39"/>
    <w:rsid w:val="00050B12"/>
    <w:rsid w:val="00050C23"/>
    <w:rsid w:val="000513EA"/>
    <w:rsid w:val="000523CB"/>
    <w:rsid w:val="00052472"/>
    <w:rsid w:val="00052951"/>
    <w:rsid w:val="00052F02"/>
    <w:rsid w:val="00054196"/>
    <w:rsid w:val="00055635"/>
    <w:rsid w:val="00055842"/>
    <w:rsid w:val="00056333"/>
    <w:rsid w:val="00057A45"/>
    <w:rsid w:val="000636C8"/>
    <w:rsid w:val="000641EA"/>
    <w:rsid w:val="00064C45"/>
    <w:rsid w:val="00065242"/>
    <w:rsid w:val="0006540C"/>
    <w:rsid w:val="00066CBE"/>
    <w:rsid w:val="00070597"/>
    <w:rsid w:val="000709E3"/>
    <w:rsid w:val="00070DAE"/>
    <w:rsid w:val="00072B53"/>
    <w:rsid w:val="00073162"/>
    <w:rsid w:val="00075DA8"/>
    <w:rsid w:val="00077065"/>
    <w:rsid w:val="00081684"/>
    <w:rsid w:val="000816CA"/>
    <w:rsid w:val="00082963"/>
    <w:rsid w:val="00082B63"/>
    <w:rsid w:val="0008351B"/>
    <w:rsid w:val="000836BD"/>
    <w:rsid w:val="00085216"/>
    <w:rsid w:val="00085D4F"/>
    <w:rsid w:val="0008721A"/>
    <w:rsid w:val="00087C1F"/>
    <w:rsid w:val="0009126D"/>
    <w:rsid w:val="0009222B"/>
    <w:rsid w:val="00092F2F"/>
    <w:rsid w:val="00094A02"/>
    <w:rsid w:val="00097B60"/>
    <w:rsid w:val="000A0E7C"/>
    <w:rsid w:val="000A113B"/>
    <w:rsid w:val="000A1A98"/>
    <w:rsid w:val="000A1FDE"/>
    <w:rsid w:val="000A2EFD"/>
    <w:rsid w:val="000A4361"/>
    <w:rsid w:val="000A4EE7"/>
    <w:rsid w:val="000A5F8A"/>
    <w:rsid w:val="000A638A"/>
    <w:rsid w:val="000B0496"/>
    <w:rsid w:val="000B25DC"/>
    <w:rsid w:val="000B5576"/>
    <w:rsid w:val="000B5F76"/>
    <w:rsid w:val="000B76FB"/>
    <w:rsid w:val="000B7C4C"/>
    <w:rsid w:val="000C0064"/>
    <w:rsid w:val="000C0110"/>
    <w:rsid w:val="000C2614"/>
    <w:rsid w:val="000C348D"/>
    <w:rsid w:val="000C425B"/>
    <w:rsid w:val="000C4650"/>
    <w:rsid w:val="000C4B75"/>
    <w:rsid w:val="000C4E11"/>
    <w:rsid w:val="000C6515"/>
    <w:rsid w:val="000D0A41"/>
    <w:rsid w:val="000D105A"/>
    <w:rsid w:val="000D17D4"/>
    <w:rsid w:val="000D1FC6"/>
    <w:rsid w:val="000D5433"/>
    <w:rsid w:val="000D6583"/>
    <w:rsid w:val="000D6CC8"/>
    <w:rsid w:val="000D7885"/>
    <w:rsid w:val="000E1087"/>
    <w:rsid w:val="000E1101"/>
    <w:rsid w:val="000E1670"/>
    <w:rsid w:val="000E23B0"/>
    <w:rsid w:val="000E518C"/>
    <w:rsid w:val="000E54F0"/>
    <w:rsid w:val="000E5CA1"/>
    <w:rsid w:val="000F0D49"/>
    <w:rsid w:val="000F2B44"/>
    <w:rsid w:val="000F3774"/>
    <w:rsid w:val="000F4B2E"/>
    <w:rsid w:val="000F4FE2"/>
    <w:rsid w:val="000F663C"/>
    <w:rsid w:val="000F74BE"/>
    <w:rsid w:val="000F7A4D"/>
    <w:rsid w:val="000F7BF9"/>
    <w:rsid w:val="000F7CE5"/>
    <w:rsid w:val="0010031A"/>
    <w:rsid w:val="001006FE"/>
    <w:rsid w:val="00102810"/>
    <w:rsid w:val="00102A33"/>
    <w:rsid w:val="00106EBE"/>
    <w:rsid w:val="00107C36"/>
    <w:rsid w:val="00107F8A"/>
    <w:rsid w:val="00110270"/>
    <w:rsid w:val="00112012"/>
    <w:rsid w:val="00112ABE"/>
    <w:rsid w:val="00113762"/>
    <w:rsid w:val="00113C72"/>
    <w:rsid w:val="00113D42"/>
    <w:rsid w:val="00114209"/>
    <w:rsid w:val="00115F2D"/>
    <w:rsid w:val="00115FCE"/>
    <w:rsid w:val="00120F82"/>
    <w:rsid w:val="001246D0"/>
    <w:rsid w:val="0012524A"/>
    <w:rsid w:val="001270F1"/>
    <w:rsid w:val="0012743A"/>
    <w:rsid w:val="001305AF"/>
    <w:rsid w:val="001315E8"/>
    <w:rsid w:val="0013170F"/>
    <w:rsid w:val="00137B2A"/>
    <w:rsid w:val="0014283B"/>
    <w:rsid w:val="00143910"/>
    <w:rsid w:val="00143D63"/>
    <w:rsid w:val="0014587C"/>
    <w:rsid w:val="00147E32"/>
    <w:rsid w:val="0015122F"/>
    <w:rsid w:val="0015216E"/>
    <w:rsid w:val="00152AE4"/>
    <w:rsid w:val="00153DF2"/>
    <w:rsid w:val="00154747"/>
    <w:rsid w:val="00155BAF"/>
    <w:rsid w:val="00156034"/>
    <w:rsid w:val="00156C22"/>
    <w:rsid w:val="001572C0"/>
    <w:rsid w:val="00157829"/>
    <w:rsid w:val="00157E5A"/>
    <w:rsid w:val="00160FD9"/>
    <w:rsid w:val="00161982"/>
    <w:rsid w:val="00164A91"/>
    <w:rsid w:val="00165719"/>
    <w:rsid w:val="00166A37"/>
    <w:rsid w:val="00167B34"/>
    <w:rsid w:val="001707EA"/>
    <w:rsid w:val="00170DCA"/>
    <w:rsid w:val="00171AC7"/>
    <w:rsid w:val="00173C1C"/>
    <w:rsid w:val="00174C1B"/>
    <w:rsid w:val="001766A7"/>
    <w:rsid w:val="00176BF1"/>
    <w:rsid w:val="00183BED"/>
    <w:rsid w:val="00184152"/>
    <w:rsid w:val="0018535A"/>
    <w:rsid w:val="00185997"/>
    <w:rsid w:val="00187218"/>
    <w:rsid w:val="0018744A"/>
    <w:rsid w:val="00192016"/>
    <w:rsid w:val="0019397F"/>
    <w:rsid w:val="00197928"/>
    <w:rsid w:val="001A0649"/>
    <w:rsid w:val="001A07E0"/>
    <w:rsid w:val="001A09B6"/>
    <w:rsid w:val="001A10C2"/>
    <w:rsid w:val="001A1ED5"/>
    <w:rsid w:val="001A2A41"/>
    <w:rsid w:val="001A415C"/>
    <w:rsid w:val="001A4BCB"/>
    <w:rsid w:val="001B1400"/>
    <w:rsid w:val="001B25E2"/>
    <w:rsid w:val="001B278B"/>
    <w:rsid w:val="001B2852"/>
    <w:rsid w:val="001B380C"/>
    <w:rsid w:val="001B5A9C"/>
    <w:rsid w:val="001B68E6"/>
    <w:rsid w:val="001B7664"/>
    <w:rsid w:val="001C17A8"/>
    <w:rsid w:val="001C1C33"/>
    <w:rsid w:val="001C241A"/>
    <w:rsid w:val="001C3464"/>
    <w:rsid w:val="001C3466"/>
    <w:rsid w:val="001C4C14"/>
    <w:rsid w:val="001D15DF"/>
    <w:rsid w:val="001D1C84"/>
    <w:rsid w:val="001D2E1D"/>
    <w:rsid w:val="001D3384"/>
    <w:rsid w:val="001D421F"/>
    <w:rsid w:val="001D4BAE"/>
    <w:rsid w:val="001D5CE1"/>
    <w:rsid w:val="001D7410"/>
    <w:rsid w:val="001E07CD"/>
    <w:rsid w:val="001E0C0D"/>
    <w:rsid w:val="001E112F"/>
    <w:rsid w:val="001E4952"/>
    <w:rsid w:val="001E5C8D"/>
    <w:rsid w:val="001E74C0"/>
    <w:rsid w:val="001F0A77"/>
    <w:rsid w:val="001F0B51"/>
    <w:rsid w:val="001F13CD"/>
    <w:rsid w:val="001F3E09"/>
    <w:rsid w:val="001F415D"/>
    <w:rsid w:val="001F4AAD"/>
    <w:rsid w:val="001F58FF"/>
    <w:rsid w:val="001F5B0B"/>
    <w:rsid w:val="001F6C82"/>
    <w:rsid w:val="001F7480"/>
    <w:rsid w:val="001F7A5E"/>
    <w:rsid w:val="002001B2"/>
    <w:rsid w:val="002011A7"/>
    <w:rsid w:val="002011ED"/>
    <w:rsid w:val="00202549"/>
    <w:rsid w:val="00203B5E"/>
    <w:rsid w:val="0020505B"/>
    <w:rsid w:val="002054A9"/>
    <w:rsid w:val="00206AAF"/>
    <w:rsid w:val="002074E7"/>
    <w:rsid w:val="002119A8"/>
    <w:rsid w:val="00213657"/>
    <w:rsid w:val="002136CA"/>
    <w:rsid w:val="002146E3"/>
    <w:rsid w:val="00215394"/>
    <w:rsid w:val="0021568B"/>
    <w:rsid w:val="0021595C"/>
    <w:rsid w:val="00217E7F"/>
    <w:rsid w:val="00222D1D"/>
    <w:rsid w:val="00222F21"/>
    <w:rsid w:val="00224132"/>
    <w:rsid w:val="00224512"/>
    <w:rsid w:val="0022460F"/>
    <w:rsid w:val="00225ED4"/>
    <w:rsid w:val="0022733D"/>
    <w:rsid w:val="00230387"/>
    <w:rsid w:val="00235FCF"/>
    <w:rsid w:val="00236E06"/>
    <w:rsid w:val="00237B2C"/>
    <w:rsid w:val="002433C3"/>
    <w:rsid w:val="00246059"/>
    <w:rsid w:val="00246CEA"/>
    <w:rsid w:val="00246E8F"/>
    <w:rsid w:val="00246EAD"/>
    <w:rsid w:val="002501D6"/>
    <w:rsid w:val="00252956"/>
    <w:rsid w:val="002559EA"/>
    <w:rsid w:val="00256B6F"/>
    <w:rsid w:val="00260B15"/>
    <w:rsid w:val="00261427"/>
    <w:rsid w:val="0026218E"/>
    <w:rsid w:val="00262856"/>
    <w:rsid w:val="002638A8"/>
    <w:rsid w:val="002652B8"/>
    <w:rsid w:val="0026759E"/>
    <w:rsid w:val="00270468"/>
    <w:rsid w:val="00270DFD"/>
    <w:rsid w:val="00274891"/>
    <w:rsid w:val="00274DEC"/>
    <w:rsid w:val="002766D3"/>
    <w:rsid w:val="00276DCD"/>
    <w:rsid w:val="00277564"/>
    <w:rsid w:val="00281FB8"/>
    <w:rsid w:val="0028203E"/>
    <w:rsid w:val="002829F7"/>
    <w:rsid w:val="00285763"/>
    <w:rsid w:val="00290024"/>
    <w:rsid w:val="00290805"/>
    <w:rsid w:val="00290E43"/>
    <w:rsid w:val="00291096"/>
    <w:rsid w:val="00291165"/>
    <w:rsid w:val="00291513"/>
    <w:rsid w:val="002925E9"/>
    <w:rsid w:val="00292E7D"/>
    <w:rsid w:val="00295567"/>
    <w:rsid w:val="00297916"/>
    <w:rsid w:val="002A0726"/>
    <w:rsid w:val="002A2A78"/>
    <w:rsid w:val="002A3458"/>
    <w:rsid w:val="002A3770"/>
    <w:rsid w:val="002A39AA"/>
    <w:rsid w:val="002A41F9"/>
    <w:rsid w:val="002A61BE"/>
    <w:rsid w:val="002A7376"/>
    <w:rsid w:val="002A7888"/>
    <w:rsid w:val="002B000E"/>
    <w:rsid w:val="002B09A4"/>
    <w:rsid w:val="002B0B5F"/>
    <w:rsid w:val="002B16D5"/>
    <w:rsid w:val="002B25E6"/>
    <w:rsid w:val="002B2A15"/>
    <w:rsid w:val="002B30CD"/>
    <w:rsid w:val="002B515A"/>
    <w:rsid w:val="002B754F"/>
    <w:rsid w:val="002B7AA8"/>
    <w:rsid w:val="002C290A"/>
    <w:rsid w:val="002C5985"/>
    <w:rsid w:val="002C7EC3"/>
    <w:rsid w:val="002C7EF4"/>
    <w:rsid w:val="002D1517"/>
    <w:rsid w:val="002D184A"/>
    <w:rsid w:val="002D2224"/>
    <w:rsid w:val="002D32D4"/>
    <w:rsid w:val="002D3C05"/>
    <w:rsid w:val="002D6A36"/>
    <w:rsid w:val="002D6ED9"/>
    <w:rsid w:val="002D7E59"/>
    <w:rsid w:val="002E15BB"/>
    <w:rsid w:val="002E4328"/>
    <w:rsid w:val="002E538B"/>
    <w:rsid w:val="002F14D4"/>
    <w:rsid w:val="002F1CFC"/>
    <w:rsid w:val="002F3142"/>
    <w:rsid w:val="002F34DA"/>
    <w:rsid w:val="002F3AE5"/>
    <w:rsid w:val="002F4625"/>
    <w:rsid w:val="002F4956"/>
    <w:rsid w:val="002F5112"/>
    <w:rsid w:val="002F5DDC"/>
    <w:rsid w:val="002F6767"/>
    <w:rsid w:val="00300C8D"/>
    <w:rsid w:val="0030547C"/>
    <w:rsid w:val="003068C5"/>
    <w:rsid w:val="00307A7D"/>
    <w:rsid w:val="00310C89"/>
    <w:rsid w:val="003110A9"/>
    <w:rsid w:val="00311F55"/>
    <w:rsid w:val="003125F4"/>
    <w:rsid w:val="00313437"/>
    <w:rsid w:val="003165C4"/>
    <w:rsid w:val="003169A9"/>
    <w:rsid w:val="00316CA7"/>
    <w:rsid w:val="00320375"/>
    <w:rsid w:val="003231EE"/>
    <w:rsid w:val="003231F6"/>
    <w:rsid w:val="00323B98"/>
    <w:rsid w:val="003256F6"/>
    <w:rsid w:val="003276BD"/>
    <w:rsid w:val="00327B32"/>
    <w:rsid w:val="00330568"/>
    <w:rsid w:val="00331AA2"/>
    <w:rsid w:val="00336A56"/>
    <w:rsid w:val="00337257"/>
    <w:rsid w:val="00337F02"/>
    <w:rsid w:val="00340755"/>
    <w:rsid w:val="0034153E"/>
    <w:rsid w:val="00345EDF"/>
    <w:rsid w:val="00346065"/>
    <w:rsid w:val="00346B65"/>
    <w:rsid w:val="00347843"/>
    <w:rsid w:val="00347FEB"/>
    <w:rsid w:val="00351D01"/>
    <w:rsid w:val="00351DBC"/>
    <w:rsid w:val="003527EF"/>
    <w:rsid w:val="00353F25"/>
    <w:rsid w:val="003541EA"/>
    <w:rsid w:val="00354262"/>
    <w:rsid w:val="00356419"/>
    <w:rsid w:val="00357C6D"/>
    <w:rsid w:val="00361AB9"/>
    <w:rsid w:val="00363D00"/>
    <w:rsid w:val="00363D37"/>
    <w:rsid w:val="003643D4"/>
    <w:rsid w:val="00364868"/>
    <w:rsid w:val="0036612E"/>
    <w:rsid w:val="00373612"/>
    <w:rsid w:val="00374CCB"/>
    <w:rsid w:val="0037542E"/>
    <w:rsid w:val="00380EB9"/>
    <w:rsid w:val="003813B7"/>
    <w:rsid w:val="00381E75"/>
    <w:rsid w:val="00382FD6"/>
    <w:rsid w:val="00384ABC"/>
    <w:rsid w:val="0038673E"/>
    <w:rsid w:val="00390434"/>
    <w:rsid w:val="00393F0D"/>
    <w:rsid w:val="00394C14"/>
    <w:rsid w:val="003954DB"/>
    <w:rsid w:val="00395C40"/>
    <w:rsid w:val="003965C6"/>
    <w:rsid w:val="00397300"/>
    <w:rsid w:val="00397A03"/>
    <w:rsid w:val="00397F3B"/>
    <w:rsid w:val="003A18E5"/>
    <w:rsid w:val="003A48BE"/>
    <w:rsid w:val="003A5B1B"/>
    <w:rsid w:val="003A5E0F"/>
    <w:rsid w:val="003A65DB"/>
    <w:rsid w:val="003A7442"/>
    <w:rsid w:val="003B0377"/>
    <w:rsid w:val="003B0D9C"/>
    <w:rsid w:val="003B2329"/>
    <w:rsid w:val="003B39EC"/>
    <w:rsid w:val="003B5C49"/>
    <w:rsid w:val="003B637E"/>
    <w:rsid w:val="003B6A0F"/>
    <w:rsid w:val="003C0328"/>
    <w:rsid w:val="003C0E41"/>
    <w:rsid w:val="003C1063"/>
    <w:rsid w:val="003C1103"/>
    <w:rsid w:val="003C2350"/>
    <w:rsid w:val="003C25CE"/>
    <w:rsid w:val="003C2D9B"/>
    <w:rsid w:val="003C32F4"/>
    <w:rsid w:val="003D0228"/>
    <w:rsid w:val="003D0DDB"/>
    <w:rsid w:val="003D201B"/>
    <w:rsid w:val="003D2792"/>
    <w:rsid w:val="003D28EB"/>
    <w:rsid w:val="003D3753"/>
    <w:rsid w:val="003D444C"/>
    <w:rsid w:val="003D5060"/>
    <w:rsid w:val="003D512F"/>
    <w:rsid w:val="003D7404"/>
    <w:rsid w:val="003E009F"/>
    <w:rsid w:val="003E25A8"/>
    <w:rsid w:val="003E2D72"/>
    <w:rsid w:val="003E3193"/>
    <w:rsid w:val="003E4202"/>
    <w:rsid w:val="003E4CCE"/>
    <w:rsid w:val="003E619D"/>
    <w:rsid w:val="003E6E05"/>
    <w:rsid w:val="003E7C40"/>
    <w:rsid w:val="003F04A7"/>
    <w:rsid w:val="003F11DD"/>
    <w:rsid w:val="003F272C"/>
    <w:rsid w:val="003F3785"/>
    <w:rsid w:val="003F49A9"/>
    <w:rsid w:val="003F54C2"/>
    <w:rsid w:val="003F72FE"/>
    <w:rsid w:val="003F7A89"/>
    <w:rsid w:val="003F7C27"/>
    <w:rsid w:val="00400130"/>
    <w:rsid w:val="00400795"/>
    <w:rsid w:val="00400862"/>
    <w:rsid w:val="00400947"/>
    <w:rsid w:val="004024DB"/>
    <w:rsid w:val="0040410C"/>
    <w:rsid w:val="00405940"/>
    <w:rsid w:val="00405D6A"/>
    <w:rsid w:val="0041073F"/>
    <w:rsid w:val="00410F91"/>
    <w:rsid w:val="00412789"/>
    <w:rsid w:val="00412B33"/>
    <w:rsid w:val="0041408F"/>
    <w:rsid w:val="004149D7"/>
    <w:rsid w:val="004152CE"/>
    <w:rsid w:val="00415D9A"/>
    <w:rsid w:val="00416E7B"/>
    <w:rsid w:val="004170FD"/>
    <w:rsid w:val="00417537"/>
    <w:rsid w:val="004204A1"/>
    <w:rsid w:val="00420C32"/>
    <w:rsid w:val="00430C72"/>
    <w:rsid w:val="00430D3C"/>
    <w:rsid w:val="00430EC6"/>
    <w:rsid w:val="00432231"/>
    <w:rsid w:val="00434665"/>
    <w:rsid w:val="00435F50"/>
    <w:rsid w:val="00437892"/>
    <w:rsid w:val="00437BE7"/>
    <w:rsid w:val="0044006B"/>
    <w:rsid w:val="00441A4F"/>
    <w:rsid w:val="0044231C"/>
    <w:rsid w:val="0044255A"/>
    <w:rsid w:val="004433C7"/>
    <w:rsid w:val="00443B87"/>
    <w:rsid w:val="0044407B"/>
    <w:rsid w:val="00446BCF"/>
    <w:rsid w:val="0044714A"/>
    <w:rsid w:val="00447DEC"/>
    <w:rsid w:val="004503D2"/>
    <w:rsid w:val="00451857"/>
    <w:rsid w:val="00451E9C"/>
    <w:rsid w:val="00451FD7"/>
    <w:rsid w:val="004532FF"/>
    <w:rsid w:val="0045717C"/>
    <w:rsid w:val="00457804"/>
    <w:rsid w:val="004640B8"/>
    <w:rsid w:val="0046488C"/>
    <w:rsid w:val="00464F9C"/>
    <w:rsid w:val="00465DBB"/>
    <w:rsid w:val="00470CD5"/>
    <w:rsid w:val="00471898"/>
    <w:rsid w:val="00471B13"/>
    <w:rsid w:val="00477B4D"/>
    <w:rsid w:val="0048035E"/>
    <w:rsid w:val="004853D7"/>
    <w:rsid w:val="00486903"/>
    <w:rsid w:val="00494329"/>
    <w:rsid w:val="00497228"/>
    <w:rsid w:val="004979D4"/>
    <w:rsid w:val="004A0F88"/>
    <w:rsid w:val="004A0FD0"/>
    <w:rsid w:val="004A1A83"/>
    <w:rsid w:val="004A3D06"/>
    <w:rsid w:val="004A5720"/>
    <w:rsid w:val="004A6290"/>
    <w:rsid w:val="004A7C2F"/>
    <w:rsid w:val="004A7E9A"/>
    <w:rsid w:val="004B24C8"/>
    <w:rsid w:val="004B5128"/>
    <w:rsid w:val="004B5B92"/>
    <w:rsid w:val="004B7897"/>
    <w:rsid w:val="004C12A6"/>
    <w:rsid w:val="004C1865"/>
    <w:rsid w:val="004C1AC0"/>
    <w:rsid w:val="004C3677"/>
    <w:rsid w:val="004C54A6"/>
    <w:rsid w:val="004C7ECF"/>
    <w:rsid w:val="004D03AF"/>
    <w:rsid w:val="004D1516"/>
    <w:rsid w:val="004D19E9"/>
    <w:rsid w:val="004D28A1"/>
    <w:rsid w:val="004D2A89"/>
    <w:rsid w:val="004D377C"/>
    <w:rsid w:val="004D4132"/>
    <w:rsid w:val="004D49B6"/>
    <w:rsid w:val="004D55BE"/>
    <w:rsid w:val="004D5D07"/>
    <w:rsid w:val="004D6026"/>
    <w:rsid w:val="004D66C8"/>
    <w:rsid w:val="004D6768"/>
    <w:rsid w:val="004D6E79"/>
    <w:rsid w:val="004D7FD1"/>
    <w:rsid w:val="004E3849"/>
    <w:rsid w:val="004E4D2F"/>
    <w:rsid w:val="004E5C72"/>
    <w:rsid w:val="004E7B84"/>
    <w:rsid w:val="004F2476"/>
    <w:rsid w:val="004F5264"/>
    <w:rsid w:val="004F7CA1"/>
    <w:rsid w:val="00500201"/>
    <w:rsid w:val="00500E5B"/>
    <w:rsid w:val="00504294"/>
    <w:rsid w:val="005049B2"/>
    <w:rsid w:val="00504B7C"/>
    <w:rsid w:val="00504D24"/>
    <w:rsid w:val="00505C1F"/>
    <w:rsid w:val="0050680A"/>
    <w:rsid w:val="00506F0C"/>
    <w:rsid w:val="00507869"/>
    <w:rsid w:val="00507EC9"/>
    <w:rsid w:val="00512D39"/>
    <w:rsid w:val="005136C8"/>
    <w:rsid w:val="005143E6"/>
    <w:rsid w:val="005175F4"/>
    <w:rsid w:val="005205A3"/>
    <w:rsid w:val="00520CC0"/>
    <w:rsid w:val="00522C4E"/>
    <w:rsid w:val="00522D53"/>
    <w:rsid w:val="0052413D"/>
    <w:rsid w:val="0052509F"/>
    <w:rsid w:val="00526F2C"/>
    <w:rsid w:val="00530F88"/>
    <w:rsid w:val="0053124B"/>
    <w:rsid w:val="00531AA3"/>
    <w:rsid w:val="00532D6F"/>
    <w:rsid w:val="0053385F"/>
    <w:rsid w:val="00535B91"/>
    <w:rsid w:val="00535F13"/>
    <w:rsid w:val="0053615D"/>
    <w:rsid w:val="00536CE5"/>
    <w:rsid w:val="0053730C"/>
    <w:rsid w:val="0054030D"/>
    <w:rsid w:val="00540757"/>
    <w:rsid w:val="00540F4F"/>
    <w:rsid w:val="00541E10"/>
    <w:rsid w:val="00541EAD"/>
    <w:rsid w:val="00543178"/>
    <w:rsid w:val="0054374F"/>
    <w:rsid w:val="00543AB3"/>
    <w:rsid w:val="00545556"/>
    <w:rsid w:val="00545565"/>
    <w:rsid w:val="005465E7"/>
    <w:rsid w:val="00550A12"/>
    <w:rsid w:val="00552967"/>
    <w:rsid w:val="00553560"/>
    <w:rsid w:val="005554B1"/>
    <w:rsid w:val="00556790"/>
    <w:rsid w:val="00557762"/>
    <w:rsid w:val="00560FAF"/>
    <w:rsid w:val="0056190F"/>
    <w:rsid w:val="005630E4"/>
    <w:rsid w:val="00563E14"/>
    <w:rsid w:val="00565C67"/>
    <w:rsid w:val="00566BF0"/>
    <w:rsid w:val="005677FE"/>
    <w:rsid w:val="00570EFD"/>
    <w:rsid w:val="0057203C"/>
    <w:rsid w:val="00573DB4"/>
    <w:rsid w:val="00574E0B"/>
    <w:rsid w:val="00581906"/>
    <w:rsid w:val="005822A2"/>
    <w:rsid w:val="00582E99"/>
    <w:rsid w:val="0058465D"/>
    <w:rsid w:val="005847F7"/>
    <w:rsid w:val="0058729A"/>
    <w:rsid w:val="005911E5"/>
    <w:rsid w:val="00591602"/>
    <w:rsid w:val="00594197"/>
    <w:rsid w:val="0059442A"/>
    <w:rsid w:val="00596C2E"/>
    <w:rsid w:val="005A5055"/>
    <w:rsid w:val="005A5C5B"/>
    <w:rsid w:val="005A5E91"/>
    <w:rsid w:val="005A5FA5"/>
    <w:rsid w:val="005A64B9"/>
    <w:rsid w:val="005B0797"/>
    <w:rsid w:val="005B0B44"/>
    <w:rsid w:val="005B1934"/>
    <w:rsid w:val="005B35DC"/>
    <w:rsid w:val="005B5215"/>
    <w:rsid w:val="005B534F"/>
    <w:rsid w:val="005C147A"/>
    <w:rsid w:val="005C596D"/>
    <w:rsid w:val="005C7346"/>
    <w:rsid w:val="005D096A"/>
    <w:rsid w:val="005D3814"/>
    <w:rsid w:val="005D3ACF"/>
    <w:rsid w:val="005D718E"/>
    <w:rsid w:val="005D7454"/>
    <w:rsid w:val="005D7E29"/>
    <w:rsid w:val="005E0811"/>
    <w:rsid w:val="005E0EFA"/>
    <w:rsid w:val="005E38FA"/>
    <w:rsid w:val="005E4961"/>
    <w:rsid w:val="005E4AEE"/>
    <w:rsid w:val="005E4E24"/>
    <w:rsid w:val="005E70F0"/>
    <w:rsid w:val="005F0637"/>
    <w:rsid w:val="005F1693"/>
    <w:rsid w:val="005F192C"/>
    <w:rsid w:val="005F27B4"/>
    <w:rsid w:val="005F3EA2"/>
    <w:rsid w:val="005F3FA2"/>
    <w:rsid w:val="005F4ABE"/>
    <w:rsid w:val="006010D5"/>
    <w:rsid w:val="00601C3C"/>
    <w:rsid w:val="00603361"/>
    <w:rsid w:val="00603CBE"/>
    <w:rsid w:val="00605D70"/>
    <w:rsid w:val="006061EC"/>
    <w:rsid w:val="006109EA"/>
    <w:rsid w:val="006115DF"/>
    <w:rsid w:val="00614FCA"/>
    <w:rsid w:val="00616126"/>
    <w:rsid w:val="00616724"/>
    <w:rsid w:val="00620057"/>
    <w:rsid w:val="00622162"/>
    <w:rsid w:val="0062577F"/>
    <w:rsid w:val="00627C56"/>
    <w:rsid w:val="00630A9A"/>
    <w:rsid w:val="00631529"/>
    <w:rsid w:val="00631D7E"/>
    <w:rsid w:val="00635C53"/>
    <w:rsid w:val="00635F12"/>
    <w:rsid w:val="00640C4C"/>
    <w:rsid w:val="006424D5"/>
    <w:rsid w:val="00642C4C"/>
    <w:rsid w:val="00642EB9"/>
    <w:rsid w:val="00647229"/>
    <w:rsid w:val="00650706"/>
    <w:rsid w:val="0065151F"/>
    <w:rsid w:val="00652DF8"/>
    <w:rsid w:val="0066114C"/>
    <w:rsid w:val="00661240"/>
    <w:rsid w:val="00661789"/>
    <w:rsid w:val="006631A9"/>
    <w:rsid w:val="00665157"/>
    <w:rsid w:val="00665473"/>
    <w:rsid w:val="00666B63"/>
    <w:rsid w:val="00671595"/>
    <w:rsid w:val="006719F8"/>
    <w:rsid w:val="00672EBC"/>
    <w:rsid w:val="006737D4"/>
    <w:rsid w:val="00673918"/>
    <w:rsid w:val="00673924"/>
    <w:rsid w:val="00673DA8"/>
    <w:rsid w:val="00674EB5"/>
    <w:rsid w:val="00675CEF"/>
    <w:rsid w:val="00676EF2"/>
    <w:rsid w:val="00677F01"/>
    <w:rsid w:val="00680ABA"/>
    <w:rsid w:val="0068103E"/>
    <w:rsid w:val="00682847"/>
    <w:rsid w:val="00683026"/>
    <w:rsid w:val="00684229"/>
    <w:rsid w:val="00685A6B"/>
    <w:rsid w:val="00685AFE"/>
    <w:rsid w:val="00685BBB"/>
    <w:rsid w:val="00686C34"/>
    <w:rsid w:val="00687E24"/>
    <w:rsid w:val="00687F0E"/>
    <w:rsid w:val="006900E3"/>
    <w:rsid w:val="00691B6F"/>
    <w:rsid w:val="00691D4C"/>
    <w:rsid w:val="00691E8C"/>
    <w:rsid w:val="00693EB2"/>
    <w:rsid w:val="006951E9"/>
    <w:rsid w:val="00695C5D"/>
    <w:rsid w:val="00695C98"/>
    <w:rsid w:val="00696C0D"/>
    <w:rsid w:val="00696DEB"/>
    <w:rsid w:val="0069798C"/>
    <w:rsid w:val="00697991"/>
    <w:rsid w:val="00697BEA"/>
    <w:rsid w:val="006A10EA"/>
    <w:rsid w:val="006A2567"/>
    <w:rsid w:val="006A5023"/>
    <w:rsid w:val="006A6923"/>
    <w:rsid w:val="006A6B5B"/>
    <w:rsid w:val="006A6ED5"/>
    <w:rsid w:val="006A7467"/>
    <w:rsid w:val="006A7927"/>
    <w:rsid w:val="006A7C98"/>
    <w:rsid w:val="006B1411"/>
    <w:rsid w:val="006B1BE6"/>
    <w:rsid w:val="006B297E"/>
    <w:rsid w:val="006B438C"/>
    <w:rsid w:val="006B525F"/>
    <w:rsid w:val="006B6707"/>
    <w:rsid w:val="006B6C82"/>
    <w:rsid w:val="006C1052"/>
    <w:rsid w:val="006C238D"/>
    <w:rsid w:val="006C554A"/>
    <w:rsid w:val="006C5CF3"/>
    <w:rsid w:val="006C67A7"/>
    <w:rsid w:val="006C6CB3"/>
    <w:rsid w:val="006C703F"/>
    <w:rsid w:val="006C7ECA"/>
    <w:rsid w:val="006D014C"/>
    <w:rsid w:val="006D035C"/>
    <w:rsid w:val="006D0AC7"/>
    <w:rsid w:val="006D4294"/>
    <w:rsid w:val="006D689A"/>
    <w:rsid w:val="006D751C"/>
    <w:rsid w:val="006D760D"/>
    <w:rsid w:val="006E15C6"/>
    <w:rsid w:val="006E170A"/>
    <w:rsid w:val="006E195A"/>
    <w:rsid w:val="006E19A4"/>
    <w:rsid w:val="006E224F"/>
    <w:rsid w:val="006E2856"/>
    <w:rsid w:val="006E3F3C"/>
    <w:rsid w:val="006E4881"/>
    <w:rsid w:val="006E54B6"/>
    <w:rsid w:val="006E58B6"/>
    <w:rsid w:val="006E653A"/>
    <w:rsid w:val="006E6E6E"/>
    <w:rsid w:val="006E6EBC"/>
    <w:rsid w:val="006E7AAB"/>
    <w:rsid w:val="006F1249"/>
    <w:rsid w:val="006F219B"/>
    <w:rsid w:val="006F2E80"/>
    <w:rsid w:val="006F40FE"/>
    <w:rsid w:val="006F4264"/>
    <w:rsid w:val="006F42C7"/>
    <w:rsid w:val="006F605F"/>
    <w:rsid w:val="006F65CA"/>
    <w:rsid w:val="006F77B7"/>
    <w:rsid w:val="0070076D"/>
    <w:rsid w:val="0070241A"/>
    <w:rsid w:val="00702C47"/>
    <w:rsid w:val="00703272"/>
    <w:rsid w:val="00703295"/>
    <w:rsid w:val="00703716"/>
    <w:rsid w:val="007044FB"/>
    <w:rsid w:val="0070467E"/>
    <w:rsid w:val="007048A3"/>
    <w:rsid w:val="00706A41"/>
    <w:rsid w:val="00707665"/>
    <w:rsid w:val="00714177"/>
    <w:rsid w:val="00714871"/>
    <w:rsid w:val="0071643E"/>
    <w:rsid w:val="007166F7"/>
    <w:rsid w:val="00720AF4"/>
    <w:rsid w:val="0072326A"/>
    <w:rsid w:val="00723A58"/>
    <w:rsid w:val="0072409A"/>
    <w:rsid w:val="00724664"/>
    <w:rsid w:val="00724CDA"/>
    <w:rsid w:val="007250B4"/>
    <w:rsid w:val="007253A6"/>
    <w:rsid w:val="0072650A"/>
    <w:rsid w:val="00726522"/>
    <w:rsid w:val="00726D19"/>
    <w:rsid w:val="00727508"/>
    <w:rsid w:val="00727569"/>
    <w:rsid w:val="0073163D"/>
    <w:rsid w:val="00731C0E"/>
    <w:rsid w:val="00731D84"/>
    <w:rsid w:val="00733290"/>
    <w:rsid w:val="00734BE9"/>
    <w:rsid w:val="00734E16"/>
    <w:rsid w:val="007361BE"/>
    <w:rsid w:val="00737F38"/>
    <w:rsid w:val="0074045C"/>
    <w:rsid w:val="00741779"/>
    <w:rsid w:val="00741C8A"/>
    <w:rsid w:val="00744441"/>
    <w:rsid w:val="00744B73"/>
    <w:rsid w:val="00744C2D"/>
    <w:rsid w:val="00751A2D"/>
    <w:rsid w:val="007547BC"/>
    <w:rsid w:val="007549DE"/>
    <w:rsid w:val="00754CAF"/>
    <w:rsid w:val="00755BF9"/>
    <w:rsid w:val="00756457"/>
    <w:rsid w:val="0075764C"/>
    <w:rsid w:val="007619D2"/>
    <w:rsid w:val="007636A1"/>
    <w:rsid w:val="007638E3"/>
    <w:rsid w:val="0076527E"/>
    <w:rsid w:val="007660FB"/>
    <w:rsid w:val="00767404"/>
    <w:rsid w:val="00770395"/>
    <w:rsid w:val="00772DAB"/>
    <w:rsid w:val="00773857"/>
    <w:rsid w:val="00774EA0"/>
    <w:rsid w:val="00775D54"/>
    <w:rsid w:val="00780E9D"/>
    <w:rsid w:val="007815B4"/>
    <w:rsid w:val="00781A14"/>
    <w:rsid w:val="0078287A"/>
    <w:rsid w:val="007832ED"/>
    <w:rsid w:val="00784674"/>
    <w:rsid w:val="007847E7"/>
    <w:rsid w:val="00784913"/>
    <w:rsid w:val="00786842"/>
    <w:rsid w:val="00787115"/>
    <w:rsid w:val="00787C47"/>
    <w:rsid w:val="00791C5D"/>
    <w:rsid w:val="0079291E"/>
    <w:rsid w:val="00795051"/>
    <w:rsid w:val="00795207"/>
    <w:rsid w:val="007971ED"/>
    <w:rsid w:val="00797405"/>
    <w:rsid w:val="007A2C41"/>
    <w:rsid w:val="007A32BB"/>
    <w:rsid w:val="007A5231"/>
    <w:rsid w:val="007A6527"/>
    <w:rsid w:val="007A6D61"/>
    <w:rsid w:val="007B092E"/>
    <w:rsid w:val="007B476E"/>
    <w:rsid w:val="007B4CE7"/>
    <w:rsid w:val="007B58EF"/>
    <w:rsid w:val="007B69DD"/>
    <w:rsid w:val="007B6A1F"/>
    <w:rsid w:val="007B7DBF"/>
    <w:rsid w:val="007C05C5"/>
    <w:rsid w:val="007C1D75"/>
    <w:rsid w:val="007C2D69"/>
    <w:rsid w:val="007C61D1"/>
    <w:rsid w:val="007C719D"/>
    <w:rsid w:val="007D1077"/>
    <w:rsid w:val="007D200F"/>
    <w:rsid w:val="007D3D80"/>
    <w:rsid w:val="007D5B26"/>
    <w:rsid w:val="007D69CF"/>
    <w:rsid w:val="007D77D2"/>
    <w:rsid w:val="007D7E7D"/>
    <w:rsid w:val="007E0A1E"/>
    <w:rsid w:val="007E1686"/>
    <w:rsid w:val="007E2A70"/>
    <w:rsid w:val="007E2B85"/>
    <w:rsid w:val="007E309F"/>
    <w:rsid w:val="007E40B4"/>
    <w:rsid w:val="007E4D4D"/>
    <w:rsid w:val="007E63DB"/>
    <w:rsid w:val="007E7030"/>
    <w:rsid w:val="007F07DC"/>
    <w:rsid w:val="007F1681"/>
    <w:rsid w:val="007F19B7"/>
    <w:rsid w:val="007F3DD1"/>
    <w:rsid w:val="007F435B"/>
    <w:rsid w:val="007F7793"/>
    <w:rsid w:val="00801757"/>
    <w:rsid w:val="008038E2"/>
    <w:rsid w:val="00804E4F"/>
    <w:rsid w:val="00806D3E"/>
    <w:rsid w:val="00806F02"/>
    <w:rsid w:val="0081118C"/>
    <w:rsid w:val="0081634C"/>
    <w:rsid w:val="008165D3"/>
    <w:rsid w:val="00817B83"/>
    <w:rsid w:val="00821530"/>
    <w:rsid w:val="0082230F"/>
    <w:rsid w:val="0082338C"/>
    <w:rsid w:val="008236C3"/>
    <w:rsid w:val="00823C40"/>
    <w:rsid w:val="00824DDA"/>
    <w:rsid w:val="00824E45"/>
    <w:rsid w:val="00825252"/>
    <w:rsid w:val="00827952"/>
    <w:rsid w:val="00830828"/>
    <w:rsid w:val="0083299A"/>
    <w:rsid w:val="008335D2"/>
    <w:rsid w:val="00833C15"/>
    <w:rsid w:val="00836FA1"/>
    <w:rsid w:val="00837D44"/>
    <w:rsid w:val="00840FE4"/>
    <w:rsid w:val="0084154F"/>
    <w:rsid w:val="00842101"/>
    <w:rsid w:val="00844653"/>
    <w:rsid w:val="0084484E"/>
    <w:rsid w:val="00852578"/>
    <w:rsid w:val="0085282D"/>
    <w:rsid w:val="00854869"/>
    <w:rsid w:val="008548B6"/>
    <w:rsid w:val="00854B40"/>
    <w:rsid w:val="00854B51"/>
    <w:rsid w:val="00856CF1"/>
    <w:rsid w:val="0085729D"/>
    <w:rsid w:val="00857D13"/>
    <w:rsid w:val="00860A54"/>
    <w:rsid w:val="0086151B"/>
    <w:rsid w:val="0086380E"/>
    <w:rsid w:val="008661FB"/>
    <w:rsid w:val="00867F3A"/>
    <w:rsid w:val="00870ADF"/>
    <w:rsid w:val="00871872"/>
    <w:rsid w:val="00872361"/>
    <w:rsid w:val="008736A0"/>
    <w:rsid w:val="00875FE1"/>
    <w:rsid w:val="00876054"/>
    <w:rsid w:val="00876C10"/>
    <w:rsid w:val="00876FD5"/>
    <w:rsid w:val="00880AEA"/>
    <w:rsid w:val="0088137A"/>
    <w:rsid w:val="00881BA8"/>
    <w:rsid w:val="0088261E"/>
    <w:rsid w:val="00883FB5"/>
    <w:rsid w:val="00884DC0"/>
    <w:rsid w:val="0088615C"/>
    <w:rsid w:val="00886CB5"/>
    <w:rsid w:val="008876CE"/>
    <w:rsid w:val="00891631"/>
    <w:rsid w:val="008921EB"/>
    <w:rsid w:val="00893D78"/>
    <w:rsid w:val="00895FEC"/>
    <w:rsid w:val="008A04D3"/>
    <w:rsid w:val="008A1814"/>
    <w:rsid w:val="008A4258"/>
    <w:rsid w:val="008A43D8"/>
    <w:rsid w:val="008A611A"/>
    <w:rsid w:val="008A65C0"/>
    <w:rsid w:val="008A6E41"/>
    <w:rsid w:val="008A7E6F"/>
    <w:rsid w:val="008A7F63"/>
    <w:rsid w:val="008B01E2"/>
    <w:rsid w:val="008B03C5"/>
    <w:rsid w:val="008B0769"/>
    <w:rsid w:val="008B0F01"/>
    <w:rsid w:val="008B2061"/>
    <w:rsid w:val="008B2771"/>
    <w:rsid w:val="008B2B35"/>
    <w:rsid w:val="008B3275"/>
    <w:rsid w:val="008B4220"/>
    <w:rsid w:val="008B5CA1"/>
    <w:rsid w:val="008B63ED"/>
    <w:rsid w:val="008B770B"/>
    <w:rsid w:val="008C0942"/>
    <w:rsid w:val="008C0B8D"/>
    <w:rsid w:val="008C1287"/>
    <w:rsid w:val="008C1763"/>
    <w:rsid w:val="008C2561"/>
    <w:rsid w:val="008C2827"/>
    <w:rsid w:val="008C2FDB"/>
    <w:rsid w:val="008C36D0"/>
    <w:rsid w:val="008C5023"/>
    <w:rsid w:val="008C60CB"/>
    <w:rsid w:val="008D02C4"/>
    <w:rsid w:val="008D06C0"/>
    <w:rsid w:val="008D1585"/>
    <w:rsid w:val="008D3665"/>
    <w:rsid w:val="008D3CAB"/>
    <w:rsid w:val="008D3ED7"/>
    <w:rsid w:val="008D4208"/>
    <w:rsid w:val="008D44D9"/>
    <w:rsid w:val="008D5405"/>
    <w:rsid w:val="008E1419"/>
    <w:rsid w:val="008E1BD6"/>
    <w:rsid w:val="008E1D13"/>
    <w:rsid w:val="008E235F"/>
    <w:rsid w:val="008E2A64"/>
    <w:rsid w:val="008E3AAA"/>
    <w:rsid w:val="008E3E2E"/>
    <w:rsid w:val="008E4B05"/>
    <w:rsid w:val="008E4B36"/>
    <w:rsid w:val="008E55DD"/>
    <w:rsid w:val="008E6B10"/>
    <w:rsid w:val="008E710F"/>
    <w:rsid w:val="008E75B0"/>
    <w:rsid w:val="008F11DE"/>
    <w:rsid w:val="008F1D92"/>
    <w:rsid w:val="008F3056"/>
    <w:rsid w:val="008F3175"/>
    <w:rsid w:val="008F55AC"/>
    <w:rsid w:val="008F58F3"/>
    <w:rsid w:val="00902620"/>
    <w:rsid w:val="00904CC5"/>
    <w:rsid w:val="0090745E"/>
    <w:rsid w:val="00912E2E"/>
    <w:rsid w:val="0091364E"/>
    <w:rsid w:val="00913ABD"/>
    <w:rsid w:val="00913F27"/>
    <w:rsid w:val="00914625"/>
    <w:rsid w:val="00916C3D"/>
    <w:rsid w:val="00917691"/>
    <w:rsid w:val="0092241B"/>
    <w:rsid w:val="009225F1"/>
    <w:rsid w:val="00922BD8"/>
    <w:rsid w:val="00922E82"/>
    <w:rsid w:val="00923903"/>
    <w:rsid w:val="00924035"/>
    <w:rsid w:val="009257EB"/>
    <w:rsid w:val="00925DFA"/>
    <w:rsid w:val="0092790D"/>
    <w:rsid w:val="00927BAE"/>
    <w:rsid w:val="00927F25"/>
    <w:rsid w:val="00931356"/>
    <w:rsid w:val="00933C40"/>
    <w:rsid w:val="00933EEA"/>
    <w:rsid w:val="00934EB6"/>
    <w:rsid w:val="0093511C"/>
    <w:rsid w:val="009357F1"/>
    <w:rsid w:val="009360F8"/>
    <w:rsid w:val="00937925"/>
    <w:rsid w:val="00937DC2"/>
    <w:rsid w:val="009409FC"/>
    <w:rsid w:val="00940E4D"/>
    <w:rsid w:val="00940EA3"/>
    <w:rsid w:val="0094129B"/>
    <w:rsid w:val="00941EEC"/>
    <w:rsid w:val="00942C6C"/>
    <w:rsid w:val="00945688"/>
    <w:rsid w:val="00947683"/>
    <w:rsid w:val="00950F2D"/>
    <w:rsid w:val="0095151C"/>
    <w:rsid w:val="0095185F"/>
    <w:rsid w:val="00952A40"/>
    <w:rsid w:val="009532D7"/>
    <w:rsid w:val="0095378E"/>
    <w:rsid w:val="00954424"/>
    <w:rsid w:val="00954598"/>
    <w:rsid w:val="00955435"/>
    <w:rsid w:val="00956DAC"/>
    <w:rsid w:val="00957313"/>
    <w:rsid w:val="00957AE0"/>
    <w:rsid w:val="0096037D"/>
    <w:rsid w:val="0096043C"/>
    <w:rsid w:val="00960E49"/>
    <w:rsid w:val="0096123F"/>
    <w:rsid w:val="00961349"/>
    <w:rsid w:val="00961A8D"/>
    <w:rsid w:val="009640CB"/>
    <w:rsid w:val="00965AA9"/>
    <w:rsid w:val="009669BB"/>
    <w:rsid w:val="00970058"/>
    <w:rsid w:val="0097059E"/>
    <w:rsid w:val="00971DDE"/>
    <w:rsid w:val="00972545"/>
    <w:rsid w:val="00977137"/>
    <w:rsid w:val="00977319"/>
    <w:rsid w:val="00980B29"/>
    <w:rsid w:val="00981549"/>
    <w:rsid w:val="00981D9D"/>
    <w:rsid w:val="00982288"/>
    <w:rsid w:val="009915D5"/>
    <w:rsid w:val="00993D9E"/>
    <w:rsid w:val="00997190"/>
    <w:rsid w:val="009A0221"/>
    <w:rsid w:val="009A05BE"/>
    <w:rsid w:val="009A0E62"/>
    <w:rsid w:val="009A0EC0"/>
    <w:rsid w:val="009A111A"/>
    <w:rsid w:val="009A1158"/>
    <w:rsid w:val="009A1885"/>
    <w:rsid w:val="009A1DD9"/>
    <w:rsid w:val="009A5F72"/>
    <w:rsid w:val="009A713C"/>
    <w:rsid w:val="009A78AD"/>
    <w:rsid w:val="009B0225"/>
    <w:rsid w:val="009B0247"/>
    <w:rsid w:val="009B05F5"/>
    <w:rsid w:val="009B1F81"/>
    <w:rsid w:val="009B2D99"/>
    <w:rsid w:val="009B2F92"/>
    <w:rsid w:val="009B438D"/>
    <w:rsid w:val="009B4D66"/>
    <w:rsid w:val="009B50BA"/>
    <w:rsid w:val="009C0157"/>
    <w:rsid w:val="009C0639"/>
    <w:rsid w:val="009C1A3A"/>
    <w:rsid w:val="009C2C5B"/>
    <w:rsid w:val="009C3319"/>
    <w:rsid w:val="009C334D"/>
    <w:rsid w:val="009C374A"/>
    <w:rsid w:val="009C39E6"/>
    <w:rsid w:val="009C41D4"/>
    <w:rsid w:val="009C468B"/>
    <w:rsid w:val="009D15E3"/>
    <w:rsid w:val="009D1F68"/>
    <w:rsid w:val="009D21FD"/>
    <w:rsid w:val="009D4A57"/>
    <w:rsid w:val="009D5533"/>
    <w:rsid w:val="009E12E9"/>
    <w:rsid w:val="009E1457"/>
    <w:rsid w:val="009E161F"/>
    <w:rsid w:val="009E1F4D"/>
    <w:rsid w:val="009E1FA2"/>
    <w:rsid w:val="009E27C3"/>
    <w:rsid w:val="009E2B11"/>
    <w:rsid w:val="009E34E5"/>
    <w:rsid w:val="009E3BFB"/>
    <w:rsid w:val="009E4DB5"/>
    <w:rsid w:val="009E6C65"/>
    <w:rsid w:val="009F1BD6"/>
    <w:rsid w:val="009F2896"/>
    <w:rsid w:val="009F2CA0"/>
    <w:rsid w:val="009F333D"/>
    <w:rsid w:val="009F5229"/>
    <w:rsid w:val="009F63B9"/>
    <w:rsid w:val="009F6F0A"/>
    <w:rsid w:val="009F7405"/>
    <w:rsid w:val="00A00F8D"/>
    <w:rsid w:val="00A0169D"/>
    <w:rsid w:val="00A05493"/>
    <w:rsid w:val="00A07D4A"/>
    <w:rsid w:val="00A10080"/>
    <w:rsid w:val="00A102C8"/>
    <w:rsid w:val="00A1033A"/>
    <w:rsid w:val="00A105BD"/>
    <w:rsid w:val="00A1072C"/>
    <w:rsid w:val="00A11BFC"/>
    <w:rsid w:val="00A13C1E"/>
    <w:rsid w:val="00A1530D"/>
    <w:rsid w:val="00A157ED"/>
    <w:rsid w:val="00A2146D"/>
    <w:rsid w:val="00A216DE"/>
    <w:rsid w:val="00A22513"/>
    <w:rsid w:val="00A23A41"/>
    <w:rsid w:val="00A256F0"/>
    <w:rsid w:val="00A26755"/>
    <w:rsid w:val="00A27763"/>
    <w:rsid w:val="00A30A2F"/>
    <w:rsid w:val="00A31D93"/>
    <w:rsid w:val="00A33194"/>
    <w:rsid w:val="00A341B1"/>
    <w:rsid w:val="00A34352"/>
    <w:rsid w:val="00A34E62"/>
    <w:rsid w:val="00A34F96"/>
    <w:rsid w:val="00A354E2"/>
    <w:rsid w:val="00A3562B"/>
    <w:rsid w:val="00A36D7A"/>
    <w:rsid w:val="00A4345D"/>
    <w:rsid w:val="00A44F94"/>
    <w:rsid w:val="00A46895"/>
    <w:rsid w:val="00A47A84"/>
    <w:rsid w:val="00A47BA2"/>
    <w:rsid w:val="00A47E50"/>
    <w:rsid w:val="00A501BE"/>
    <w:rsid w:val="00A501E0"/>
    <w:rsid w:val="00A506C2"/>
    <w:rsid w:val="00A5080C"/>
    <w:rsid w:val="00A521BB"/>
    <w:rsid w:val="00A54248"/>
    <w:rsid w:val="00A54D43"/>
    <w:rsid w:val="00A6020C"/>
    <w:rsid w:val="00A60E33"/>
    <w:rsid w:val="00A6356B"/>
    <w:rsid w:val="00A64A77"/>
    <w:rsid w:val="00A67118"/>
    <w:rsid w:val="00A70CE3"/>
    <w:rsid w:val="00A70E4F"/>
    <w:rsid w:val="00A718C1"/>
    <w:rsid w:val="00A746D0"/>
    <w:rsid w:val="00A7609A"/>
    <w:rsid w:val="00A77087"/>
    <w:rsid w:val="00A81968"/>
    <w:rsid w:val="00A83D67"/>
    <w:rsid w:val="00A83E31"/>
    <w:rsid w:val="00A8416A"/>
    <w:rsid w:val="00A86397"/>
    <w:rsid w:val="00A866D3"/>
    <w:rsid w:val="00A87353"/>
    <w:rsid w:val="00A877C7"/>
    <w:rsid w:val="00A90463"/>
    <w:rsid w:val="00A9064E"/>
    <w:rsid w:val="00A907B5"/>
    <w:rsid w:val="00A912D5"/>
    <w:rsid w:val="00A91607"/>
    <w:rsid w:val="00A92193"/>
    <w:rsid w:val="00A93778"/>
    <w:rsid w:val="00A93781"/>
    <w:rsid w:val="00A957AB"/>
    <w:rsid w:val="00A95CAA"/>
    <w:rsid w:val="00A95F48"/>
    <w:rsid w:val="00A96359"/>
    <w:rsid w:val="00A97108"/>
    <w:rsid w:val="00AA0F88"/>
    <w:rsid w:val="00AA1793"/>
    <w:rsid w:val="00AA19C1"/>
    <w:rsid w:val="00AA2426"/>
    <w:rsid w:val="00AA2934"/>
    <w:rsid w:val="00AA3255"/>
    <w:rsid w:val="00AA3C27"/>
    <w:rsid w:val="00AA410A"/>
    <w:rsid w:val="00AA63D1"/>
    <w:rsid w:val="00AA7F61"/>
    <w:rsid w:val="00AB151F"/>
    <w:rsid w:val="00AB34EA"/>
    <w:rsid w:val="00AB6391"/>
    <w:rsid w:val="00AB6768"/>
    <w:rsid w:val="00AB7EF2"/>
    <w:rsid w:val="00AC130B"/>
    <w:rsid w:val="00AC2B99"/>
    <w:rsid w:val="00AC3AB5"/>
    <w:rsid w:val="00AC4ED6"/>
    <w:rsid w:val="00AC7505"/>
    <w:rsid w:val="00AD0BA0"/>
    <w:rsid w:val="00AD45CB"/>
    <w:rsid w:val="00AD4FD3"/>
    <w:rsid w:val="00AD5AE3"/>
    <w:rsid w:val="00AD5E46"/>
    <w:rsid w:val="00AD749A"/>
    <w:rsid w:val="00AE72D8"/>
    <w:rsid w:val="00AF1BCA"/>
    <w:rsid w:val="00AF1DCD"/>
    <w:rsid w:val="00AF227E"/>
    <w:rsid w:val="00AF2CB7"/>
    <w:rsid w:val="00AF31AB"/>
    <w:rsid w:val="00AF66E5"/>
    <w:rsid w:val="00AF6F02"/>
    <w:rsid w:val="00B007F2"/>
    <w:rsid w:val="00B016F9"/>
    <w:rsid w:val="00B05854"/>
    <w:rsid w:val="00B0610C"/>
    <w:rsid w:val="00B06710"/>
    <w:rsid w:val="00B109E9"/>
    <w:rsid w:val="00B13A9A"/>
    <w:rsid w:val="00B157FD"/>
    <w:rsid w:val="00B170C4"/>
    <w:rsid w:val="00B20922"/>
    <w:rsid w:val="00B24A54"/>
    <w:rsid w:val="00B25931"/>
    <w:rsid w:val="00B262D5"/>
    <w:rsid w:val="00B2679A"/>
    <w:rsid w:val="00B26BEE"/>
    <w:rsid w:val="00B30CA2"/>
    <w:rsid w:val="00B338A0"/>
    <w:rsid w:val="00B37BFC"/>
    <w:rsid w:val="00B40C40"/>
    <w:rsid w:val="00B40D1E"/>
    <w:rsid w:val="00B41428"/>
    <w:rsid w:val="00B41528"/>
    <w:rsid w:val="00B41F22"/>
    <w:rsid w:val="00B42634"/>
    <w:rsid w:val="00B43D76"/>
    <w:rsid w:val="00B441A0"/>
    <w:rsid w:val="00B45269"/>
    <w:rsid w:val="00B452EC"/>
    <w:rsid w:val="00B45356"/>
    <w:rsid w:val="00B45D91"/>
    <w:rsid w:val="00B46F7E"/>
    <w:rsid w:val="00B4761C"/>
    <w:rsid w:val="00B5299A"/>
    <w:rsid w:val="00B54232"/>
    <w:rsid w:val="00B55A0A"/>
    <w:rsid w:val="00B55CFC"/>
    <w:rsid w:val="00B56609"/>
    <w:rsid w:val="00B604D2"/>
    <w:rsid w:val="00B61A68"/>
    <w:rsid w:val="00B61B09"/>
    <w:rsid w:val="00B61BD7"/>
    <w:rsid w:val="00B62EFE"/>
    <w:rsid w:val="00B64015"/>
    <w:rsid w:val="00B64631"/>
    <w:rsid w:val="00B64643"/>
    <w:rsid w:val="00B65E57"/>
    <w:rsid w:val="00B66DA2"/>
    <w:rsid w:val="00B71841"/>
    <w:rsid w:val="00B72587"/>
    <w:rsid w:val="00B72D14"/>
    <w:rsid w:val="00B736D2"/>
    <w:rsid w:val="00B814BB"/>
    <w:rsid w:val="00B8166C"/>
    <w:rsid w:val="00B84C0B"/>
    <w:rsid w:val="00B852D5"/>
    <w:rsid w:val="00B85E70"/>
    <w:rsid w:val="00B8637B"/>
    <w:rsid w:val="00B90F59"/>
    <w:rsid w:val="00B91A69"/>
    <w:rsid w:val="00B95338"/>
    <w:rsid w:val="00B95486"/>
    <w:rsid w:val="00B96C49"/>
    <w:rsid w:val="00B97E10"/>
    <w:rsid w:val="00BA005A"/>
    <w:rsid w:val="00BA00DD"/>
    <w:rsid w:val="00BA2A93"/>
    <w:rsid w:val="00BA41B7"/>
    <w:rsid w:val="00BA4276"/>
    <w:rsid w:val="00BA4289"/>
    <w:rsid w:val="00BA5E18"/>
    <w:rsid w:val="00BA709F"/>
    <w:rsid w:val="00BA7E73"/>
    <w:rsid w:val="00BB11B8"/>
    <w:rsid w:val="00BB1885"/>
    <w:rsid w:val="00BB34E2"/>
    <w:rsid w:val="00BB5B53"/>
    <w:rsid w:val="00BB5CBE"/>
    <w:rsid w:val="00BB6110"/>
    <w:rsid w:val="00BB7688"/>
    <w:rsid w:val="00BB77C2"/>
    <w:rsid w:val="00BC12A5"/>
    <w:rsid w:val="00BC1E98"/>
    <w:rsid w:val="00BC2FEB"/>
    <w:rsid w:val="00BC3133"/>
    <w:rsid w:val="00BC4BDB"/>
    <w:rsid w:val="00BD2533"/>
    <w:rsid w:val="00BD3B06"/>
    <w:rsid w:val="00BD68D6"/>
    <w:rsid w:val="00BD71A8"/>
    <w:rsid w:val="00BD7F8E"/>
    <w:rsid w:val="00BE0471"/>
    <w:rsid w:val="00BE3892"/>
    <w:rsid w:val="00BE3BBE"/>
    <w:rsid w:val="00BE580F"/>
    <w:rsid w:val="00BE5D07"/>
    <w:rsid w:val="00BF031C"/>
    <w:rsid w:val="00BF2B1F"/>
    <w:rsid w:val="00BF3DD1"/>
    <w:rsid w:val="00BF47EB"/>
    <w:rsid w:val="00BF76F1"/>
    <w:rsid w:val="00BF7760"/>
    <w:rsid w:val="00BF7FFB"/>
    <w:rsid w:val="00C018E8"/>
    <w:rsid w:val="00C029BF"/>
    <w:rsid w:val="00C02EC1"/>
    <w:rsid w:val="00C02F54"/>
    <w:rsid w:val="00C03302"/>
    <w:rsid w:val="00C03391"/>
    <w:rsid w:val="00C035C9"/>
    <w:rsid w:val="00C04B04"/>
    <w:rsid w:val="00C053B6"/>
    <w:rsid w:val="00C07188"/>
    <w:rsid w:val="00C077B8"/>
    <w:rsid w:val="00C07A25"/>
    <w:rsid w:val="00C10AE0"/>
    <w:rsid w:val="00C119CA"/>
    <w:rsid w:val="00C13437"/>
    <w:rsid w:val="00C13EB5"/>
    <w:rsid w:val="00C15053"/>
    <w:rsid w:val="00C150E0"/>
    <w:rsid w:val="00C15D2C"/>
    <w:rsid w:val="00C17551"/>
    <w:rsid w:val="00C20132"/>
    <w:rsid w:val="00C2192A"/>
    <w:rsid w:val="00C21BF9"/>
    <w:rsid w:val="00C21C39"/>
    <w:rsid w:val="00C2300A"/>
    <w:rsid w:val="00C23947"/>
    <w:rsid w:val="00C24F0C"/>
    <w:rsid w:val="00C2596C"/>
    <w:rsid w:val="00C2627C"/>
    <w:rsid w:val="00C2665D"/>
    <w:rsid w:val="00C270CA"/>
    <w:rsid w:val="00C303D7"/>
    <w:rsid w:val="00C3063B"/>
    <w:rsid w:val="00C3292E"/>
    <w:rsid w:val="00C356F6"/>
    <w:rsid w:val="00C36695"/>
    <w:rsid w:val="00C37549"/>
    <w:rsid w:val="00C402A9"/>
    <w:rsid w:val="00C40C25"/>
    <w:rsid w:val="00C412A7"/>
    <w:rsid w:val="00C4304D"/>
    <w:rsid w:val="00C4444D"/>
    <w:rsid w:val="00C459DE"/>
    <w:rsid w:val="00C468F7"/>
    <w:rsid w:val="00C47EEF"/>
    <w:rsid w:val="00C51B8C"/>
    <w:rsid w:val="00C52D1F"/>
    <w:rsid w:val="00C53947"/>
    <w:rsid w:val="00C563B1"/>
    <w:rsid w:val="00C56D2A"/>
    <w:rsid w:val="00C56DC6"/>
    <w:rsid w:val="00C61F3C"/>
    <w:rsid w:val="00C620BF"/>
    <w:rsid w:val="00C631B5"/>
    <w:rsid w:val="00C63A9D"/>
    <w:rsid w:val="00C64B6C"/>
    <w:rsid w:val="00C64FAC"/>
    <w:rsid w:val="00C64FBB"/>
    <w:rsid w:val="00C653D8"/>
    <w:rsid w:val="00C65823"/>
    <w:rsid w:val="00C65ACC"/>
    <w:rsid w:val="00C65DF2"/>
    <w:rsid w:val="00C667DB"/>
    <w:rsid w:val="00C6694A"/>
    <w:rsid w:val="00C670AD"/>
    <w:rsid w:val="00C6756D"/>
    <w:rsid w:val="00C7015F"/>
    <w:rsid w:val="00C72685"/>
    <w:rsid w:val="00C72C83"/>
    <w:rsid w:val="00C73B52"/>
    <w:rsid w:val="00C73B85"/>
    <w:rsid w:val="00C76204"/>
    <w:rsid w:val="00C76CBA"/>
    <w:rsid w:val="00C77632"/>
    <w:rsid w:val="00C81091"/>
    <w:rsid w:val="00C83113"/>
    <w:rsid w:val="00C83E7B"/>
    <w:rsid w:val="00C840D5"/>
    <w:rsid w:val="00C86657"/>
    <w:rsid w:val="00C8787B"/>
    <w:rsid w:val="00C87AE6"/>
    <w:rsid w:val="00C902A9"/>
    <w:rsid w:val="00C90858"/>
    <w:rsid w:val="00C90EF6"/>
    <w:rsid w:val="00C917B4"/>
    <w:rsid w:val="00C92473"/>
    <w:rsid w:val="00C94AD8"/>
    <w:rsid w:val="00C9671D"/>
    <w:rsid w:val="00C9794D"/>
    <w:rsid w:val="00CA18E8"/>
    <w:rsid w:val="00CA1A41"/>
    <w:rsid w:val="00CA2A83"/>
    <w:rsid w:val="00CA2B88"/>
    <w:rsid w:val="00CA7ADC"/>
    <w:rsid w:val="00CB05DE"/>
    <w:rsid w:val="00CB1D19"/>
    <w:rsid w:val="00CB3452"/>
    <w:rsid w:val="00CB3F65"/>
    <w:rsid w:val="00CB47B8"/>
    <w:rsid w:val="00CB4E1F"/>
    <w:rsid w:val="00CB5BE8"/>
    <w:rsid w:val="00CB7D6F"/>
    <w:rsid w:val="00CC1694"/>
    <w:rsid w:val="00CC29FE"/>
    <w:rsid w:val="00CC36AD"/>
    <w:rsid w:val="00CC39F7"/>
    <w:rsid w:val="00CC3F8A"/>
    <w:rsid w:val="00CC460C"/>
    <w:rsid w:val="00CC7633"/>
    <w:rsid w:val="00CC7E1B"/>
    <w:rsid w:val="00CD0010"/>
    <w:rsid w:val="00CD11BB"/>
    <w:rsid w:val="00CD14A4"/>
    <w:rsid w:val="00CD29AE"/>
    <w:rsid w:val="00CD57C1"/>
    <w:rsid w:val="00CD57C9"/>
    <w:rsid w:val="00CD57FF"/>
    <w:rsid w:val="00CD5CFF"/>
    <w:rsid w:val="00CD6A01"/>
    <w:rsid w:val="00CD6ABD"/>
    <w:rsid w:val="00CD74A3"/>
    <w:rsid w:val="00CD7AB1"/>
    <w:rsid w:val="00CE0650"/>
    <w:rsid w:val="00CE0D5D"/>
    <w:rsid w:val="00CE1083"/>
    <w:rsid w:val="00CE1400"/>
    <w:rsid w:val="00CE2C1E"/>
    <w:rsid w:val="00CE3372"/>
    <w:rsid w:val="00CE35D2"/>
    <w:rsid w:val="00CE56CE"/>
    <w:rsid w:val="00CE5A61"/>
    <w:rsid w:val="00CE60DE"/>
    <w:rsid w:val="00CE737B"/>
    <w:rsid w:val="00CE7787"/>
    <w:rsid w:val="00CE7934"/>
    <w:rsid w:val="00CF181E"/>
    <w:rsid w:val="00CF2E4C"/>
    <w:rsid w:val="00CF2E84"/>
    <w:rsid w:val="00CF38D0"/>
    <w:rsid w:val="00CF5333"/>
    <w:rsid w:val="00CF5AA7"/>
    <w:rsid w:val="00CF705E"/>
    <w:rsid w:val="00CF77A2"/>
    <w:rsid w:val="00CF7AD3"/>
    <w:rsid w:val="00D00C1D"/>
    <w:rsid w:val="00D0273F"/>
    <w:rsid w:val="00D02978"/>
    <w:rsid w:val="00D02B19"/>
    <w:rsid w:val="00D0308F"/>
    <w:rsid w:val="00D05ABC"/>
    <w:rsid w:val="00D06018"/>
    <w:rsid w:val="00D06D35"/>
    <w:rsid w:val="00D075D3"/>
    <w:rsid w:val="00D1020B"/>
    <w:rsid w:val="00D11A9D"/>
    <w:rsid w:val="00D131D3"/>
    <w:rsid w:val="00D13ED0"/>
    <w:rsid w:val="00D14191"/>
    <w:rsid w:val="00D1660B"/>
    <w:rsid w:val="00D16F83"/>
    <w:rsid w:val="00D17D60"/>
    <w:rsid w:val="00D22D98"/>
    <w:rsid w:val="00D24430"/>
    <w:rsid w:val="00D2502F"/>
    <w:rsid w:val="00D30223"/>
    <w:rsid w:val="00D319E1"/>
    <w:rsid w:val="00D31B24"/>
    <w:rsid w:val="00D325B3"/>
    <w:rsid w:val="00D32963"/>
    <w:rsid w:val="00D3551D"/>
    <w:rsid w:val="00D374A6"/>
    <w:rsid w:val="00D379FD"/>
    <w:rsid w:val="00D37AEF"/>
    <w:rsid w:val="00D37B82"/>
    <w:rsid w:val="00D37C77"/>
    <w:rsid w:val="00D37D22"/>
    <w:rsid w:val="00D4069E"/>
    <w:rsid w:val="00D431C3"/>
    <w:rsid w:val="00D44768"/>
    <w:rsid w:val="00D46F78"/>
    <w:rsid w:val="00D4776C"/>
    <w:rsid w:val="00D4793D"/>
    <w:rsid w:val="00D47AFF"/>
    <w:rsid w:val="00D47DD5"/>
    <w:rsid w:val="00D47F1F"/>
    <w:rsid w:val="00D533EE"/>
    <w:rsid w:val="00D5384C"/>
    <w:rsid w:val="00D5436A"/>
    <w:rsid w:val="00D54757"/>
    <w:rsid w:val="00D54B3B"/>
    <w:rsid w:val="00D5565E"/>
    <w:rsid w:val="00D55B86"/>
    <w:rsid w:val="00D5676E"/>
    <w:rsid w:val="00D56F2B"/>
    <w:rsid w:val="00D56FBA"/>
    <w:rsid w:val="00D5769B"/>
    <w:rsid w:val="00D57F58"/>
    <w:rsid w:val="00D607BB"/>
    <w:rsid w:val="00D61B0D"/>
    <w:rsid w:val="00D61C3C"/>
    <w:rsid w:val="00D63CA3"/>
    <w:rsid w:val="00D64B86"/>
    <w:rsid w:val="00D669B3"/>
    <w:rsid w:val="00D67D5F"/>
    <w:rsid w:val="00D67EA2"/>
    <w:rsid w:val="00D67EDE"/>
    <w:rsid w:val="00D70E9D"/>
    <w:rsid w:val="00D71FA3"/>
    <w:rsid w:val="00D72635"/>
    <w:rsid w:val="00D731BB"/>
    <w:rsid w:val="00D73AC9"/>
    <w:rsid w:val="00D73E5A"/>
    <w:rsid w:val="00D74B22"/>
    <w:rsid w:val="00D752D6"/>
    <w:rsid w:val="00D766A7"/>
    <w:rsid w:val="00D77FC5"/>
    <w:rsid w:val="00D80893"/>
    <w:rsid w:val="00D86F80"/>
    <w:rsid w:val="00D90680"/>
    <w:rsid w:val="00D91812"/>
    <w:rsid w:val="00D93E84"/>
    <w:rsid w:val="00D94005"/>
    <w:rsid w:val="00D950B0"/>
    <w:rsid w:val="00D95E21"/>
    <w:rsid w:val="00D97652"/>
    <w:rsid w:val="00D978CB"/>
    <w:rsid w:val="00DA195A"/>
    <w:rsid w:val="00DA265E"/>
    <w:rsid w:val="00DA2AAB"/>
    <w:rsid w:val="00DA2E33"/>
    <w:rsid w:val="00DA32E6"/>
    <w:rsid w:val="00DA4F5B"/>
    <w:rsid w:val="00DA5CA5"/>
    <w:rsid w:val="00DA667E"/>
    <w:rsid w:val="00DA721E"/>
    <w:rsid w:val="00DB075C"/>
    <w:rsid w:val="00DB08A3"/>
    <w:rsid w:val="00DB0D78"/>
    <w:rsid w:val="00DB1555"/>
    <w:rsid w:val="00DB3010"/>
    <w:rsid w:val="00DB48B3"/>
    <w:rsid w:val="00DB5021"/>
    <w:rsid w:val="00DB5EA9"/>
    <w:rsid w:val="00DC0FFF"/>
    <w:rsid w:val="00DC184D"/>
    <w:rsid w:val="00DC20E4"/>
    <w:rsid w:val="00DC291E"/>
    <w:rsid w:val="00DC2BEF"/>
    <w:rsid w:val="00DC3B6C"/>
    <w:rsid w:val="00DC4177"/>
    <w:rsid w:val="00DC6608"/>
    <w:rsid w:val="00DC6E55"/>
    <w:rsid w:val="00DC75C8"/>
    <w:rsid w:val="00DC770F"/>
    <w:rsid w:val="00DD16B2"/>
    <w:rsid w:val="00DD19FC"/>
    <w:rsid w:val="00DD2D99"/>
    <w:rsid w:val="00DD2E41"/>
    <w:rsid w:val="00DD33D9"/>
    <w:rsid w:val="00DD3EA3"/>
    <w:rsid w:val="00DD4BA1"/>
    <w:rsid w:val="00DD796A"/>
    <w:rsid w:val="00DE00D1"/>
    <w:rsid w:val="00DE2C09"/>
    <w:rsid w:val="00DE3A92"/>
    <w:rsid w:val="00DE3B47"/>
    <w:rsid w:val="00DE4F2B"/>
    <w:rsid w:val="00DE5B23"/>
    <w:rsid w:val="00DE6482"/>
    <w:rsid w:val="00DF02E9"/>
    <w:rsid w:val="00DF05AC"/>
    <w:rsid w:val="00DF3489"/>
    <w:rsid w:val="00DF3BE7"/>
    <w:rsid w:val="00DF5376"/>
    <w:rsid w:val="00DF5C84"/>
    <w:rsid w:val="00DF70C4"/>
    <w:rsid w:val="00DF72B2"/>
    <w:rsid w:val="00DF7E0E"/>
    <w:rsid w:val="00E0012F"/>
    <w:rsid w:val="00E0015E"/>
    <w:rsid w:val="00E01DB8"/>
    <w:rsid w:val="00E0259B"/>
    <w:rsid w:val="00E049A7"/>
    <w:rsid w:val="00E054AF"/>
    <w:rsid w:val="00E10428"/>
    <w:rsid w:val="00E11D6E"/>
    <w:rsid w:val="00E13271"/>
    <w:rsid w:val="00E1393D"/>
    <w:rsid w:val="00E14470"/>
    <w:rsid w:val="00E14781"/>
    <w:rsid w:val="00E15DEC"/>
    <w:rsid w:val="00E249A0"/>
    <w:rsid w:val="00E24A59"/>
    <w:rsid w:val="00E25634"/>
    <w:rsid w:val="00E27671"/>
    <w:rsid w:val="00E32B44"/>
    <w:rsid w:val="00E335F3"/>
    <w:rsid w:val="00E33910"/>
    <w:rsid w:val="00E33E44"/>
    <w:rsid w:val="00E36630"/>
    <w:rsid w:val="00E36B41"/>
    <w:rsid w:val="00E36ECB"/>
    <w:rsid w:val="00E42203"/>
    <w:rsid w:val="00E4261D"/>
    <w:rsid w:val="00E42E4B"/>
    <w:rsid w:val="00E4347E"/>
    <w:rsid w:val="00E45900"/>
    <w:rsid w:val="00E47A6E"/>
    <w:rsid w:val="00E47B94"/>
    <w:rsid w:val="00E52C14"/>
    <w:rsid w:val="00E53416"/>
    <w:rsid w:val="00E53694"/>
    <w:rsid w:val="00E53C3A"/>
    <w:rsid w:val="00E5517E"/>
    <w:rsid w:val="00E55D6D"/>
    <w:rsid w:val="00E61023"/>
    <w:rsid w:val="00E621ED"/>
    <w:rsid w:val="00E623D5"/>
    <w:rsid w:val="00E6345D"/>
    <w:rsid w:val="00E63C96"/>
    <w:rsid w:val="00E6437A"/>
    <w:rsid w:val="00E656F5"/>
    <w:rsid w:val="00E65E92"/>
    <w:rsid w:val="00E71E53"/>
    <w:rsid w:val="00E72559"/>
    <w:rsid w:val="00E73044"/>
    <w:rsid w:val="00E73A56"/>
    <w:rsid w:val="00E75956"/>
    <w:rsid w:val="00E764D4"/>
    <w:rsid w:val="00E77759"/>
    <w:rsid w:val="00E8146A"/>
    <w:rsid w:val="00E8146F"/>
    <w:rsid w:val="00E85469"/>
    <w:rsid w:val="00E873B0"/>
    <w:rsid w:val="00E87844"/>
    <w:rsid w:val="00E878C0"/>
    <w:rsid w:val="00E87D33"/>
    <w:rsid w:val="00E91AD9"/>
    <w:rsid w:val="00E9225E"/>
    <w:rsid w:val="00E92DAE"/>
    <w:rsid w:val="00E931CD"/>
    <w:rsid w:val="00E950B5"/>
    <w:rsid w:val="00E95E2B"/>
    <w:rsid w:val="00EA2616"/>
    <w:rsid w:val="00EA3882"/>
    <w:rsid w:val="00EA4AEB"/>
    <w:rsid w:val="00EA4C83"/>
    <w:rsid w:val="00EA534C"/>
    <w:rsid w:val="00EA5416"/>
    <w:rsid w:val="00EA7A30"/>
    <w:rsid w:val="00EB1BE3"/>
    <w:rsid w:val="00EB1E84"/>
    <w:rsid w:val="00EB4654"/>
    <w:rsid w:val="00EB4CA9"/>
    <w:rsid w:val="00EB4FE9"/>
    <w:rsid w:val="00EB5E88"/>
    <w:rsid w:val="00EB746F"/>
    <w:rsid w:val="00EB7616"/>
    <w:rsid w:val="00EB784D"/>
    <w:rsid w:val="00EB7A2D"/>
    <w:rsid w:val="00EC0379"/>
    <w:rsid w:val="00EC0CF1"/>
    <w:rsid w:val="00EC1538"/>
    <w:rsid w:val="00EC2E6A"/>
    <w:rsid w:val="00EC5567"/>
    <w:rsid w:val="00EC5B24"/>
    <w:rsid w:val="00EC62CF"/>
    <w:rsid w:val="00EC75D1"/>
    <w:rsid w:val="00EC789D"/>
    <w:rsid w:val="00ED1854"/>
    <w:rsid w:val="00ED2E7B"/>
    <w:rsid w:val="00ED2E8C"/>
    <w:rsid w:val="00ED4E06"/>
    <w:rsid w:val="00ED5FFE"/>
    <w:rsid w:val="00ED60DE"/>
    <w:rsid w:val="00ED668E"/>
    <w:rsid w:val="00ED7861"/>
    <w:rsid w:val="00ED79ED"/>
    <w:rsid w:val="00EE19D7"/>
    <w:rsid w:val="00EE4E9F"/>
    <w:rsid w:val="00EE5109"/>
    <w:rsid w:val="00EE625D"/>
    <w:rsid w:val="00EF301E"/>
    <w:rsid w:val="00EF3C5E"/>
    <w:rsid w:val="00EF5031"/>
    <w:rsid w:val="00EF58D8"/>
    <w:rsid w:val="00EF6DB2"/>
    <w:rsid w:val="00F0019C"/>
    <w:rsid w:val="00F023DB"/>
    <w:rsid w:val="00F057B1"/>
    <w:rsid w:val="00F0693C"/>
    <w:rsid w:val="00F11A54"/>
    <w:rsid w:val="00F15939"/>
    <w:rsid w:val="00F163DA"/>
    <w:rsid w:val="00F1762F"/>
    <w:rsid w:val="00F17F7A"/>
    <w:rsid w:val="00F21723"/>
    <w:rsid w:val="00F241DD"/>
    <w:rsid w:val="00F250C7"/>
    <w:rsid w:val="00F27E45"/>
    <w:rsid w:val="00F3073D"/>
    <w:rsid w:val="00F308FB"/>
    <w:rsid w:val="00F32588"/>
    <w:rsid w:val="00F32734"/>
    <w:rsid w:val="00F32FA8"/>
    <w:rsid w:val="00F336F8"/>
    <w:rsid w:val="00F33B3E"/>
    <w:rsid w:val="00F37190"/>
    <w:rsid w:val="00F373E7"/>
    <w:rsid w:val="00F37802"/>
    <w:rsid w:val="00F3794B"/>
    <w:rsid w:val="00F4178A"/>
    <w:rsid w:val="00F431A9"/>
    <w:rsid w:val="00F43FF2"/>
    <w:rsid w:val="00F44A15"/>
    <w:rsid w:val="00F46AB8"/>
    <w:rsid w:val="00F50303"/>
    <w:rsid w:val="00F5034C"/>
    <w:rsid w:val="00F52B0F"/>
    <w:rsid w:val="00F531EC"/>
    <w:rsid w:val="00F53EB9"/>
    <w:rsid w:val="00F542E0"/>
    <w:rsid w:val="00F54DC7"/>
    <w:rsid w:val="00F54DFD"/>
    <w:rsid w:val="00F55CBE"/>
    <w:rsid w:val="00F55E90"/>
    <w:rsid w:val="00F568D3"/>
    <w:rsid w:val="00F57BAE"/>
    <w:rsid w:val="00F61C2C"/>
    <w:rsid w:val="00F62D6A"/>
    <w:rsid w:val="00F62E5F"/>
    <w:rsid w:val="00F63F23"/>
    <w:rsid w:val="00F640B8"/>
    <w:rsid w:val="00F647D7"/>
    <w:rsid w:val="00F64CB0"/>
    <w:rsid w:val="00F64DD4"/>
    <w:rsid w:val="00F65534"/>
    <w:rsid w:val="00F71E28"/>
    <w:rsid w:val="00F73E1B"/>
    <w:rsid w:val="00F74471"/>
    <w:rsid w:val="00F746B0"/>
    <w:rsid w:val="00F7629D"/>
    <w:rsid w:val="00F808EE"/>
    <w:rsid w:val="00F80AA4"/>
    <w:rsid w:val="00F81DD7"/>
    <w:rsid w:val="00F829E0"/>
    <w:rsid w:val="00F82A13"/>
    <w:rsid w:val="00F878D4"/>
    <w:rsid w:val="00F87E85"/>
    <w:rsid w:val="00F92DAF"/>
    <w:rsid w:val="00F94E5F"/>
    <w:rsid w:val="00F9619A"/>
    <w:rsid w:val="00FA1090"/>
    <w:rsid w:val="00FA157E"/>
    <w:rsid w:val="00FA2246"/>
    <w:rsid w:val="00FA33EF"/>
    <w:rsid w:val="00FA4894"/>
    <w:rsid w:val="00FA7DB5"/>
    <w:rsid w:val="00FB0D64"/>
    <w:rsid w:val="00FB53FC"/>
    <w:rsid w:val="00FC264F"/>
    <w:rsid w:val="00FC2EF5"/>
    <w:rsid w:val="00FC3AAA"/>
    <w:rsid w:val="00FC44AA"/>
    <w:rsid w:val="00FC470E"/>
    <w:rsid w:val="00FD204B"/>
    <w:rsid w:val="00FD22D8"/>
    <w:rsid w:val="00FD3464"/>
    <w:rsid w:val="00FD4B47"/>
    <w:rsid w:val="00FD51AE"/>
    <w:rsid w:val="00FD5330"/>
    <w:rsid w:val="00FD6A2C"/>
    <w:rsid w:val="00FD787A"/>
    <w:rsid w:val="00FE077B"/>
    <w:rsid w:val="00FE2BC9"/>
    <w:rsid w:val="00FE2C2E"/>
    <w:rsid w:val="00FE5E5E"/>
    <w:rsid w:val="00FE6C78"/>
    <w:rsid w:val="00FE7CD0"/>
    <w:rsid w:val="00FE7D60"/>
    <w:rsid w:val="00FF0D89"/>
    <w:rsid w:val="00FF395F"/>
    <w:rsid w:val="00FF3BE4"/>
    <w:rsid w:val="00FF3E7A"/>
    <w:rsid w:val="00FF5A07"/>
    <w:rsid w:val="00FF777B"/>
    <w:rsid w:val="01204EBB"/>
    <w:rsid w:val="03B04FD4"/>
    <w:rsid w:val="04AD0D63"/>
    <w:rsid w:val="07EC3652"/>
    <w:rsid w:val="08235F77"/>
    <w:rsid w:val="08444C5E"/>
    <w:rsid w:val="0A4D3CE2"/>
    <w:rsid w:val="0A9832DC"/>
    <w:rsid w:val="0B3065DC"/>
    <w:rsid w:val="0B5663EF"/>
    <w:rsid w:val="0CEB771E"/>
    <w:rsid w:val="0D5A339A"/>
    <w:rsid w:val="0FEA06D4"/>
    <w:rsid w:val="10585CD7"/>
    <w:rsid w:val="111F24AC"/>
    <w:rsid w:val="14551B35"/>
    <w:rsid w:val="17521A87"/>
    <w:rsid w:val="18042D6A"/>
    <w:rsid w:val="18851A72"/>
    <w:rsid w:val="1A00762A"/>
    <w:rsid w:val="1B6F787E"/>
    <w:rsid w:val="1D401490"/>
    <w:rsid w:val="20B47BF9"/>
    <w:rsid w:val="23EB3FF2"/>
    <w:rsid w:val="248C4CCF"/>
    <w:rsid w:val="26E6189B"/>
    <w:rsid w:val="28563C7A"/>
    <w:rsid w:val="2DF216F2"/>
    <w:rsid w:val="3154605F"/>
    <w:rsid w:val="32651965"/>
    <w:rsid w:val="329B2514"/>
    <w:rsid w:val="3B6E186D"/>
    <w:rsid w:val="3CB6DB63"/>
    <w:rsid w:val="3ED4058E"/>
    <w:rsid w:val="40B11251"/>
    <w:rsid w:val="43087BA6"/>
    <w:rsid w:val="450034B3"/>
    <w:rsid w:val="454A3695"/>
    <w:rsid w:val="47192DD3"/>
    <w:rsid w:val="4E282611"/>
    <w:rsid w:val="4F752DCE"/>
    <w:rsid w:val="501F5E56"/>
    <w:rsid w:val="54F34689"/>
    <w:rsid w:val="56C757A0"/>
    <w:rsid w:val="56F76943"/>
    <w:rsid w:val="570302CB"/>
    <w:rsid w:val="57E41FC0"/>
    <w:rsid w:val="59E93A1E"/>
    <w:rsid w:val="5F580B6C"/>
    <w:rsid w:val="63453AAE"/>
    <w:rsid w:val="65C4011C"/>
    <w:rsid w:val="666B4507"/>
    <w:rsid w:val="6C136C53"/>
    <w:rsid w:val="6F6811C8"/>
    <w:rsid w:val="739F0019"/>
    <w:rsid w:val="73FA64B8"/>
    <w:rsid w:val="74F85D3D"/>
    <w:rsid w:val="755A2AD4"/>
    <w:rsid w:val="7AFF9D17"/>
    <w:rsid w:val="7B2B1132"/>
    <w:rsid w:val="7C545BBA"/>
    <w:rsid w:val="7D1A074D"/>
    <w:rsid w:val="7FEEEFD7"/>
    <w:rsid w:val="BEFF8FEA"/>
    <w:rsid w:val="E7FD944A"/>
    <w:rsid w:val="EFEE1A3B"/>
    <w:rsid w:val="F6EB183A"/>
    <w:rsid w:val="F7EDDA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keepLines/>
      <w:spacing w:before="340" w:after="330" w:line="578" w:lineRule="auto"/>
      <w:jc w:val="center"/>
      <w:outlineLvl w:val="0"/>
    </w:pPr>
    <w:rPr>
      <w:b/>
      <w:bCs/>
      <w:kern w:val="44"/>
      <w:sz w:val="44"/>
      <w:szCs w:val="44"/>
    </w:rPr>
  </w:style>
  <w:style w:type="paragraph" w:styleId="3">
    <w:name w:val="heading 2"/>
    <w:basedOn w:val="1"/>
    <w:next w:val="1"/>
    <w:link w:val="4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8"/>
    <w:qFormat/>
    <w:uiPriority w:val="0"/>
    <w:pPr>
      <w:keepNext/>
      <w:keepLines/>
      <w:spacing w:before="120" w:after="120"/>
      <w:outlineLvl w:val="2"/>
    </w:pPr>
    <w:rPr>
      <w:rFonts w:ascii="宋体"/>
      <w:b/>
      <w:bCs/>
      <w:color w:val="FF0000"/>
      <w:sz w:val="24"/>
    </w:rPr>
  </w:style>
  <w:style w:type="paragraph" w:styleId="5">
    <w:name w:val="heading 4"/>
    <w:basedOn w:val="1"/>
    <w:next w:val="1"/>
    <w:link w:val="49"/>
    <w:qFormat/>
    <w:uiPriority w:val="0"/>
    <w:pPr>
      <w:keepNext/>
      <w:keepLines/>
      <w:spacing w:before="280" w:after="290" w:line="376" w:lineRule="auto"/>
      <w:outlineLvl w:val="3"/>
    </w:pPr>
    <w:rPr>
      <w:rFonts w:ascii="Arial" w:hAnsi="Arial" w:eastAsia="黑体"/>
      <w:b/>
      <w:bCs/>
      <w:sz w:val="28"/>
      <w:szCs w:val="28"/>
    </w:rPr>
  </w:style>
  <w:style w:type="paragraph" w:styleId="6">
    <w:name w:val="heading 6"/>
    <w:basedOn w:val="1"/>
    <w:next w:val="1"/>
    <w:link w:val="5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7">
    <w:name w:val="heading 7"/>
    <w:basedOn w:val="1"/>
    <w:next w:val="1"/>
    <w:link w:val="5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8">
    <w:name w:val="heading 8"/>
    <w:basedOn w:val="1"/>
    <w:next w:val="1"/>
    <w:link w:val="5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9">
    <w:name w:val="heading 9"/>
    <w:basedOn w:val="1"/>
    <w:next w:val="1"/>
    <w:link w:val="5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0">
    <w:name w:val="Default Paragraph Font"/>
    <w:semiHidden/>
    <w:qFormat/>
    <w:uiPriority w:val="0"/>
  </w:style>
  <w:style w:type="table" w:default="1" w:styleId="38">
    <w:name w:val="Normal Table"/>
    <w:semiHidden/>
    <w:qFormat/>
    <w:uiPriority w:val="0"/>
    <w:tblPr>
      <w:tblCellMar>
        <w:top w:w="0" w:type="dxa"/>
        <w:left w:w="108" w:type="dxa"/>
        <w:bottom w:w="0" w:type="dxa"/>
        <w:right w:w="108" w:type="dxa"/>
      </w:tblCellMar>
    </w:tblPr>
  </w:style>
  <w:style w:type="paragraph" w:styleId="10">
    <w:name w:val="toc 7"/>
    <w:basedOn w:val="1"/>
    <w:next w:val="1"/>
    <w:unhideWhenUsed/>
    <w:qFormat/>
    <w:uiPriority w:val="39"/>
    <w:pPr>
      <w:ind w:left="1260"/>
      <w:jc w:val="left"/>
    </w:pPr>
    <w:rPr>
      <w:rFonts w:ascii="Calibri" w:hAnsi="Calibri"/>
      <w:sz w:val="18"/>
      <w:szCs w:val="18"/>
    </w:rPr>
  </w:style>
  <w:style w:type="paragraph" w:styleId="11">
    <w:name w:val="Normal Indent"/>
    <w:basedOn w:val="1"/>
    <w:qFormat/>
    <w:uiPriority w:val="0"/>
    <w:pPr>
      <w:ind w:firstLine="420" w:firstLineChars="200"/>
    </w:pPr>
  </w:style>
  <w:style w:type="paragraph" w:styleId="12">
    <w:name w:val="Document Map"/>
    <w:basedOn w:val="1"/>
    <w:link w:val="54"/>
    <w:qFormat/>
    <w:uiPriority w:val="0"/>
    <w:pPr>
      <w:shd w:val="clear" w:color="auto" w:fill="000080"/>
    </w:pPr>
  </w:style>
  <w:style w:type="paragraph" w:styleId="13">
    <w:name w:val="annotation text"/>
    <w:basedOn w:val="1"/>
    <w:link w:val="55"/>
    <w:unhideWhenUsed/>
    <w:qFormat/>
    <w:uiPriority w:val="99"/>
    <w:pPr>
      <w:jc w:val="left"/>
    </w:pPr>
  </w:style>
  <w:style w:type="paragraph" w:styleId="14">
    <w:name w:val="Body Text 3"/>
    <w:basedOn w:val="1"/>
    <w:link w:val="56"/>
    <w:qFormat/>
    <w:uiPriority w:val="0"/>
    <w:rPr>
      <w:rFonts w:ascii="宋体"/>
      <w:sz w:val="24"/>
      <w:szCs w:val="20"/>
    </w:rPr>
  </w:style>
  <w:style w:type="paragraph" w:styleId="15">
    <w:name w:val="Body Text"/>
    <w:basedOn w:val="1"/>
    <w:link w:val="57"/>
    <w:qFormat/>
    <w:uiPriority w:val="0"/>
    <w:pPr>
      <w:spacing w:after="120"/>
    </w:pPr>
  </w:style>
  <w:style w:type="paragraph" w:styleId="16">
    <w:name w:val="Body Text Indent"/>
    <w:basedOn w:val="1"/>
    <w:link w:val="58"/>
    <w:qFormat/>
    <w:uiPriority w:val="0"/>
    <w:pPr>
      <w:spacing w:after="120"/>
      <w:ind w:left="420" w:leftChars="200"/>
    </w:pPr>
  </w:style>
  <w:style w:type="paragraph" w:styleId="17">
    <w:name w:val="toc 5"/>
    <w:basedOn w:val="1"/>
    <w:next w:val="1"/>
    <w:unhideWhenUsed/>
    <w:qFormat/>
    <w:uiPriority w:val="39"/>
    <w:pPr>
      <w:ind w:left="840"/>
      <w:jc w:val="left"/>
    </w:pPr>
    <w:rPr>
      <w:rFonts w:ascii="Calibri" w:hAnsi="Calibri"/>
      <w:sz w:val="18"/>
      <w:szCs w:val="18"/>
    </w:rPr>
  </w:style>
  <w:style w:type="paragraph" w:styleId="18">
    <w:name w:val="toc 3"/>
    <w:basedOn w:val="1"/>
    <w:next w:val="1"/>
    <w:unhideWhenUsed/>
    <w:qFormat/>
    <w:uiPriority w:val="39"/>
    <w:pPr>
      <w:tabs>
        <w:tab w:val="right" w:leader="dot" w:pos="9060"/>
      </w:tabs>
      <w:ind w:left="630" w:leftChars="300" w:right="210" w:rightChars="100"/>
      <w:jc w:val="left"/>
    </w:pPr>
    <w:rPr>
      <w:rFonts w:ascii="Calibri" w:hAnsi="Calibri"/>
      <w:i/>
      <w:iCs/>
      <w:sz w:val="20"/>
      <w:szCs w:val="20"/>
    </w:rPr>
  </w:style>
  <w:style w:type="paragraph" w:styleId="19">
    <w:name w:val="Plain Text"/>
    <w:basedOn w:val="1"/>
    <w:link w:val="59"/>
    <w:qFormat/>
    <w:uiPriority w:val="0"/>
    <w:rPr>
      <w:rFonts w:ascii="Courier New" w:hAnsi="Courier New"/>
      <w:szCs w:val="20"/>
    </w:rPr>
  </w:style>
  <w:style w:type="paragraph" w:styleId="20">
    <w:name w:val="toc 8"/>
    <w:basedOn w:val="1"/>
    <w:next w:val="1"/>
    <w:unhideWhenUsed/>
    <w:qFormat/>
    <w:uiPriority w:val="39"/>
    <w:pPr>
      <w:ind w:left="1470"/>
      <w:jc w:val="left"/>
    </w:pPr>
    <w:rPr>
      <w:rFonts w:ascii="Calibri" w:hAnsi="Calibri"/>
      <w:sz w:val="18"/>
      <w:szCs w:val="18"/>
    </w:rPr>
  </w:style>
  <w:style w:type="paragraph" w:styleId="21">
    <w:name w:val="Date"/>
    <w:basedOn w:val="1"/>
    <w:next w:val="1"/>
    <w:link w:val="60"/>
    <w:qFormat/>
    <w:uiPriority w:val="0"/>
    <w:rPr>
      <w:sz w:val="24"/>
      <w:szCs w:val="20"/>
    </w:rPr>
  </w:style>
  <w:style w:type="paragraph" w:styleId="22">
    <w:name w:val="Body Text Indent 2"/>
    <w:basedOn w:val="1"/>
    <w:link w:val="61"/>
    <w:qFormat/>
    <w:uiPriority w:val="0"/>
    <w:pPr>
      <w:spacing w:after="120" w:line="480" w:lineRule="auto"/>
      <w:ind w:left="420" w:leftChars="200"/>
    </w:pPr>
  </w:style>
  <w:style w:type="paragraph" w:styleId="23">
    <w:name w:val="Balloon Text"/>
    <w:basedOn w:val="1"/>
    <w:link w:val="62"/>
    <w:qFormat/>
    <w:uiPriority w:val="0"/>
    <w:rPr>
      <w:sz w:val="18"/>
      <w:szCs w:val="18"/>
    </w:rPr>
  </w:style>
  <w:style w:type="paragraph" w:styleId="24">
    <w:name w:val="footer"/>
    <w:basedOn w:val="1"/>
    <w:link w:val="63"/>
    <w:qFormat/>
    <w:uiPriority w:val="0"/>
    <w:pPr>
      <w:tabs>
        <w:tab w:val="center" w:pos="4153"/>
        <w:tab w:val="right" w:pos="8306"/>
      </w:tabs>
      <w:snapToGrid w:val="0"/>
      <w:jc w:val="left"/>
    </w:pPr>
    <w:rPr>
      <w:sz w:val="18"/>
      <w:szCs w:val="18"/>
    </w:rPr>
  </w:style>
  <w:style w:type="paragraph" w:styleId="25">
    <w:name w:val="header"/>
    <w:basedOn w:val="1"/>
    <w:link w:val="64"/>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pPr>
      <w:spacing w:before="120" w:after="120"/>
      <w:jc w:val="left"/>
    </w:pPr>
    <w:rPr>
      <w:rFonts w:ascii="Calibri" w:hAnsi="Calibri"/>
      <w:b/>
      <w:bCs/>
      <w:caps/>
      <w:sz w:val="20"/>
      <w:szCs w:val="20"/>
    </w:rPr>
  </w:style>
  <w:style w:type="paragraph" w:styleId="27">
    <w:name w:val="toc 4"/>
    <w:basedOn w:val="1"/>
    <w:next w:val="1"/>
    <w:unhideWhenUsed/>
    <w:qFormat/>
    <w:uiPriority w:val="39"/>
    <w:pPr>
      <w:tabs>
        <w:tab w:val="right" w:leader="dot" w:pos="9060"/>
      </w:tabs>
      <w:ind w:left="840" w:leftChars="400"/>
      <w:jc w:val="left"/>
    </w:pPr>
    <w:rPr>
      <w:rFonts w:ascii="宋体" w:hAnsi="宋体"/>
      <w:color w:val="FF0000"/>
      <w:sz w:val="18"/>
      <w:szCs w:val="18"/>
    </w:rPr>
  </w:style>
  <w:style w:type="paragraph" w:styleId="28">
    <w:name w:val="toc 6"/>
    <w:basedOn w:val="1"/>
    <w:next w:val="1"/>
    <w:unhideWhenUsed/>
    <w:qFormat/>
    <w:uiPriority w:val="39"/>
    <w:pPr>
      <w:ind w:left="1050"/>
      <w:jc w:val="left"/>
    </w:pPr>
    <w:rPr>
      <w:rFonts w:ascii="Calibri" w:hAnsi="Calibri"/>
      <w:sz w:val="18"/>
      <w:szCs w:val="18"/>
    </w:rPr>
  </w:style>
  <w:style w:type="paragraph" w:styleId="29">
    <w:name w:val="Body Text Indent 3"/>
    <w:basedOn w:val="1"/>
    <w:link w:val="65"/>
    <w:qFormat/>
    <w:uiPriority w:val="0"/>
    <w:pPr>
      <w:spacing w:after="120"/>
      <w:ind w:left="420" w:leftChars="200"/>
    </w:pPr>
    <w:rPr>
      <w:sz w:val="16"/>
      <w:szCs w:val="16"/>
    </w:rPr>
  </w:style>
  <w:style w:type="paragraph" w:styleId="30">
    <w:name w:val="toc 2"/>
    <w:basedOn w:val="1"/>
    <w:next w:val="1"/>
    <w:qFormat/>
    <w:uiPriority w:val="39"/>
    <w:pPr>
      <w:ind w:left="210"/>
      <w:jc w:val="left"/>
    </w:pPr>
    <w:rPr>
      <w:rFonts w:ascii="Calibri" w:hAnsi="Calibri"/>
      <w:smallCaps/>
      <w:sz w:val="20"/>
      <w:szCs w:val="20"/>
    </w:rPr>
  </w:style>
  <w:style w:type="paragraph" w:styleId="31">
    <w:name w:val="toc 9"/>
    <w:basedOn w:val="1"/>
    <w:next w:val="1"/>
    <w:unhideWhenUsed/>
    <w:qFormat/>
    <w:uiPriority w:val="39"/>
    <w:pPr>
      <w:ind w:left="1680"/>
      <w:jc w:val="left"/>
    </w:pPr>
    <w:rPr>
      <w:rFonts w:ascii="Calibri" w:hAnsi="Calibri"/>
      <w:sz w:val="18"/>
      <w:szCs w:val="18"/>
    </w:rPr>
  </w:style>
  <w:style w:type="paragraph" w:styleId="32">
    <w:name w:val="Body Text 2"/>
    <w:basedOn w:val="1"/>
    <w:link w:val="66"/>
    <w:qFormat/>
    <w:uiPriority w:val="0"/>
    <w:pPr>
      <w:spacing w:after="120" w:line="480" w:lineRule="auto"/>
    </w:pPr>
  </w:style>
  <w:style w:type="paragraph" w:styleId="33">
    <w:name w:val="HTML Preformatted"/>
    <w:basedOn w:val="1"/>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170" w:lineRule="atLeast"/>
      <w:jc w:val="left"/>
    </w:pPr>
    <w:rPr>
      <w:rFonts w:ascii="Arial" w:hAnsi="Arial" w:cs="Arial"/>
      <w:kern w:val="0"/>
      <w:sz w:val="11"/>
      <w:szCs w:val="11"/>
    </w:rPr>
  </w:style>
  <w:style w:type="paragraph" w:styleId="3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5">
    <w:name w:val="index 1"/>
    <w:basedOn w:val="1"/>
    <w:next w:val="1"/>
    <w:qFormat/>
    <w:uiPriority w:val="0"/>
    <w:pPr>
      <w:spacing w:line="220" w:lineRule="exact"/>
      <w:jc w:val="center"/>
    </w:pPr>
    <w:rPr>
      <w:rFonts w:ascii="仿宋_GB2312" w:eastAsia="仿宋_GB2312"/>
      <w:szCs w:val="21"/>
    </w:rPr>
  </w:style>
  <w:style w:type="paragraph" w:styleId="36">
    <w:name w:val="Title"/>
    <w:basedOn w:val="1"/>
    <w:link w:val="67"/>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37">
    <w:name w:val="annotation subject"/>
    <w:basedOn w:val="13"/>
    <w:next w:val="13"/>
    <w:link w:val="68"/>
    <w:unhideWhenUsed/>
    <w:qFormat/>
    <w:uiPriority w:val="0"/>
    <w:rPr>
      <w:b/>
      <w:bCs/>
    </w:rPr>
  </w:style>
  <w:style w:type="table" w:styleId="39">
    <w:name w:val="Table Grid"/>
    <w:basedOn w:val="3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bCs/>
    </w:rPr>
  </w:style>
  <w:style w:type="character" w:styleId="42">
    <w:name w:val="page number"/>
    <w:qFormat/>
    <w:uiPriority w:val="0"/>
    <w:rPr>
      <w:rFonts w:ascii="Arial" w:hAnsi="Arial" w:eastAsia="黑体"/>
      <w:kern w:val="2"/>
      <w:sz w:val="21"/>
      <w:szCs w:val="21"/>
      <w:lang w:val="en-US" w:eastAsia="zh-CN" w:bidi="ar-SA"/>
    </w:rPr>
  </w:style>
  <w:style w:type="character" w:styleId="43">
    <w:name w:val="FollowedHyperlink"/>
    <w:qFormat/>
    <w:uiPriority w:val="0"/>
    <w:rPr>
      <w:rFonts w:ascii="Arial" w:hAnsi="Arial" w:eastAsia="黑体"/>
      <w:color w:val="800080"/>
      <w:kern w:val="2"/>
      <w:sz w:val="21"/>
      <w:szCs w:val="21"/>
      <w:u w:val="single"/>
      <w:lang w:val="en-US" w:eastAsia="zh-CN" w:bidi="ar-SA"/>
    </w:rPr>
  </w:style>
  <w:style w:type="character" w:styleId="44">
    <w:name w:val="Hyperlink"/>
    <w:qFormat/>
    <w:uiPriority w:val="99"/>
    <w:rPr>
      <w:rFonts w:ascii="Arial" w:hAnsi="Arial" w:eastAsia="黑体"/>
      <w:color w:val="0000FF"/>
      <w:kern w:val="2"/>
      <w:sz w:val="21"/>
      <w:szCs w:val="21"/>
      <w:u w:val="single"/>
      <w:lang w:val="en-US" w:eastAsia="zh-CN" w:bidi="ar-SA"/>
    </w:rPr>
  </w:style>
  <w:style w:type="character" w:styleId="45">
    <w:name w:val="annotation reference"/>
    <w:unhideWhenUsed/>
    <w:qFormat/>
    <w:uiPriority w:val="99"/>
    <w:rPr>
      <w:sz w:val="21"/>
      <w:szCs w:val="21"/>
    </w:rPr>
  </w:style>
  <w:style w:type="character" w:customStyle="1" w:styleId="46">
    <w:name w:val="标题 1 Char"/>
    <w:link w:val="2"/>
    <w:qFormat/>
    <w:uiPriority w:val="0"/>
    <w:rPr>
      <w:rFonts w:eastAsia="宋体"/>
      <w:b/>
      <w:bCs/>
      <w:kern w:val="44"/>
      <w:sz w:val="44"/>
      <w:szCs w:val="44"/>
      <w:lang w:val="en-US" w:eastAsia="zh-CN" w:bidi="ar-SA"/>
    </w:rPr>
  </w:style>
  <w:style w:type="character" w:customStyle="1" w:styleId="47">
    <w:name w:val="标题 2 Char"/>
    <w:link w:val="3"/>
    <w:qFormat/>
    <w:uiPriority w:val="0"/>
    <w:rPr>
      <w:rFonts w:ascii="Arial" w:hAnsi="Arial" w:eastAsia="黑体"/>
      <w:b/>
      <w:bCs/>
      <w:kern w:val="2"/>
      <w:sz w:val="32"/>
      <w:szCs w:val="32"/>
      <w:lang w:val="en-US" w:eastAsia="zh-CN" w:bidi="ar-SA"/>
    </w:rPr>
  </w:style>
  <w:style w:type="character" w:customStyle="1" w:styleId="48">
    <w:name w:val="标题 3 Char"/>
    <w:link w:val="4"/>
    <w:qFormat/>
    <w:uiPriority w:val="0"/>
    <w:rPr>
      <w:rFonts w:ascii="宋体" w:eastAsia="宋体"/>
      <w:b/>
      <w:bCs/>
      <w:color w:val="FF0000"/>
      <w:kern w:val="2"/>
      <w:sz w:val="24"/>
      <w:szCs w:val="24"/>
      <w:lang w:bidi="ar-SA"/>
    </w:rPr>
  </w:style>
  <w:style w:type="character" w:customStyle="1" w:styleId="49">
    <w:name w:val="标题 4 Char"/>
    <w:link w:val="5"/>
    <w:qFormat/>
    <w:uiPriority w:val="0"/>
    <w:rPr>
      <w:rFonts w:ascii="Arial" w:hAnsi="Arial" w:eastAsia="黑体"/>
      <w:b/>
      <w:bCs/>
      <w:kern w:val="2"/>
      <w:sz w:val="28"/>
      <w:szCs w:val="28"/>
      <w:lang w:bidi="ar-SA"/>
    </w:rPr>
  </w:style>
  <w:style w:type="character" w:customStyle="1" w:styleId="50">
    <w:name w:val="标题 6 Char"/>
    <w:link w:val="6"/>
    <w:qFormat/>
    <w:uiPriority w:val="0"/>
    <w:rPr>
      <w:rFonts w:ascii="Arial" w:hAnsi="Arial" w:eastAsia="黑体"/>
      <w:b/>
      <w:bCs/>
      <w:sz w:val="24"/>
      <w:szCs w:val="24"/>
      <w:lang w:bidi="ar-SA"/>
    </w:rPr>
  </w:style>
  <w:style w:type="character" w:customStyle="1" w:styleId="51">
    <w:name w:val="标题 7 Char"/>
    <w:link w:val="7"/>
    <w:qFormat/>
    <w:uiPriority w:val="0"/>
    <w:rPr>
      <w:rFonts w:eastAsia="宋体"/>
      <w:b/>
      <w:bCs/>
      <w:sz w:val="24"/>
      <w:szCs w:val="24"/>
      <w:lang w:bidi="ar-SA"/>
    </w:rPr>
  </w:style>
  <w:style w:type="character" w:customStyle="1" w:styleId="52">
    <w:name w:val="标题 8 Char"/>
    <w:link w:val="8"/>
    <w:qFormat/>
    <w:uiPriority w:val="0"/>
    <w:rPr>
      <w:rFonts w:ascii="Arial" w:hAnsi="Arial" w:eastAsia="黑体"/>
      <w:sz w:val="24"/>
      <w:szCs w:val="24"/>
      <w:lang w:bidi="ar-SA"/>
    </w:rPr>
  </w:style>
  <w:style w:type="character" w:customStyle="1" w:styleId="53">
    <w:name w:val="标题 9 Char"/>
    <w:link w:val="9"/>
    <w:qFormat/>
    <w:uiPriority w:val="0"/>
    <w:rPr>
      <w:rFonts w:ascii="Arial" w:hAnsi="Arial" w:eastAsia="黑体"/>
      <w:sz w:val="21"/>
      <w:szCs w:val="21"/>
      <w:lang w:bidi="ar-SA"/>
    </w:rPr>
  </w:style>
  <w:style w:type="character" w:customStyle="1" w:styleId="54">
    <w:name w:val="文档结构图 Char"/>
    <w:link w:val="12"/>
    <w:qFormat/>
    <w:uiPriority w:val="0"/>
    <w:rPr>
      <w:rFonts w:eastAsia="宋体"/>
      <w:kern w:val="2"/>
      <w:sz w:val="21"/>
      <w:szCs w:val="24"/>
      <w:lang w:bidi="ar-SA"/>
    </w:rPr>
  </w:style>
  <w:style w:type="character" w:customStyle="1" w:styleId="55">
    <w:name w:val="批注文字 Char"/>
    <w:link w:val="13"/>
    <w:qFormat/>
    <w:uiPriority w:val="99"/>
    <w:rPr>
      <w:rFonts w:eastAsia="宋体"/>
      <w:kern w:val="2"/>
      <w:sz w:val="21"/>
      <w:szCs w:val="24"/>
      <w:lang w:bidi="ar-SA"/>
    </w:rPr>
  </w:style>
  <w:style w:type="character" w:customStyle="1" w:styleId="56">
    <w:name w:val="正文文本 3 Char"/>
    <w:link w:val="14"/>
    <w:qFormat/>
    <w:uiPriority w:val="0"/>
    <w:rPr>
      <w:rFonts w:ascii="宋体" w:eastAsia="宋体"/>
      <w:kern w:val="2"/>
      <w:sz w:val="24"/>
      <w:lang w:bidi="ar-SA"/>
    </w:rPr>
  </w:style>
  <w:style w:type="character" w:customStyle="1" w:styleId="57">
    <w:name w:val="正文文本 Char"/>
    <w:link w:val="15"/>
    <w:qFormat/>
    <w:uiPriority w:val="0"/>
    <w:rPr>
      <w:rFonts w:eastAsia="宋体"/>
      <w:kern w:val="2"/>
      <w:sz w:val="21"/>
      <w:szCs w:val="24"/>
      <w:lang w:bidi="ar-SA"/>
    </w:rPr>
  </w:style>
  <w:style w:type="character" w:customStyle="1" w:styleId="58">
    <w:name w:val="正文文本缩进 Char"/>
    <w:link w:val="16"/>
    <w:qFormat/>
    <w:uiPriority w:val="0"/>
    <w:rPr>
      <w:rFonts w:eastAsia="宋体"/>
      <w:kern w:val="2"/>
      <w:sz w:val="21"/>
      <w:szCs w:val="24"/>
      <w:lang w:bidi="ar-SA"/>
    </w:rPr>
  </w:style>
  <w:style w:type="character" w:customStyle="1" w:styleId="59">
    <w:name w:val="纯文本 Char"/>
    <w:link w:val="19"/>
    <w:qFormat/>
    <w:uiPriority w:val="0"/>
    <w:rPr>
      <w:rFonts w:ascii="Courier New" w:hAnsi="Courier New" w:eastAsia="宋体"/>
      <w:kern w:val="2"/>
      <w:sz w:val="21"/>
      <w:lang w:bidi="ar-SA"/>
    </w:rPr>
  </w:style>
  <w:style w:type="character" w:customStyle="1" w:styleId="60">
    <w:name w:val="日期 Char"/>
    <w:link w:val="21"/>
    <w:qFormat/>
    <w:uiPriority w:val="0"/>
    <w:rPr>
      <w:rFonts w:eastAsia="宋体"/>
      <w:kern w:val="2"/>
      <w:sz w:val="24"/>
      <w:lang w:bidi="ar-SA"/>
    </w:rPr>
  </w:style>
  <w:style w:type="character" w:customStyle="1" w:styleId="61">
    <w:name w:val="正文文本缩进 2 Char"/>
    <w:link w:val="22"/>
    <w:qFormat/>
    <w:uiPriority w:val="0"/>
    <w:rPr>
      <w:rFonts w:eastAsia="宋体"/>
      <w:kern w:val="2"/>
      <w:sz w:val="21"/>
      <w:szCs w:val="24"/>
      <w:lang w:bidi="ar-SA"/>
    </w:rPr>
  </w:style>
  <w:style w:type="character" w:customStyle="1" w:styleId="62">
    <w:name w:val="批注框文本 Char"/>
    <w:link w:val="23"/>
    <w:qFormat/>
    <w:uiPriority w:val="0"/>
    <w:rPr>
      <w:rFonts w:eastAsia="宋体"/>
      <w:kern w:val="2"/>
      <w:sz w:val="18"/>
      <w:szCs w:val="18"/>
      <w:lang w:bidi="ar-SA"/>
    </w:rPr>
  </w:style>
  <w:style w:type="character" w:customStyle="1" w:styleId="63">
    <w:name w:val="页脚 Char"/>
    <w:link w:val="24"/>
    <w:qFormat/>
    <w:uiPriority w:val="0"/>
    <w:rPr>
      <w:rFonts w:eastAsia="宋体"/>
      <w:kern w:val="2"/>
      <w:sz w:val="18"/>
      <w:szCs w:val="18"/>
      <w:lang w:bidi="ar-SA"/>
    </w:rPr>
  </w:style>
  <w:style w:type="character" w:customStyle="1" w:styleId="64">
    <w:name w:val="页眉 Char"/>
    <w:link w:val="25"/>
    <w:qFormat/>
    <w:uiPriority w:val="0"/>
    <w:rPr>
      <w:rFonts w:eastAsia="宋体"/>
      <w:kern w:val="2"/>
      <w:sz w:val="18"/>
      <w:szCs w:val="18"/>
      <w:lang w:bidi="ar-SA"/>
    </w:rPr>
  </w:style>
  <w:style w:type="character" w:customStyle="1" w:styleId="65">
    <w:name w:val="正文文本缩进 3 Char"/>
    <w:link w:val="29"/>
    <w:qFormat/>
    <w:uiPriority w:val="0"/>
    <w:rPr>
      <w:rFonts w:eastAsia="宋体"/>
      <w:kern w:val="2"/>
      <w:sz w:val="16"/>
      <w:szCs w:val="16"/>
      <w:lang w:bidi="ar-SA"/>
    </w:rPr>
  </w:style>
  <w:style w:type="character" w:customStyle="1" w:styleId="66">
    <w:name w:val="正文文本 2 Char"/>
    <w:link w:val="32"/>
    <w:qFormat/>
    <w:uiPriority w:val="0"/>
    <w:rPr>
      <w:rFonts w:eastAsia="宋体"/>
      <w:kern w:val="2"/>
      <w:sz w:val="21"/>
      <w:szCs w:val="24"/>
      <w:lang w:bidi="ar-SA"/>
    </w:rPr>
  </w:style>
  <w:style w:type="character" w:customStyle="1" w:styleId="67">
    <w:name w:val="标题 Char"/>
    <w:link w:val="36"/>
    <w:qFormat/>
    <w:uiPriority w:val="0"/>
    <w:rPr>
      <w:rFonts w:ascii="Arial" w:hAnsi="Arial" w:eastAsia="宋体"/>
      <w:b/>
      <w:sz w:val="32"/>
      <w:lang w:bidi="ar-SA"/>
    </w:rPr>
  </w:style>
  <w:style w:type="character" w:customStyle="1" w:styleId="68">
    <w:name w:val="批注主题 Char"/>
    <w:link w:val="37"/>
    <w:semiHidden/>
    <w:qFormat/>
    <w:uiPriority w:val="0"/>
    <w:rPr>
      <w:rFonts w:eastAsia="宋体"/>
      <w:b/>
      <w:bCs/>
      <w:kern w:val="2"/>
      <w:sz w:val="21"/>
      <w:szCs w:val="24"/>
      <w:lang w:bidi="ar-SA"/>
    </w:rPr>
  </w:style>
  <w:style w:type="character" w:customStyle="1" w:styleId="69">
    <w:name w:val="普通文字 Char"/>
    <w:qFormat/>
    <w:uiPriority w:val="0"/>
    <w:rPr>
      <w:rFonts w:ascii="宋体" w:hAnsi="Courier New" w:eastAsia="宋体" w:cs="Courier New"/>
      <w:kern w:val="2"/>
      <w:sz w:val="21"/>
      <w:szCs w:val="21"/>
      <w:lang w:val="en-US" w:eastAsia="zh-CN" w:bidi="ar-SA"/>
    </w:rPr>
  </w:style>
  <w:style w:type="character" w:customStyle="1" w:styleId="70">
    <w:name w:val="font161"/>
    <w:qFormat/>
    <w:uiPriority w:val="0"/>
    <w:rPr>
      <w:rFonts w:ascii="Arial" w:hAnsi="Arial" w:eastAsia="黑体"/>
      <w:b/>
      <w:bCs/>
      <w:kern w:val="2"/>
      <w:sz w:val="32"/>
      <w:szCs w:val="32"/>
      <w:lang w:val="en-US" w:eastAsia="zh-CN" w:bidi="ar-SA"/>
    </w:rPr>
  </w:style>
  <w:style w:type="character" w:customStyle="1" w:styleId="71">
    <w:name w:val="_Style 70"/>
    <w:qFormat/>
    <w:uiPriority w:val="0"/>
    <w:rPr>
      <w:rFonts w:eastAsia="仿宋_GB2312"/>
      <w:bCs/>
      <w:iCs/>
      <w:color w:val="auto"/>
      <w:sz w:val="32"/>
    </w:rPr>
  </w:style>
  <w:style w:type="character" w:customStyle="1" w:styleId="72">
    <w:name w:val="表头 Char Char Char"/>
    <w:link w:val="73"/>
    <w:qFormat/>
    <w:uiPriority w:val="0"/>
    <w:rPr>
      <w:rFonts w:ascii="黑体" w:eastAsia="黑体"/>
      <w:kern w:val="2"/>
      <w:sz w:val="28"/>
      <w:szCs w:val="24"/>
      <w:lang w:val="en-US" w:eastAsia="zh-CN" w:bidi="ar-SA"/>
    </w:rPr>
  </w:style>
  <w:style w:type="paragraph" w:customStyle="1" w:styleId="73">
    <w:name w:val="表头 Char"/>
    <w:basedOn w:val="1"/>
    <w:link w:val="72"/>
    <w:qFormat/>
    <w:uiPriority w:val="0"/>
    <w:pPr>
      <w:adjustRightInd w:val="0"/>
      <w:spacing w:before="93" w:beforeLines="30"/>
      <w:ind w:firstLine="100" w:firstLineChars="100"/>
    </w:pPr>
    <w:rPr>
      <w:rFonts w:ascii="黑体" w:eastAsia="黑体"/>
      <w:sz w:val="28"/>
    </w:rPr>
  </w:style>
  <w:style w:type="character" w:customStyle="1" w:styleId="74">
    <w:name w:val="p21"/>
    <w:qFormat/>
    <w:uiPriority w:val="0"/>
    <w:rPr>
      <w:sz w:val="9"/>
      <w:szCs w:val="9"/>
    </w:rPr>
  </w:style>
  <w:style w:type="character" w:customStyle="1" w:styleId="75">
    <w:name w:val="font5 Char Char"/>
    <w:link w:val="76"/>
    <w:qFormat/>
    <w:uiPriority w:val="0"/>
    <w:rPr>
      <w:rFonts w:ascii="宋体" w:hAnsi="宋体" w:eastAsia="宋体"/>
      <w:sz w:val="24"/>
      <w:szCs w:val="24"/>
      <w:lang w:val="en-US" w:eastAsia="zh-CN" w:bidi="ar-SA"/>
    </w:rPr>
  </w:style>
  <w:style w:type="paragraph" w:customStyle="1" w:styleId="76">
    <w:name w:val="font5"/>
    <w:basedOn w:val="1"/>
    <w:link w:val="75"/>
    <w:qFormat/>
    <w:uiPriority w:val="0"/>
    <w:pPr>
      <w:widowControl/>
      <w:spacing w:before="100" w:beforeAutospacing="1" w:after="100" w:afterAutospacing="1"/>
      <w:jc w:val="left"/>
    </w:pPr>
    <w:rPr>
      <w:rFonts w:ascii="宋体" w:hAnsi="宋体"/>
      <w:kern w:val="0"/>
      <w:sz w:val="24"/>
    </w:rPr>
  </w:style>
  <w:style w:type="character" w:customStyle="1" w:styleId="77">
    <w:name w:val="标题 2 Char1"/>
    <w:qFormat/>
    <w:uiPriority w:val="0"/>
    <w:rPr>
      <w:rFonts w:ascii="Arial" w:hAnsi="Arial" w:eastAsia="黑体"/>
      <w:b/>
      <w:bCs/>
      <w:kern w:val="2"/>
      <w:sz w:val="32"/>
      <w:szCs w:val="32"/>
    </w:rPr>
  </w:style>
  <w:style w:type="character" w:customStyle="1" w:styleId="78">
    <w:name w:val="wg正文 仿宋_GB2312 四号"/>
    <w:qFormat/>
    <w:uiPriority w:val="0"/>
    <w:rPr>
      <w:rFonts w:ascii="仿宋_GB2312" w:hAnsi="仿宋_GB2312" w:eastAsia="仿宋_GB2312"/>
      <w:sz w:val="28"/>
    </w:rPr>
  </w:style>
  <w:style w:type="paragraph" w:customStyle="1" w:styleId="79">
    <w:name w:val="默认段落字体 Para Char Char Char Char Char Char Char"/>
    <w:basedOn w:val="1"/>
    <w:qFormat/>
    <w:uiPriority w:val="0"/>
    <w:pPr>
      <w:adjustRightInd w:val="0"/>
      <w:spacing w:line="360" w:lineRule="auto"/>
      <w:ind w:left="200" w:hanging="200" w:hangingChars="200"/>
    </w:pPr>
    <w:rPr>
      <w:kern w:val="0"/>
      <w:sz w:val="24"/>
      <w:szCs w:val="20"/>
    </w:rPr>
  </w:style>
  <w:style w:type="paragraph" w:customStyle="1" w:styleId="8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81">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82">
    <w:name w:val="Char Char Char Char"/>
    <w:basedOn w:val="1"/>
    <w:qFormat/>
    <w:uiPriority w:val="0"/>
    <w:pPr>
      <w:adjustRightInd w:val="0"/>
      <w:spacing w:line="360" w:lineRule="atLeast"/>
    </w:pPr>
    <w:rPr>
      <w:szCs w:val="21"/>
    </w:rPr>
  </w:style>
  <w:style w:type="paragraph" w:customStyle="1" w:styleId="83">
    <w:name w:val="表格"/>
    <w:basedOn w:val="1"/>
    <w:qFormat/>
    <w:uiPriority w:val="0"/>
    <w:pPr>
      <w:jc w:val="center"/>
      <w:textAlignment w:val="center"/>
    </w:pPr>
    <w:rPr>
      <w:rFonts w:ascii="华文细黑" w:hAnsi="华文细黑"/>
      <w:kern w:val="0"/>
      <w:szCs w:val="20"/>
    </w:rPr>
  </w:style>
  <w:style w:type="paragraph" w:customStyle="1" w:styleId="84">
    <w:name w:val="标题2"/>
    <w:basedOn w:val="3"/>
    <w:next w:val="1"/>
    <w:qFormat/>
    <w:uiPriority w:val="0"/>
    <w:pPr>
      <w:snapToGrid w:val="0"/>
      <w:spacing w:before="120" w:after="120" w:line="240" w:lineRule="auto"/>
      <w:jc w:val="left"/>
    </w:pPr>
    <w:rPr>
      <w:b w:val="0"/>
      <w:bCs w:val="0"/>
      <w:sz w:val="21"/>
      <w:szCs w:val="21"/>
    </w:rPr>
  </w:style>
  <w:style w:type="paragraph" w:customStyle="1" w:styleId="85">
    <w:name w:val="contentarticle"/>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 Char"/>
    <w:basedOn w:val="1"/>
    <w:qFormat/>
    <w:uiPriority w:val="0"/>
    <w:pPr>
      <w:snapToGrid w:val="0"/>
      <w:spacing w:line="360" w:lineRule="auto"/>
      <w:ind w:firstLine="200" w:firstLineChars="200"/>
    </w:pPr>
    <w:rPr>
      <w:rFonts w:ascii="Arial" w:hAnsi="Arial" w:eastAsia="黑体"/>
      <w:szCs w:val="21"/>
    </w:rPr>
  </w:style>
  <w:style w:type="paragraph" w:customStyle="1" w:styleId="87">
    <w:name w:val="样式 标题 3 + (中文) 黑体 小四 非加粗 段前: 7.8 磅 段后: 0 磅 行距: 固定值 20 磅"/>
    <w:basedOn w:val="4"/>
    <w:qFormat/>
    <w:uiPriority w:val="0"/>
    <w:pPr>
      <w:spacing w:before="0" w:after="0" w:line="400" w:lineRule="exact"/>
    </w:pPr>
    <w:rPr>
      <w:rFonts w:eastAsia="黑体" w:cs="宋体"/>
      <w:b w:val="0"/>
      <w:bCs w:val="0"/>
      <w:szCs w:val="20"/>
    </w:rPr>
  </w:style>
  <w:style w:type="paragraph" w:customStyle="1" w:styleId="88">
    <w:name w:val="xl47"/>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89">
    <w:name w:val="_Style 88"/>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90">
    <w:name w:val="表格文字"/>
    <w:basedOn w:val="1"/>
    <w:qFormat/>
    <w:uiPriority w:val="0"/>
    <w:pPr>
      <w:adjustRightInd w:val="0"/>
      <w:spacing w:line="420" w:lineRule="atLeast"/>
      <w:jc w:val="left"/>
      <w:textAlignment w:val="baseline"/>
    </w:pPr>
    <w:rPr>
      <w:kern w:val="0"/>
      <w:szCs w:val="20"/>
    </w:rPr>
  </w:style>
  <w:style w:type="paragraph" w:customStyle="1" w:styleId="91">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 w:val="24"/>
    </w:rPr>
  </w:style>
  <w:style w:type="paragraph" w:customStyle="1" w:styleId="92">
    <w:name w:val="Char"/>
    <w:basedOn w:val="1"/>
    <w:qFormat/>
    <w:uiPriority w:val="0"/>
    <w:pPr>
      <w:snapToGrid w:val="0"/>
      <w:spacing w:line="360" w:lineRule="auto"/>
      <w:ind w:firstLine="200" w:firstLineChars="200"/>
    </w:pPr>
    <w:rPr>
      <w:rFonts w:ascii="Arial" w:hAnsi="Arial" w:eastAsia="黑体"/>
      <w:szCs w:val="21"/>
    </w:rPr>
  </w:style>
  <w:style w:type="paragraph" w:customStyle="1" w:styleId="93">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94">
    <w:name w:val="表格2"/>
    <w:basedOn w:val="1"/>
    <w:qFormat/>
    <w:uiPriority w:val="0"/>
    <w:pPr>
      <w:adjustRightInd w:val="0"/>
      <w:spacing w:before="60" w:after="60"/>
      <w:jc w:val="center"/>
    </w:pPr>
    <w:rPr>
      <w:rFonts w:ascii="宋体"/>
      <w:color w:val="000000"/>
      <w:kern w:val="0"/>
      <w:sz w:val="24"/>
      <w:szCs w:val="20"/>
    </w:rPr>
  </w:style>
  <w:style w:type="paragraph" w:customStyle="1" w:styleId="95">
    <w:name w:val=" Char Char"/>
    <w:basedOn w:val="1"/>
    <w:qFormat/>
    <w:uiPriority w:val="0"/>
    <w:pPr>
      <w:ind w:firstLine="617" w:firstLineChars="257"/>
    </w:pPr>
    <w:rPr>
      <w:rFonts w:ascii="仿宋_GB2312" w:hAnsi="Tahoma" w:eastAsia="仿宋_GB2312" w:cs="Arial"/>
      <w:sz w:val="24"/>
    </w:rPr>
  </w:style>
  <w:style w:type="paragraph" w:customStyle="1" w:styleId="96">
    <w:name w:val="xl31"/>
    <w:basedOn w:val="1"/>
    <w:qFormat/>
    <w:uiPriority w:val="0"/>
    <w:pPr>
      <w:widowControl/>
      <w:spacing w:before="100" w:beforeAutospacing="1" w:after="100" w:afterAutospacing="1"/>
      <w:jc w:val="center"/>
    </w:pPr>
    <w:rPr>
      <w:rFonts w:ascii="宋体" w:hAnsi="宋体"/>
      <w:kern w:val="0"/>
      <w:sz w:val="24"/>
    </w:rPr>
  </w:style>
  <w:style w:type="paragraph" w:customStyle="1" w:styleId="97">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98">
    <w:name w:val="_Style 97"/>
    <w:semiHidden/>
    <w:qFormat/>
    <w:uiPriority w:val="99"/>
    <w:rPr>
      <w:rFonts w:ascii="Times New Roman" w:hAnsi="Times New Roman" w:eastAsia="宋体" w:cs="Times New Roman"/>
      <w:kern w:val="2"/>
      <w:sz w:val="21"/>
      <w:szCs w:val="24"/>
      <w:lang w:val="en-US" w:eastAsia="zh-CN" w:bidi="ar-SA"/>
    </w:rPr>
  </w:style>
  <w:style w:type="paragraph" w:customStyle="1" w:styleId="99">
    <w:name w:val="样式1"/>
    <w:basedOn w:val="3"/>
    <w:qFormat/>
    <w:uiPriority w:val="0"/>
    <w:pPr>
      <w:spacing w:before="120" w:after="120" w:line="400" w:lineRule="exact"/>
    </w:pPr>
    <w:rPr>
      <w:rFonts w:ascii="黑体" w:hAnsi="黑体" w:eastAsia="黑体"/>
      <w:b w:val="0"/>
      <w:bCs w:val="0"/>
      <w:sz w:val="32"/>
    </w:rPr>
  </w:style>
  <w:style w:type="paragraph" w:customStyle="1" w:styleId="100">
    <w:name w:val="t_black_12_b"/>
    <w:basedOn w:val="1"/>
    <w:qFormat/>
    <w:uiPriority w:val="0"/>
    <w:pPr>
      <w:widowControl/>
      <w:jc w:val="left"/>
    </w:pPr>
    <w:rPr>
      <w:rFonts w:ascii="宋体" w:hAnsi="宋体" w:cs="宋体"/>
      <w:b/>
      <w:bCs/>
      <w:color w:val="212121"/>
      <w:kern w:val="0"/>
      <w:sz w:val="9"/>
      <w:szCs w:val="9"/>
    </w:rPr>
  </w:style>
  <w:style w:type="paragraph" w:customStyle="1" w:styleId="101">
    <w:name w:val="font7"/>
    <w:basedOn w:val="1"/>
    <w:qFormat/>
    <w:uiPriority w:val="0"/>
    <w:pPr>
      <w:widowControl/>
      <w:spacing w:before="100" w:beforeAutospacing="1" w:after="100" w:afterAutospacing="1"/>
      <w:jc w:val="left"/>
    </w:pPr>
    <w:rPr>
      <w:rFonts w:hint="eastAsia" w:ascii="宋体" w:hAnsi="宋体"/>
      <w:kern w:val="0"/>
      <w:sz w:val="28"/>
      <w:szCs w:val="28"/>
    </w:rPr>
  </w:style>
  <w:style w:type="paragraph" w:customStyle="1" w:styleId="102">
    <w:name w:val="1"/>
    <w:basedOn w:val="1"/>
    <w:next w:val="1"/>
    <w:qFormat/>
    <w:uiPriority w:val="0"/>
  </w:style>
  <w:style w:type="paragraph" w:customStyle="1" w:styleId="103">
    <w:name w:val="bh"/>
    <w:basedOn w:val="1"/>
    <w:qFormat/>
    <w:uiPriority w:val="0"/>
    <w:pPr>
      <w:widowControl/>
      <w:spacing w:before="100" w:beforeAutospacing="1" w:after="100" w:afterAutospacing="1"/>
      <w:jc w:val="left"/>
    </w:pPr>
    <w:rPr>
      <w:rFonts w:ascii="宋体" w:hAnsi="宋体" w:cs="宋体"/>
      <w:kern w:val="0"/>
      <w:sz w:val="24"/>
    </w:rPr>
  </w:style>
  <w:style w:type="paragraph" w:styleId="104">
    <w:name w:val="List Paragraph"/>
    <w:basedOn w:val="1"/>
    <w:qFormat/>
    <w:uiPriority w:val="34"/>
    <w:pPr>
      <w:ind w:firstLine="420" w:firstLineChars="200"/>
    </w:pPr>
    <w:rPr>
      <w:rFonts w:ascii="Calibri" w:hAnsi="Calibri"/>
      <w:szCs w:val="22"/>
    </w:rPr>
  </w:style>
  <w:style w:type="paragraph" w:customStyle="1" w:styleId="105">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106">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107">
    <w:name w:val="样式 WG标题3居中 + 行距: 固定值 18 磅"/>
    <w:basedOn w:val="1"/>
    <w:qFormat/>
    <w:uiPriority w:val="0"/>
    <w:pPr>
      <w:spacing w:before="100" w:beforeAutospacing="1" w:after="100" w:afterAutospacing="1" w:line="360" w:lineRule="exact"/>
      <w:jc w:val="center"/>
      <w:outlineLvl w:val="2"/>
    </w:pPr>
    <w:rPr>
      <w:rFonts w:cs="宋体"/>
      <w:b/>
      <w:bCs/>
      <w:sz w:val="3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6.png"/><Relationship Id="rId31" Type="http://schemas.openxmlformats.org/officeDocument/2006/relationships/image" Target="media/image5.wmf"/><Relationship Id="rId30" Type="http://schemas.openxmlformats.org/officeDocument/2006/relationships/oleObject" Target="embeddings/oleObject5.bin"/><Relationship Id="rId3" Type="http://schemas.openxmlformats.org/officeDocument/2006/relationships/header" Target="header1.xml"/><Relationship Id="rId29" Type="http://schemas.openxmlformats.org/officeDocument/2006/relationships/image" Target="media/image4.wmf"/><Relationship Id="rId28" Type="http://schemas.openxmlformats.org/officeDocument/2006/relationships/oleObject" Target="embeddings/oleObject4.bin"/><Relationship Id="rId27" Type="http://schemas.openxmlformats.org/officeDocument/2006/relationships/image" Target="media/image3.wmf"/><Relationship Id="rId26" Type="http://schemas.openxmlformats.org/officeDocument/2006/relationships/oleObject" Target="embeddings/oleObject3.bin"/><Relationship Id="rId25" Type="http://schemas.openxmlformats.org/officeDocument/2006/relationships/image" Target="media/image2.wmf"/><Relationship Id="rId24" Type="http://schemas.openxmlformats.org/officeDocument/2006/relationships/oleObject" Target="embeddings/oleObject2.bin"/><Relationship Id="rId23" Type="http://schemas.openxmlformats.org/officeDocument/2006/relationships/image" Target="media/image1.wmf"/><Relationship Id="rId22" Type="http://schemas.openxmlformats.org/officeDocument/2006/relationships/oleObject" Target="embeddings/oleObject1.bin"/><Relationship Id="rId21" Type="http://schemas.openxmlformats.org/officeDocument/2006/relationships/theme" Target="theme/theme1.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204</Pages>
  <Words>92822</Words>
  <Characters>99854</Characters>
  <Lines>1059</Lines>
  <Paragraphs>298</Paragraphs>
  <TotalTime>4</TotalTime>
  <ScaleCrop>false</ScaleCrop>
  <LinksUpToDate>false</LinksUpToDate>
  <CharactersWithSpaces>118045</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2020-09-17T06:35:00Z</dcterms:created>
  <dc:creator>wxf</dc:creator>
  <cp:lastModifiedBy>公管委</cp:lastModifiedBy>
  <cp:lastPrinted>2019-12-18T03:24:00Z</cp:lastPrinted>
  <dcterms:modified xsi:type="dcterms:W3CDTF">2022-06-23T16:58:01Z</dcterms:modified>
  <dc:title>湖北省水利水电工程施工</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A6433FDA766B42548FD3D28FBC25E90C</vt:lpwstr>
  </property>
</Properties>
</file>